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b/>
          <w:bCs/>
          <w:color w:val="1F4E5F"/>
          <w:sz w:val="56"/>
          <w:szCs w:val="56"/>
        </w:rPr>
        <w:t xml:space="preserve">Cahier des charges</w:t>
      </w:r>
    </w:p>
    <w:p>
      <w:pPr>
        <w:spacing w:before="200"/>
        <w:jc w:val="center"/>
      </w:pPr>
      <w:r>
        <w:rPr>
          <w:color w:val="444444"/>
          <w:sz w:val="32"/>
          <w:szCs w:val="32"/>
        </w:rPr>
        <w:t xml:space="preserve">Plateforme domotique multi-utilisateurs</w:t>
      </w:r>
    </w:p>
    <w:p>
      <w:pPr>
        <w:spacing w:before="100"/>
        <w:jc w:val="center"/>
      </w:pPr>
      <w:r>
        <w:rPr>
          <w:i/>
          <w:iCs/>
          <w:color w:val="666666"/>
          <w:sz w:val="24"/>
          <w:szCs w:val="24"/>
        </w:rPr>
        <w:t xml:space="preserve">Boîtier local + intégrations cloud tierces</w:t>
      </w:r>
    </w:p>
    <w:p>
      <w:pPr>
        <w:spacing w:before="800"/>
        <w:jc w:val="center"/>
      </w:pPr>
      <w:r>
        <w:rPr>
          <w:color w:val="888888"/>
          <w:sz w:val="20"/>
          <w:szCs w:val="20"/>
        </w:rPr>
        <w:t xml:space="preserve">Version 1.0 — Août 2026</w:t>
      </w:r>
    </w:p>
    <w:p>
      <w:r>
        <w:br w:type="page"/>
      </w:r>
    </w:p>
    <w:p>
      <w:pPr>
        <w:pStyle w:val="Heading1"/>
        <w:spacing w:after="200" w:before="400"/>
      </w:pPr>
      <w:r>
        <w:t xml:space="preserve">Sommaire</w:t>
      </w:r>
    </w:p>
    <w:sdt>
      <w:sdtPr>
        <w:alias w:val="Sommaire"/>
      </w:sdtPr>
      <w:sdtContent>
        <w:p>
          <w:r>
            <w:fldChar w:fldCharType="begin" w:dirty="true"/>
            <w:instrText xml:space="preserve">TOC \h \o "1-3"</w:instrText>
            <w:fldChar w:fldCharType="separate"/>
          </w:r>
        </w:p>
        <w:p>
          <w:r>
            <w:fldChar w:fldCharType="end"/>
          </w:r>
        </w:p>
      </w:sdtContent>
    </w:sdt>
    <w:p>
      <w:r>
        <w:br w:type="page"/>
      </w:r>
    </w:p>
    <w:p>
      <w:pPr>
        <w:pStyle w:val="Heading1"/>
        <w:spacing w:after="200" w:before="400"/>
      </w:pPr>
      <w:r>
        <w:t xml:space="preserve">1. Contexte et objectifs</w:t>
      </w:r>
    </w:p>
    <w:p>
      <w:pPr>
        <w:spacing w:after="120"/>
      </w:pPr>
      <w:r>
        <w:t xml:space="preserve">Ce document décrit les spécifications techniques et fonctionnelles d'une plateforme domotique destinée à un déploiement à grande échelle (plusieurs milliers d'utilisateurs). L'objectif est de proposer une application unique permettant de piloter à la fois :</w:t>
      </w:r>
    </w:p>
    <w:p>
      <w:pPr>
        <w:pStyle w:val="ListParagraph"/>
        <w:numPr>
          <w:ilvl w:val="0"/>
          <w:numId w:val="2"/>
        </w:numPr>
        <w:spacing w:after="60"/>
      </w:pPr>
      <w:r>
        <w:t xml:space="preserve">des appareils Zigbee, via un petit boîtier physique installé chez le client (unité locale) ;</w:t>
      </w:r>
    </w:p>
    <w:p>
      <w:pPr>
        <w:pStyle w:val="ListParagraph"/>
        <w:numPr>
          <w:ilvl w:val="0"/>
          <w:numId w:val="2"/>
        </w:numPr>
        <w:spacing w:after="60"/>
      </w:pPr>
      <w:r>
        <w:t xml:space="preserve">des appareils Wi-Fi déjà connectés aux écosystèmes cloud tiers du marché (Tuya, Philips Hue, TP-Link), via des connecteurs API.</w:t>
      </w:r>
    </w:p>
    <w:p>
      <w:pPr>
        <w:spacing w:after="120"/>
      </w:pPr>
      <w:r>
        <w:t xml:space="preserve">La plateforme repose sur une architecture inspirée du modèle Home Assistant (entités / capacités / services), mais réimplémentée sur mesure pour permettre un contrôle total du produit, de la marque, et du modèle de distribution (sans dépendre d'un boîtier complet type Home Assistant, jugé trop coûteux pour un déploiement de masse).</w:t>
      </w:r>
    </w:p>
    <w:p>
      <w:pPr>
        <w:pStyle w:val="Heading2"/>
        <w:spacing w:after="150" w:before="300"/>
      </w:pPr>
      <w:r>
        <w:t xml:space="preserve">1.1 Périmètre du document</w:t>
      </w:r>
    </w:p>
    <w:p>
      <w:pPr>
        <w:pStyle w:val="ListParagraph"/>
        <w:numPr>
          <w:ilvl w:val="0"/>
          <w:numId w:val="2"/>
        </w:numPr>
        <w:spacing w:after="60"/>
      </w:pPr>
      <w:r>
        <w:t xml:space="preserve">Architecture logicielle générale (boîtier local, agent, backend cloud, application)</w:t>
      </w:r>
    </w:p>
    <w:p>
      <w:pPr>
        <w:pStyle w:val="ListParagraph"/>
        <w:numPr>
          <w:ilvl w:val="0"/>
          <w:numId w:val="2"/>
        </w:numPr>
        <w:spacing w:after="60"/>
      </w:pPr>
      <w:r>
        <w:t xml:space="preserve">Spécifications matérielles du boîtier (version MVP)</w:t>
      </w:r>
    </w:p>
    <w:p>
      <w:pPr>
        <w:pStyle w:val="ListParagraph"/>
        <w:numPr>
          <w:ilvl w:val="0"/>
          <w:numId w:val="2"/>
        </w:numPr>
        <w:spacing w:after="60"/>
      </w:pPr>
      <w:r>
        <w:t xml:space="preserve">Liste des API et versions à utiliser</w:t>
      </w:r>
    </w:p>
    <w:p>
      <w:pPr>
        <w:pStyle w:val="ListParagraph"/>
        <w:numPr>
          <w:ilvl w:val="0"/>
          <w:numId w:val="2"/>
        </w:numPr>
        <w:spacing w:after="60"/>
      </w:pPr>
      <w:r>
        <w:t xml:space="preserve">Modèle de données et de sécurité multi-tenant</w:t>
      </w:r>
    </w:p>
    <w:p>
      <w:pPr>
        <w:pStyle w:val="ListParagraph"/>
        <w:numPr>
          <w:ilvl w:val="0"/>
          <w:numId w:val="2"/>
        </w:numPr>
        <w:spacing w:after="60"/>
      </w:pPr>
      <w:r>
        <w:t xml:space="preserve">Flux de provisioning et d'association des appareils</w:t>
      </w:r>
    </w:p>
    <w:p>
      <w:pPr>
        <w:pStyle w:val="ListParagraph"/>
        <w:numPr>
          <w:ilvl w:val="0"/>
          <w:numId w:val="2"/>
        </w:numPr>
        <w:spacing w:after="60"/>
      </w:pPr>
      <w:r>
        <w:t xml:space="preserve">Roadmap de version (V1 / V2 / V3)</w:t>
      </w:r>
    </w:p>
    <w:p>
      <w:pPr>
        <w:pStyle w:val="Heading1"/>
        <w:spacing w:after="200" w:before="400"/>
      </w:pPr>
      <w:r>
        <w:t xml:space="preserve">2. Architecture générale</w:t>
      </w:r>
    </w:p>
    <w:p>
      <w:pPr>
        <w:spacing w:after="120"/>
      </w:pPr>
      <w:r>
        <w:t xml:space="preserve">La plateforme s'articule en trois grandes couches :</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shd w:fill="1F4E5F" w:color="auto" w:val="clear"/>
          </w:tcPr>
          <w:p>
            <w:r>
              <w:rPr>
                <w:b/>
                <w:bCs/>
                <w:color w:val="FFFFFF"/>
                <w:sz w:val="20"/>
                <w:szCs w:val="20"/>
              </w:rPr>
              <w:t xml:space="preserve">Couche</w:t>
            </w:r>
          </w:p>
        </w:tc>
        <w:tc>
          <w:tcPr>
            <w:tcW w:type="dxa" w:w="6000"/>
            <w:shd w:fill="1F4E5F" w:color="auto" w:val="clear"/>
          </w:tcPr>
          <w:p>
            <w:r>
              <w:rPr>
                <w:b/>
                <w:bCs/>
                <w:color w:val="FFFFFF"/>
                <w:sz w:val="20"/>
                <w:szCs w:val="20"/>
              </w:rPr>
              <w:t xml:space="preserve">Rôle</w:t>
            </w:r>
          </w:p>
        </w:tc>
      </w:tr>
      <w:tr>
        <w:tc>
          <w:tcPr>
            <w:tcW w:type="dxa" w:w="3000"/>
          </w:tcPr>
          <w:p>
            <w:r>
              <w:rPr>
                <w:b w:val="false"/>
                <w:bCs w:val="false"/>
                <w:sz w:val="20"/>
                <w:szCs w:val="20"/>
              </w:rPr>
              <w:t xml:space="preserve">Boîtier local (unité)</w:t>
            </w:r>
          </w:p>
        </w:tc>
        <w:tc>
          <w:tcPr>
            <w:tcW w:type="dxa" w:w="6000"/>
          </w:tcPr>
          <w:p>
            <w:r>
              <w:rPr>
                <w:b w:val="false"/>
                <w:bCs w:val="false"/>
                <w:sz w:val="20"/>
                <w:szCs w:val="20"/>
              </w:rPr>
              <w:t xml:space="preserve">Pont physique entre les appareils Zigbee et le cloud ; exécute Zigbee2MQTT + un agent de relais</w:t>
            </w:r>
          </w:p>
        </w:tc>
      </w:tr>
      <w:tr>
        <w:tc>
          <w:tcPr>
            <w:tcW w:type="dxa" w:w="3000"/>
          </w:tcPr>
          <w:p>
            <w:r>
              <w:rPr>
                <w:b w:val="false"/>
                <w:bCs w:val="false"/>
                <w:sz w:val="20"/>
                <w:szCs w:val="20"/>
              </w:rPr>
              <w:t xml:space="preserve">Backend cloud</w:t>
            </w:r>
          </w:p>
        </w:tc>
        <w:tc>
          <w:tcPr>
            <w:tcW w:type="dxa" w:w="6000"/>
          </w:tcPr>
          <w:p>
            <w:r>
              <w:rPr>
                <w:b w:val="false"/>
                <w:bCs w:val="false"/>
                <w:sz w:val="20"/>
                <w:szCs w:val="20"/>
              </w:rPr>
              <w:t xml:space="preserve">Authentification, routage des commandes, abstraction multi-protocole (Device Service), stockage, connecteurs API tiers</w:t>
            </w:r>
          </w:p>
        </w:tc>
      </w:tr>
      <w:tr>
        <w:tc>
          <w:tcPr>
            <w:tcW w:type="dxa" w:w="3000"/>
          </w:tcPr>
          <w:p>
            <w:r>
              <w:rPr>
                <w:b w:val="false"/>
                <w:bCs w:val="false"/>
                <w:sz w:val="20"/>
                <w:szCs w:val="20"/>
              </w:rPr>
              <w:t xml:space="preserve">Application client (mobile/web)</w:t>
            </w:r>
          </w:p>
        </w:tc>
        <w:tc>
          <w:tcPr>
            <w:tcW w:type="dxa" w:w="6000"/>
          </w:tcPr>
          <w:p>
            <w:r>
              <w:rPr>
                <w:b w:val="false"/>
                <w:bCs w:val="false"/>
                <w:sz w:val="20"/>
                <w:szCs w:val="20"/>
              </w:rPr>
              <w:t xml:space="preserve">Interface utilisateur ; ne communique qu'avec le backend, jamais directement avec les appareils</w:t>
            </w:r>
          </w:p>
        </w:tc>
      </w:tr>
    </w:tbl>
    <w:p>
      <w:pPr>
        <w:spacing w:after="120"/>
      </w:pPr>
      <w:r>
        <w:t xml:space="preserve"/>
      </w:r>
    </w:p>
    <w:p>
      <w:pPr>
        <w:spacing w:after="120"/>
      </w:pPr>
      <w:r>
        <w:t xml:space="preserve">Flux simplifié d'une commande (ex. allumer une lampe) :</w:t>
      </w:r>
    </w:p>
    <w:p>
      <w:pPr>
        <w:pStyle w:val="ListParagraph"/>
        <w:numPr>
          <w:ilvl w:val="0"/>
          <w:numId w:val="2"/>
        </w:numPr>
        <w:spacing w:after="60"/>
      </w:pPr>
      <w:r>
        <w:t xml:space="preserve">App → API backend (REST) : POST /devices/:id/command</w:t>
      </w:r>
    </w:p>
    <w:p>
      <w:pPr>
        <w:pStyle w:val="ListParagraph"/>
        <w:numPr>
          <w:ilvl w:val="0"/>
          <w:numId w:val="2"/>
        </w:numPr>
        <w:spacing w:after="60"/>
      </w:pPr>
      <w:r>
        <w:t xml:space="preserve">Backend → Device Service → sélection du connecteur (zigbee | tuya | hue | tapo)</w:t>
      </w:r>
    </w:p>
    <w:p>
      <w:pPr>
        <w:pStyle w:val="ListParagraph"/>
        <w:numPr>
          <w:ilvl w:val="0"/>
          <w:numId w:val="2"/>
        </w:numPr>
        <w:spacing w:after="60"/>
      </w:pPr>
      <w:r>
        <w:t xml:space="preserve">Connecteur Zigbee → relais WebSocket vers l'agent local → MQTT local → Zigbee2MQTT → dongle USB → appareil</w:t>
      </w:r>
    </w:p>
    <w:p>
      <w:pPr>
        <w:pStyle w:val="ListParagraph"/>
        <w:numPr>
          <w:ilvl w:val="0"/>
          <w:numId w:val="2"/>
        </w:numPr>
        <w:spacing w:after="60"/>
      </w:pPr>
      <w:r>
        <w:t xml:space="preserve">Connecteur cloud tiers (Tuya/Hue/Tapo) → appel API HTTPS direct vers le cloud du fabricant</w:t>
      </w:r>
    </w:p>
    <w:p>
      <w:pPr>
        <w:pStyle w:val="ListParagraph"/>
        <w:numPr>
          <w:ilvl w:val="0"/>
          <w:numId w:val="2"/>
        </w:numPr>
        <w:spacing w:after="60"/>
      </w:pPr>
      <w:r>
        <w:t xml:space="preserve">Retour d'état → événement normalisé → mise à jour base de données → notification temps réel à l'app (WebSocket/push)</w:t>
      </w:r>
    </w:p>
    <w:p>
      <w:pPr>
        <w:pStyle w:val="Heading1"/>
        <w:spacing w:after="200" w:before="400"/>
      </w:pPr>
      <w:r>
        <w:t xml:space="preserve">3. Modèle produit et stratégie de déploiement</w:t>
      </w:r>
    </w:p>
    <w:p>
      <w:pPr>
        <w:pStyle w:val="Heading2"/>
        <w:spacing w:after="150" w:before="300"/>
      </w:pPr>
      <w:r>
        <w:t xml:space="preserve">3.1 Deux familles d'appareils couvertes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300"/>
        <w:gridCol w:w="3300"/>
      </w:tblGrid>
      <w:tr>
        <w:tc>
          <w:tcPr>
            <w:tcW w:type="dxa" w:w="2400"/>
            <w:shd w:fill="1F4E5F" w:color="auto" w:val="clear"/>
          </w:tcPr>
          <w:p>
            <w:r>
              <w:rPr>
                <w:b/>
                <w:bCs/>
                <w:color w:val="FFFFFF"/>
                <w:sz w:val="20"/>
                <w:szCs w:val="20"/>
              </w:rPr>
              <w:t xml:space="preserve"/>
            </w:r>
          </w:p>
        </w:tc>
        <w:tc>
          <w:tcPr>
            <w:tcW w:type="dxa" w:w="3300"/>
            <w:shd w:fill="1F4E5F" w:color="auto" w:val="clear"/>
          </w:tcPr>
          <w:p>
            <w:r>
              <w:rPr>
                <w:b/>
                <w:bCs/>
                <w:color w:val="FFFFFF"/>
                <w:sz w:val="20"/>
                <w:szCs w:val="20"/>
              </w:rPr>
              <w:t xml:space="preserve">Appareils Zigbee/Z-Wave</w:t>
            </w:r>
          </w:p>
        </w:tc>
        <w:tc>
          <w:tcPr>
            <w:tcW w:type="dxa" w:w="3300"/>
            <w:shd w:fill="1F4E5F" w:color="auto" w:val="clear"/>
          </w:tcPr>
          <w:p>
            <w:r>
              <w:rPr>
                <w:b/>
                <w:bCs/>
                <w:color w:val="FFFFFF"/>
                <w:sz w:val="20"/>
                <w:szCs w:val="20"/>
              </w:rPr>
              <w:t xml:space="preserve">Appareils Wi-Fi (Tuya, Hue, Tapo…)</w:t>
            </w:r>
          </w:p>
        </w:tc>
      </w:tr>
      <w:tr>
        <w:tc>
          <w:tcPr>
            <w:tcW w:type="dxa" w:w="2400"/>
          </w:tcPr>
          <w:p>
            <w:r>
              <w:rPr>
                <w:b w:val="false"/>
                <w:bCs w:val="false"/>
                <w:sz w:val="20"/>
                <w:szCs w:val="20"/>
              </w:rPr>
              <w:t xml:space="preserve">Boîtier local requis</w:t>
            </w:r>
          </w:p>
        </w:tc>
        <w:tc>
          <w:tcPr>
            <w:tcW w:type="dxa" w:w="3300"/>
          </w:tcPr>
          <w:p>
            <w:r>
              <w:rPr>
                <w:b w:val="false"/>
                <w:bCs w:val="false"/>
                <w:sz w:val="20"/>
                <w:szCs w:val="20"/>
              </w:rPr>
              <w:t xml:space="preserve">Oui (pont radio obligatoire)</w:t>
            </w:r>
          </w:p>
        </w:tc>
        <w:tc>
          <w:tcPr>
            <w:tcW w:type="dxa" w:w="3300"/>
          </w:tcPr>
          <w:p>
            <w:r>
              <w:rPr>
                <w:b w:val="false"/>
                <w:bCs w:val="false"/>
                <w:sz w:val="20"/>
                <w:szCs w:val="20"/>
              </w:rPr>
              <w:t xml:space="preserve">Non</w:t>
            </w:r>
          </w:p>
        </w:tc>
      </w:tr>
      <w:tr>
        <w:tc>
          <w:tcPr>
            <w:tcW w:type="dxa" w:w="2400"/>
          </w:tcPr>
          <w:p>
            <w:r>
              <w:rPr>
                <w:b w:val="false"/>
                <w:bCs w:val="false"/>
                <w:sz w:val="20"/>
                <w:szCs w:val="20"/>
              </w:rPr>
              <w:t xml:space="preserve">Communication</w:t>
            </w:r>
          </w:p>
        </w:tc>
        <w:tc>
          <w:tcPr>
            <w:tcW w:type="dxa" w:w="3300"/>
          </w:tcPr>
          <w:p>
            <w:r>
              <w:rPr>
                <w:b w:val="false"/>
                <w:bCs w:val="false"/>
                <w:sz w:val="20"/>
                <w:szCs w:val="20"/>
              </w:rPr>
              <w:t xml:space="preserve">Radio → dongle → agent local → cloud</w:t>
            </w:r>
          </w:p>
        </w:tc>
        <w:tc>
          <w:tcPr>
            <w:tcW w:type="dxa" w:w="3300"/>
          </w:tcPr>
          <w:p>
            <w:r>
              <w:rPr>
                <w:b w:val="false"/>
                <w:bCs w:val="false"/>
                <w:sz w:val="20"/>
                <w:szCs w:val="20"/>
              </w:rPr>
              <w:t xml:space="preserve">Wi-Fi client → cloud fabricant → API</w:t>
            </w:r>
          </w:p>
        </w:tc>
      </w:tr>
      <w:tr>
        <w:tc>
          <w:tcPr>
            <w:tcW w:type="dxa" w:w="2400"/>
          </w:tcPr>
          <w:p>
            <w:r>
              <w:rPr>
                <w:b w:val="false"/>
                <w:bCs w:val="false"/>
                <w:sz w:val="20"/>
                <w:szCs w:val="20"/>
              </w:rPr>
              <w:t xml:space="preserve">Coût matériel pour l'entreprise</w:t>
            </w:r>
          </w:p>
        </w:tc>
        <w:tc>
          <w:tcPr>
            <w:tcW w:type="dxa" w:w="3300"/>
          </w:tcPr>
          <w:p>
            <w:r>
              <w:rPr>
                <w:b w:val="false"/>
                <w:bCs w:val="false"/>
                <w:sz w:val="20"/>
                <w:szCs w:val="20"/>
              </w:rPr>
              <w:t xml:space="preserve">SBC + dongle (~40-65 €)</w:t>
            </w:r>
          </w:p>
        </w:tc>
        <w:tc>
          <w:tcPr>
            <w:tcW w:type="dxa" w:w="3300"/>
          </w:tcPr>
          <w:p>
            <w:r>
              <w:rPr>
                <w:b w:val="false"/>
                <w:bCs w:val="false"/>
                <w:sz w:val="20"/>
                <w:szCs w:val="20"/>
              </w:rPr>
              <w:t xml:space="preserve">Aucun</w:t>
            </w:r>
          </w:p>
        </w:tc>
      </w:tr>
      <w:tr>
        <w:tc>
          <w:tcPr>
            <w:tcW w:type="dxa" w:w="2400"/>
          </w:tcPr>
          <w:p>
            <w:r>
              <w:rPr>
                <w:b w:val="false"/>
                <w:bCs w:val="false"/>
                <w:sz w:val="20"/>
                <w:szCs w:val="20"/>
              </w:rPr>
              <w:t xml:space="preserve">Effort de développement</w:t>
            </w:r>
          </w:p>
        </w:tc>
        <w:tc>
          <w:tcPr>
            <w:tcW w:type="dxa" w:w="3300"/>
          </w:tcPr>
          <w:p>
            <w:r>
              <w:rPr>
                <w:b w:val="false"/>
                <w:bCs w:val="false"/>
                <w:sz w:val="20"/>
                <w:szCs w:val="20"/>
              </w:rPr>
              <w:t xml:space="preserve">Élevé (agent, pairing, sécurité réseau local)</w:t>
            </w:r>
          </w:p>
        </w:tc>
        <w:tc>
          <w:tcPr>
            <w:tcW w:type="dxa" w:w="3300"/>
          </w:tcPr>
          <w:p>
            <w:r>
              <w:rPr>
                <w:b w:val="false"/>
                <w:bCs w:val="false"/>
                <w:sz w:val="20"/>
                <w:szCs w:val="20"/>
              </w:rPr>
              <w:t xml:space="preserve">Moyen (un connecteur OAuth par écosystème)</w:t>
            </w:r>
          </w:p>
        </w:tc>
      </w:tr>
    </w:tbl>
    <w:p>
      <w:pPr>
        <w:pStyle w:val="Heading2"/>
        <w:spacing w:after="150" w:before="300"/>
      </w:pPr>
      <w:r>
        <w:t xml:space="preserve">3.2 Décision retenue</w:t>
      </w:r>
    </w:p>
    <w:p>
      <w:pPr>
        <w:spacing w:after="120"/>
      </w:pPr>
      <w:r>
        <w:t xml:space="preserve">Le boîtier complet type Raspberry Pi 5 avec Home Assistant intégral a été écarté pour des raisons de coût (~100-150 € par unité tout compris) et de complexité de maintenance à grande échelle. La solution retenue repose sur :</w:t>
      </w:r>
    </w:p>
    <w:p>
      <w:pPr>
        <w:pStyle w:val="ListParagraph"/>
        <w:numPr>
          <w:ilvl w:val="0"/>
          <w:numId w:val="2"/>
        </w:numPr>
        <w:spacing w:after="60"/>
      </w:pPr>
      <w:r>
        <w:t xml:space="preserve">un mini-hôte léger (SBC modeste) faisant tourner uniquement Zigbee2MQTT + un broker MQTT + un agent applicatif custom, sans Home Assistant complet ;</w:t>
      </w:r>
    </w:p>
    <w:p>
      <w:pPr>
        <w:pStyle w:val="ListParagraph"/>
        <w:numPr>
          <w:ilvl w:val="0"/>
          <w:numId w:val="2"/>
        </w:numPr>
        <w:spacing w:after="60"/>
      </w:pPr>
      <w:r>
        <w:t xml:space="preserve">une intégration directe des écosystèmes cloud tiers (Tuya en priorité, du fait de sa couverture très large de marques bon marché) pour tous les appareils Wi-Fi, sans aucun matériel supplémentaire.</w:t>
      </w:r>
    </w:p>
    <w:p>
      <w:pPr>
        <w:pStyle w:val="Heading1"/>
        <w:spacing w:after="200" w:before="400"/>
      </w:pPr>
      <w:r>
        <w:t xml:space="preserve">4. Spécifications matérielles — Boîtier V1 (MVP)</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2400"/>
        <w:gridCol w:w="1200"/>
      </w:tblGrid>
      <w:tr>
        <w:tc>
          <w:tcPr>
            <w:tcW w:type="dxa" w:w="2200"/>
            <w:shd w:fill="1F4E5F" w:color="auto" w:val="clear"/>
          </w:tcPr>
          <w:p>
            <w:r>
              <w:rPr>
                <w:b/>
                <w:bCs/>
                <w:color w:val="FFFFFF"/>
                <w:sz w:val="20"/>
                <w:szCs w:val="20"/>
              </w:rPr>
              <w:t xml:space="preserve">Composant</w:t>
            </w:r>
          </w:p>
        </w:tc>
        <w:tc>
          <w:tcPr>
            <w:tcW w:type="dxa" w:w="3200"/>
            <w:shd w:fill="1F4E5F" w:color="auto" w:val="clear"/>
          </w:tcPr>
          <w:p>
            <w:r>
              <w:rPr>
                <w:b/>
                <w:bCs/>
                <w:color w:val="FFFFFF"/>
                <w:sz w:val="20"/>
                <w:szCs w:val="20"/>
              </w:rPr>
              <w:t xml:space="preserve">Exemple / référence</w:t>
            </w:r>
          </w:p>
        </w:tc>
        <w:tc>
          <w:tcPr>
            <w:tcW w:type="dxa" w:w="2400"/>
            <w:shd w:fill="1F4E5F" w:color="auto" w:val="clear"/>
          </w:tcPr>
          <w:p>
            <w:r>
              <w:rPr>
                <w:b/>
                <w:bCs/>
                <w:color w:val="FFFFFF"/>
                <w:sz w:val="20"/>
                <w:szCs w:val="20"/>
              </w:rPr>
              <w:t xml:space="preserve">Rôle</w:t>
            </w:r>
          </w:p>
        </w:tc>
        <w:tc>
          <w:tcPr>
            <w:tcW w:type="dxa" w:w="1200"/>
            <w:shd w:fill="1F4E5F" w:color="auto" w:val="clear"/>
          </w:tcPr>
          <w:p>
            <w:r>
              <w:rPr>
                <w:b/>
                <w:bCs/>
                <w:color w:val="FFFFFF"/>
                <w:sz w:val="20"/>
                <w:szCs w:val="20"/>
              </w:rPr>
              <w:t xml:space="preserve">Coût indicatif</w:t>
            </w:r>
          </w:p>
        </w:tc>
      </w:tr>
      <w:tr>
        <w:tc>
          <w:tcPr>
            <w:tcW w:type="dxa" w:w="2200"/>
          </w:tcPr>
          <w:p>
            <w:r>
              <w:rPr>
                <w:b w:val="false"/>
                <w:bCs w:val="false"/>
                <w:sz w:val="20"/>
                <w:szCs w:val="20"/>
              </w:rPr>
              <w:t xml:space="preserve">SBC (mini-ordinateur)</w:t>
            </w:r>
          </w:p>
        </w:tc>
        <w:tc>
          <w:tcPr>
            <w:tcW w:type="dxa" w:w="3200"/>
          </w:tcPr>
          <w:p>
            <w:r>
              <w:rPr>
                <w:b w:val="false"/>
                <w:bCs w:val="false"/>
                <w:sz w:val="20"/>
                <w:szCs w:val="20"/>
              </w:rPr>
              <w:t xml:space="preserve">Raspberry Pi Zero 2 W / Orange Pi Zero 3 / Pi 3B+</w:t>
            </w:r>
          </w:p>
        </w:tc>
        <w:tc>
          <w:tcPr>
            <w:tcW w:type="dxa" w:w="2400"/>
          </w:tcPr>
          <w:p>
            <w:r>
              <w:rPr>
                <w:b w:val="false"/>
                <w:bCs w:val="false"/>
                <w:sz w:val="20"/>
                <w:szCs w:val="20"/>
              </w:rPr>
              <w:t xml:space="preserve">Exécute Zigbee2MQTT, Mosquitto, l'agent</w:t>
            </w:r>
          </w:p>
        </w:tc>
        <w:tc>
          <w:tcPr>
            <w:tcW w:type="dxa" w:w="1200"/>
          </w:tcPr>
          <w:p>
            <w:r>
              <w:rPr>
                <w:b w:val="false"/>
                <w:bCs w:val="false"/>
                <w:sz w:val="20"/>
                <w:szCs w:val="20"/>
              </w:rPr>
              <w:t xml:space="preserve">15 – 35 €</w:t>
            </w:r>
          </w:p>
        </w:tc>
      </w:tr>
      <w:tr>
        <w:tc>
          <w:tcPr>
            <w:tcW w:type="dxa" w:w="2200"/>
          </w:tcPr>
          <w:p>
            <w:r>
              <w:rPr>
                <w:b w:val="false"/>
                <w:bCs w:val="false"/>
                <w:sz w:val="20"/>
                <w:szCs w:val="20"/>
              </w:rPr>
              <w:t xml:space="preserve">Dongle Zigbee USB</w:t>
            </w:r>
          </w:p>
        </w:tc>
        <w:tc>
          <w:tcPr>
            <w:tcW w:type="dxa" w:w="3200"/>
          </w:tcPr>
          <w:p>
            <w:r>
              <w:rPr>
                <w:b w:val="false"/>
                <w:bCs w:val="false"/>
                <w:sz w:val="20"/>
                <w:szCs w:val="20"/>
              </w:rPr>
              <w:t xml:space="preserve">Sonoff Zigbee 3.0 USB Dongle Plus</w:t>
            </w:r>
          </w:p>
        </w:tc>
        <w:tc>
          <w:tcPr>
            <w:tcW w:type="dxa" w:w="2400"/>
          </w:tcPr>
          <w:p>
            <w:r>
              <w:rPr>
                <w:b w:val="false"/>
                <w:bCs w:val="false"/>
                <w:sz w:val="20"/>
                <w:szCs w:val="20"/>
              </w:rPr>
              <w:t xml:space="preserve">Pont radio Zigbee 3.0</w:t>
            </w:r>
          </w:p>
        </w:tc>
        <w:tc>
          <w:tcPr>
            <w:tcW w:type="dxa" w:w="1200"/>
          </w:tcPr>
          <w:p>
            <w:r>
              <w:rPr>
                <w:b w:val="false"/>
                <w:bCs w:val="false"/>
                <w:sz w:val="20"/>
                <w:szCs w:val="20"/>
              </w:rPr>
              <w:t xml:space="preserve">15 – 20 €</w:t>
            </w:r>
          </w:p>
        </w:tc>
      </w:tr>
      <w:tr>
        <w:tc>
          <w:tcPr>
            <w:tcW w:type="dxa" w:w="2200"/>
          </w:tcPr>
          <w:p>
            <w:r>
              <w:rPr>
                <w:b w:val="false"/>
                <w:bCs w:val="false"/>
                <w:sz w:val="20"/>
                <w:szCs w:val="20"/>
              </w:rPr>
              <w:t xml:space="preserve">Alimentation</w:t>
            </w:r>
          </w:p>
        </w:tc>
        <w:tc>
          <w:tcPr>
            <w:tcW w:type="dxa" w:w="3200"/>
          </w:tcPr>
          <w:p>
            <w:r>
              <w:rPr>
                <w:b w:val="false"/>
                <w:bCs w:val="false"/>
                <w:sz w:val="20"/>
                <w:szCs w:val="20"/>
              </w:rPr>
              <w:t xml:space="preserve">Micro-USB/USB-C 5V, officielle recommandée</w:t>
            </w:r>
          </w:p>
        </w:tc>
        <w:tc>
          <w:tcPr>
            <w:tcW w:type="dxa" w:w="2400"/>
          </w:tcPr>
          <w:p>
            <w:r>
              <w:rPr>
                <w:b w:val="false"/>
                <w:bCs w:val="false"/>
                <w:sz w:val="20"/>
                <w:szCs w:val="20"/>
              </w:rPr>
              <w:t xml:space="preserve">Alimentation stable 24/7</w:t>
            </w:r>
          </w:p>
        </w:tc>
        <w:tc>
          <w:tcPr>
            <w:tcW w:type="dxa" w:w="1200"/>
          </w:tcPr>
          <w:p>
            <w:r>
              <w:rPr>
                <w:b w:val="false"/>
                <w:bCs w:val="false"/>
                <w:sz w:val="20"/>
                <w:szCs w:val="20"/>
              </w:rPr>
              <w:t xml:space="preserve">5 – 8 €</w:t>
            </w:r>
          </w:p>
        </w:tc>
      </w:tr>
      <w:tr>
        <w:tc>
          <w:tcPr>
            <w:tcW w:type="dxa" w:w="2200"/>
          </w:tcPr>
          <w:p>
            <w:r>
              <w:rPr>
                <w:b w:val="false"/>
                <w:bCs w:val="false"/>
                <w:sz w:val="20"/>
                <w:szCs w:val="20"/>
              </w:rPr>
              <w:t xml:space="preserve">Stockage</w:t>
            </w:r>
          </w:p>
        </w:tc>
        <w:tc>
          <w:tcPr>
            <w:tcW w:type="dxa" w:w="3200"/>
          </w:tcPr>
          <w:p>
            <w:r>
              <w:rPr>
                <w:b w:val="false"/>
                <w:bCs w:val="false"/>
                <w:sz w:val="20"/>
                <w:szCs w:val="20"/>
              </w:rPr>
              <w:t xml:space="preserve">Carte microSD 8-16 Go (classe A1/A2)</w:t>
            </w:r>
          </w:p>
        </w:tc>
        <w:tc>
          <w:tcPr>
            <w:tcW w:type="dxa" w:w="2400"/>
          </w:tcPr>
          <w:p>
            <w:r>
              <w:rPr>
                <w:b w:val="false"/>
                <w:bCs w:val="false"/>
                <w:sz w:val="20"/>
                <w:szCs w:val="20"/>
              </w:rPr>
              <w:t xml:space="preserve">Système + logs</w:t>
            </w:r>
          </w:p>
        </w:tc>
        <w:tc>
          <w:tcPr>
            <w:tcW w:type="dxa" w:w="1200"/>
          </w:tcPr>
          <w:p>
            <w:r>
              <w:rPr>
                <w:b w:val="false"/>
                <w:bCs w:val="false"/>
                <w:sz w:val="20"/>
                <w:szCs w:val="20"/>
              </w:rPr>
              <w:t xml:space="preserve">4 – 6 €</w:t>
            </w:r>
          </w:p>
        </w:tc>
      </w:tr>
      <w:tr>
        <w:tc>
          <w:tcPr>
            <w:tcW w:type="dxa" w:w="2200"/>
          </w:tcPr>
          <w:p>
            <w:r>
              <w:rPr>
                <w:b w:val="false"/>
                <w:bCs w:val="false"/>
                <w:sz w:val="20"/>
                <w:szCs w:val="20"/>
              </w:rPr>
              <w:t xml:space="preserve">Boîtier de protection</w:t>
            </w:r>
          </w:p>
        </w:tc>
        <w:tc>
          <w:tcPr>
            <w:tcW w:type="dxa" w:w="3200"/>
          </w:tcPr>
          <w:p>
            <w:r>
              <w:rPr>
                <w:b w:val="false"/>
                <w:bCs w:val="false"/>
                <w:sz w:val="20"/>
                <w:szCs w:val="20"/>
              </w:rPr>
              <w:t xml:space="preserve">Coque ABS générique ou imprimée sur mesure</w:t>
            </w:r>
          </w:p>
        </w:tc>
        <w:tc>
          <w:tcPr>
            <w:tcW w:type="dxa" w:w="2400"/>
          </w:tcPr>
          <w:p>
            <w:r>
              <w:rPr>
                <w:b w:val="false"/>
                <w:bCs w:val="false"/>
                <w:sz w:val="20"/>
                <w:szCs w:val="20"/>
              </w:rPr>
              <w:t xml:space="preserve">Protection physique</w:t>
            </w:r>
          </w:p>
        </w:tc>
        <w:tc>
          <w:tcPr>
            <w:tcW w:type="dxa" w:w="1200"/>
          </w:tcPr>
          <w:p>
            <w:r>
              <w:rPr>
                <w:b w:val="false"/>
                <w:bCs w:val="false"/>
                <w:sz w:val="20"/>
                <w:szCs w:val="20"/>
              </w:rPr>
              <w:t xml:space="preserve">5 – 10 €</w:t>
            </w:r>
          </w:p>
        </w:tc>
      </w:tr>
    </w:tbl>
    <w:p>
      <w:pPr>
        <w:spacing w:after="120"/>
      </w:pPr>
      <w:r>
        <w:rPr>
          <w:b/>
          <w:bCs/>
        </w:rPr>
        <w:t xml:space="preserve">Coût total unitaire estimé (MVP) : environ 45 à 80 € HT, hors marge et logistique — nettement inférieur à un boîtier Home Assistant complet sur Raspberry Pi 5.</w:t>
      </w:r>
    </w:p>
    <w:p>
      <w:pPr>
        <w:pStyle w:val="Heading2"/>
        <w:spacing w:after="150" w:before="300"/>
      </w:pPr>
      <w:r>
        <w:t xml:space="preserve">4.1 Exigences non fonctionnelles matérielles</w:t>
      </w:r>
    </w:p>
    <w:p>
      <w:pPr>
        <w:pStyle w:val="ListParagraph"/>
        <w:numPr>
          <w:ilvl w:val="0"/>
          <w:numId w:val="2"/>
        </w:numPr>
        <w:spacing w:after="60"/>
      </w:pPr>
      <w:r>
        <w:t xml:space="preserve">Fonctionnement continu 24h/24 sans ventilateur (dissipation passive suffisante pour la charge visée)</w:t>
      </w:r>
    </w:p>
    <w:p>
      <w:pPr>
        <w:pStyle w:val="ListParagraph"/>
        <w:numPr>
          <w:ilvl w:val="0"/>
          <w:numId w:val="2"/>
        </w:numPr>
        <w:spacing w:after="60"/>
      </w:pPr>
      <w:r>
        <w:t xml:space="preserve">Bluetooth intégré au SBC recommandé, en prévision de la migration V2 vers le provisioning BLE (cf. section 8)</w:t>
      </w:r>
    </w:p>
    <w:p>
      <w:pPr>
        <w:pStyle w:val="ListParagraph"/>
        <w:numPr>
          <w:ilvl w:val="0"/>
          <w:numId w:val="2"/>
        </w:numPr>
        <w:spacing w:after="60"/>
      </w:pPr>
      <w:r>
        <w:t xml:space="preserve">Port USB dédié et stable pour le dongle Zigbee (éviter les hubs USB non alimentés)</w:t>
      </w:r>
    </w:p>
    <w:p>
      <w:pPr>
        <w:pStyle w:val="ListParagraph"/>
        <w:numPr>
          <w:ilvl w:val="0"/>
          <w:numId w:val="2"/>
        </w:numPr>
        <w:spacing w:after="60"/>
      </w:pPr>
      <w:r>
        <w:t xml:space="preserve">Robustesse à la coupure secteur : reprise automatique au redémarrage, sans intervention manuelle</w:t>
      </w:r>
    </w:p>
    <w:p>
      <w:pPr>
        <w:pStyle w:val="Heading1"/>
        <w:spacing w:after="200" w:before="400"/>
      </w:pPr>
      <w:r>
        <w:t xml:space="preserve">5. Spécifications logicielles — Boîtier</w:t>
      </w:r>
    </w:p>
    <w:p>
      <w:pPr>
        <w:pStyle w:val="Heading2"/>
        <w:spacing w:after="150" w:before="300"/>
      </w:pPr>
      <w:r>
        <w:t xml:space="preserve">5.1 Composants embarqués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c>
          <w:tcPr>
            <w:tcW w:type="dxa" w:w="2400"/>
            <w:shd w:fill="1F4E5F" w:color="auto" w:val="clear"/>
          </w:tcPr>
          <w:p>
            <w:r>
              <w:rPr>
                <w:b/>
                <w:bCs/>
                <w:color w:val="FFFFFF"/>
                <w:sz w:val="20"/>
                <w:szCs w:val="20"/>
              </w:rPr>
              <w:t xml:space="preserve">Composant</w:t>
            </w:r>
          </w:p>
        </w:tc>
        <w:tc>
          <w:tcPr>
            <w:tcW w:type="dxa" w:w="3400"/>
            <w:shd w:fill="1F4E5F" w:color="auto" w:val="clear"/>
          </w:tcPr>
          <w:p>
            <w:r>
              <w:rPr>
                <w:b/>
                <w:bCs/>
                <w:color w:val="FFFFFF"/>
                <w:sz w:val="20"/>
                <w:szCs w:val="20"/>
              </w:rPr>
              <w:t xml:space="preserve">Version / projet de référence</w:t>
            </w:r>
          </w:p>
        </w:tc>
        <w:tc>
          <w:tcPr>
            <w:tcW w:type="dxa" w:w="3200"/>
            <w:shd w:fill="1F4E5F" w:color="auto" w:val="clear"/>
          </w:tcPr>
          <w:p>
            <w:r>
              <w:rPr>
                <w:b/>
                <w:bCs/>
                <w:color w:val="FFFFFF"/>
                <w:sz w:val="20"/>
                <w:szCs w:val="20"/>
              </w:rPr>
              <w:t xml:space="preserve">Rôle</w:t>
            </w:r>
          </w:p>
        </w:tc>
      </w:tr>
      <w:tr>
        <w:tc>
          <w:tcPr>
            <w:tcW w:type="dxa" w:w="2400"/>
          </w:tcPr>
          <w:p>
            <w:r>
              <w:rPr>
                <w:b w:val="false"/>
                <w:bCs w:val="false"/>
                <w:sz w:val="20"/>
                <w:szCs w:val="20"/>
              </w:rPr>
              <w:t xml:space="preserve">Système d'exploitation</w:t>
            </w:r>
          </w:p>
        </w:tc>
        <w:tc>
          <w:tcPr>
            <w:tcW w:type="dxa" w:w="3400"/>
          </w:tcPr>
          <w:p>
            <w:r>
              <w:rPr>
                <w:b w:val="false"/>
                <w:bCs w:val="false"/>
                <w:sz w:val="20"/>
                <w:szCs w:val="20"/>
              </w:rPr>
              <w:t xml:space="preserve">Raspberry Pi OS Lite (ou équivalent Debian/Armbian pour Orange Pi)</w:t>
            </w:r>
          </w:p>
        </w:tc>
        <w:tc>
          <w:tcPr>
            <w:tcW w:type="dxa" w:w="3200"/>
          </w:tcPr>
          <w:p>
            <w:r>
              <w:rPr>
                <w:b w:val="false"/>
                <w:bCs w:val="false"/>
                <w:sz w:val="20"/>
                <w:szCs w:val="20"/>
              </w:rPr>
              <w:t xml:space="preserve">OS minimal, sans interface graphique</w:t>
            </w:r>
          </w:p>
        </w:tc>
      </w:tr>
      <w:tr>
        <w:tc>
          <w:tcPr>
            <w:tcW w:type="dxa" w:w="2400"/>
          </w:tcPr>
          <w:p>
            <w:r>
              <w:rPr>
                <w:b w:val="false"/>
                <w:bCs w:val="false"/>
                <w:sz w:val="20"/>
                <w:szCs w:val="20"/>
              </w:rPr>
              <w:t xml:space="preserve">Zigbee2MQTT</w:t>
            </w:r>
          </w:p>
        </w:tc>
        <w:tc>
          <w:tcPr>
            <w:tcW w:type="dxa" w:w="3400"/>
          </w:tcPr>
          <w:p>
            <w:r>
              <w:rPr>
                <w:b w:val="false"/>
                <w:bCs w:val="false"/>
                <w:sz w:val="20"/>
                <w:szCs w:val="20"/>
              </w:rPr>
              <w:t xml:space="preserve">Dernière version stable de la branche officielle</w:t>
            </w:r>
          </w:p>
        </w:tc>
        <w:tc>
          <w:tcPr>
            <w:tcW w:type="dxa" w:w="3200"/>
          </w:tcPr>
          <w:p>
            <w:r>
              <w:rPr>
                <w:b w:val="false"/>
                <w:bCs w:val="false"/>
                <w:sz w:val="20"/>
                <w:szCs w:val="20"/>
              </w:rPr>
              <w:t xml:space="preserve">Traduction Zigbee ↔ MQTT</w:t>
            </w:r>
          </w:p>
        </w:tc>
      </w:tr>
      <w:tr>
        <w:tc>
          <w:tcPr>
            <w:tcW w:type="dxa" w:w="2400"/>
          </w:tcPr>
          <w:p>
            <w:r>
              <w:rPr>
                <w:b w:val="false"/>
                <w:bCs w:val="false"/>
                <w:sz w:val="20"/>
                <w:szCs w:val="20"/>
              </w:rPr>
              <w:t xml:space="preserve">Broker MQTT local</w:t>
            </w:r>
          </w:p>
        </w:tc>
        <w:tc>
          <w:tcPr>
            <w:tcW w:type="dxa" w:w="3400"/>
          </w:tcPr>
          <w:p>
            <w:r>
              <w:rPr>
                <w:b w:val="false"/>
                <w:bCs w:val="false"/>
                <w:sz w:val="20"/>
                <w:szCs w:val="20"/>
              </w:rPr>
              <w:t xml:space="preserve">Mosquitto (dernière version stable)</w:t>
            </w:r>
          </w:p>
        </w:tc>
        <w:tc>
          <w:tcPr>
            <w:tcW w:type="dxa" w:w="3200"/>
          </w:tcPr>
          <w:p>
            <w:r>
              <w:rPr>
                <w:b w:val="false"/>
                <w:bCs w:val="false"/>
                <w:sz w:val="20"/>
                <w:szCs w:val="20"/>
              </w:rPr>
              <w:t xml:space="preserve">Bus de messages local</w:t>
            </w:r>
          </w:p>
        </w:tc>
      </w:tr>
      <w:tr>
        <w:tc>
          <w:tcPr>
            <w:tcW w:type="dxa" w:w="2400"/>
          </w:tcPr>
          <w:p>
            <w:r>
              <w:rPr>
                <w:b w:val="false"/>
                <w:bCs w:val="false"/>
                <w:sz w:val="20"/>
                <w:szCs w:val="20"/>
              </w:rPr>
              <w:t xml:space="preserve">Agent de relais</w:t>
            </w:r>
          </w:p>
        </w:tc>
        <w:tc>
          <w:tcPr>
            <w:tcW w:type="dxa" w:w="3400"/>
          </w:tcPr>
          <w:p>
            <w:r>
              <w:rPr>
                <w:b w:val="false"/>
                <w:bCs w:val="false"/>
                <w:sz w:val="20"/>
                <w:szCs w:val="20"/>
              </w:rPr>
              <w:t xml:space="preserve">Développement interne (Node.js ou Python)</w:t>
            </w:r>
          </w:p>
        </w:tc>
        <w:tc>
          <w:tcPr>
            <w:tcW w:type="dxa" w:w="3200"/>
          </w:tcPr>
          <w:p>
            <w:r>
              <w:rPr>
                <w:b w:val="false"/>
                <w:bCs w:val="false"/>
                <w:sz w:val="20"/>
                <w:szCs w:val="20"/>
              </w:rPr>
              <w:t xml:space="preserve">Pont MQTT local ↔ cloud (WebSocket/MQTT sur TLS)</w:t>
            </w:r>
          </w:p>
        </w:tc>
      </w:tr>
      <w:tr>
        <w:tc>
          <w:tcPr>
            <w:tcW w:type="dxa" w:w="2400"/>
          </w:tcPr>
          <w:p>
            <w:r>
              <w:rPr>
                <w:b w:val="false"/>
                <w:bCs w:val="false"/>
                <w:sz w:val="20"/>
                <w:szCs w:val="20"/>
              </w:rPr>
              <w:t xml:space="preserve">Provisioning réseau (MVP)</w:t>
            </w:r>
          </w:p>
        </w:tc>
        <w:tc>
          <w:tcPr>
            <w:tcW w:type="dxa" w:w="3400"/>
          </w:tcPr>
          <w:p>
            <w:r>
              <w:rPr>
                <w:b w:val="false"/>
                <w:bCs w:val="false"/>
                <w:sz w:val="20"/>
                <w:szCs w:val="20"/>
              </w:rPr>
              <w:t xml:space="preserve">hostapd + dnsmasq, ou brique RaspAP / balena-wifi-connect</w:t>
            </w:r>
          </w:p>
        </w:tc>
        <w:tc>
          <w:tcPr>
            <w:tcW w:type="dxa" w:w="3200"/>
          </w:tcPr>
          <w:p>
            <w:r>
              <w:rPr>
                <w:b w:val="false"/>
                <w:bCs w:val="false"/>
                <w:sz w:val="20"/>
                <w:szCs w:val="20"/>
              </w:rPr>
              <w:t xml:space="preserve">Hotspot Wi-Fi temporaire + portail captif</w:t>
            </w:r>
          </w:p>
        </w:tc>
      </w:tr>
    </w:tbl>
    <w:p>
      <w:pPr>
        <w:pStyle w:val="Heading2"/>
        <w:spacing w:after="150" w:before="300"/>
      </w:pPr>
      <w:r>
        <w:t xml:space="preserve">5.2 Sécurité locale</w:t>
      </w:r>
    </w:p>
    <w:p>
      <w:pPr>
        <w:pStyle w:val="ListParagraph"/>
        <w:numPr>
          <w:ilvl w:val="0"/>
          <w:numId w:val="2"/>
        </w:numPr>
        <w:spacing w:after="60"/>
      </w:pPr>
      <w:r>
        <w:t xml:space="preserve">Connexion sortante uniquement (le boîtier initie la connexion vers le cloud ; aucun port entrant ouvert, pas de configuration réseau demandée au client)</w:t>
      </w:r>
    </w:p>
    <w:p>
      <w:pPr>
        <w:pStyle w:val="ListParagraph"/>
        <w:numPr>
          <w:ilvl w:val="0"/>
          <w:numId w:val="2"/>
        </w:numPr>
        <w:spacing w:after="60"/>
      </w:pPr>
      <w:r>
        <w:t xml:space="preserve">permit_join Zigbee désactivé par défaut ; activé uniquement à la demande explicite via l'app, avec expiration automatique (60 s typique)</w:t>
      </w:r>
    </w:p>
    <w:p>
      <w:pPr>
        <w:pStyle w:val="ListParagraph"/>
        <w:numPr>
          <w:ilvl w:val="0"/>
          <w:numId w:val="2"/>
        </w:numPr>
        <w:spacing w:after="60"/>
      </w:pPr>
      <w:r>
        <w:t xml:space="preserve">Chiffrement réseau Zigbee 3.0 natif conservé</w:t>
      </w:r>
    </w:p>
    <w:p>
      <w:pPr>
        <w:pStyle w:val="ListParagraph"/>
        <w:numPr>
          <w:ilvl w:val="0"/>
          <w:numId w:val="2"/>
        </w:numPr>
        <w:spacing w:after="60"/>
      </w:pPr>
      <w:r>
        <w:t xml:space="preserve">TLS obligatoire sur toute communication agent ↔ cloud</w:t>
      </w:r>
    </w:p>
    <w:p>
      <w:pPr>
        <w:pStyle w:val="Heading1"/>
        <w:spacing w:after="200" w:before="400"/>
      </w:pPr>
      <w:r>
        <w:t xml:space="preserve">6. Backend cloud — Architecture applicative</w:t>
      </w:r>
    </w:p>
    <w:p>
      <w:pPr>
        <w:pStyle w:val="Heading2"/>
        <w:spacing w:after="150" w:before="300"/>
      </w:pPr>
      <w:r>
        <w:t xml:space="preserve">6.1 Couche d'abstraction Device Service</w:t>
      </w:r>
    </w:p>
    <w:p>
      <w:pPr>
        <w:spacing w:after="120"/>
      </w:pPr>
      <w:r>
        <w:t xml:space="preserve">Le backend expose un modèle unifié d'appareil (Device + Capabilities), indépendant du protocole ou du fabricant réel. Chaque protocole (Zigbee, Tuya, Hue, Tapo…) est implémenté sous forme de connecteur respectant une interface commune (DeviceConnector), ce qui permet d'ajouter un nouvel écosystème sans modifier l'application cliente ni le reste du backend.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6400"/>
      </w:tblGrid>
      <w:tr>
        <w:tc>
          <w:tcPr>
            <w:tcW w:type="dxa" w:w="2600"/>
            <w:shd w:fill="1F4E5F" w:color="auto" w:val="clear"/>
          </w:tcPr>
          <w:p>
            <w:r>
              <w:rPr>
                <w:b/>
                <w:bCs/>
                <w:color w:val="FFFFFF"/>
                <w:sz w:val="20"/>
                <w:szCs w:val="20"/>
              </w:rPr>
              <w:t xml:space="preserve">Élément</w:t>
            </w:r>
          </w:p>
        </w:tc>
        <w:tc>
          <w:tcPr>
            <w:tcW w:type="dxa" w:w="6400"/>
            <w:shd w:fill="1F4E5F" w:color="auto" w:val="clear"/>
          </w:tcPr>
          <w:p>
            <w:r>
              <w:rPr>
                <w:b/>
                <w:bCs/>
                <w:color w:val="FFFFFF"/>
                <w:sz w:val="20"/>
                <w:szCs w:val="20"/>
              </w:rPr>
              <w:t xml:space="preserve">Description</w:t>
            </w:r>
          </w:p>
        </w:tc>
      </w:tr>
      <w:tr>
        <w:tc>
          <w:tcPr>
            <w:tcW w:type="dxa" w:w="2600"/>
          </w:tcPr>
          <w:p>
            <w:r>
              <w:rPr>
                <w:b w:val="false"/>
                <w:bCs w:val="false"/>
                <w:sz w:val="20"/>
                <w:szCs w:val="20"/>
              </w:rPr>
              <w:t xml:space="preserve">Device</w:t>
            </w:r>
          </w:p>
        </w:tc>
        <w:tc>
          <w:tcPr>
            <w:tcW w:type="dxa" w:w="6400"/>
          </w:tcPr>
          <w:p>
            <w:r>
              <w:rPr>
                <w:b w:val="false"/>
                <w:bCs w:val="false"/>
                <w:sz w:val="20"/>
                <w:szCs w:val="20"/>
              </w:rPr>
              <w:t xml:space="preserve">Modèle générique : id, utilisateur, foyer, nom, pièce, capacités, statut en ligne</w:t>
            </w:r>
          </w:p>
        </w:tc>
      </w:tr>
      <w:tr>
        <w:tc>
          <w:tcPr>
            <w:tcW w:type="dxa" w:w="2600"/>
          </w:tcPr>
          <w:p>
            <w:r>
              <w:rPr>
                <w:b w:val="false"/>
                <w:bCs w:val="false"/>
                <w:sz w:val="20"/>
                <w:szCs w:val="20"/>
              </w:rPr>
              <w:t xml:space="preserve">Capability</w:t>
            </w:r>
          </w:p>
        </w:tc>
        <w:tc>
          <w:tcPr>
            <w:tcW w:type="dxa" w:w="6400"/>
          </w:tcPr>
          <w:p>
            <w:r>
              <w:rPr>
                <w:b w:val="false"/>
                <w:bCs w:val="false"/>
                <w:sz w:val="20"/>
                <w:szCs w:val="20"/>
              </w:rPr>
              <w:t xml:space="preserve">Fonction générique exposée (on_off, brightness, color, contact_sensor…)</w:t>
            </w:r>
          </w:p>
        </w:tc>
      </w:tr>
      <w:tr>
        <w:tc>
          <w:tcPr>
            <w:tcW w:type="dxa" w:w="2600"/>
          </w:tcPr>
          <w:p>
            <w:r>
              <w:rPr>
                <w:b w:val="false"/>
                <w:bCs w:val="false"/>
                <w:sz w:val="20"/>
                <w:szCs w:val="20"/>
              </w:rPr>
              <w:t xml:space="preserve">DeviceConnector</w:t>
            </w:r>
          </w:p>
        </w:tc>
        <w:tc>
          <w:tcPr>
            <w:tcW w:type="dxa" w:w="6400"/>
          </w:tcPr>
          <w:p>
            <w:r>
              <w:rPr>
                <w:b w:val="false"/>
                <w:bCs w:val="false"/>
                <w:sz w:val="20"/>
                <w:szCs w:val="20"/>
              </w:rPr>
              <w:t xml:space="preserve">Interface commune : discoverDevices, sendCommand, getState, onStateChange</w:t>
            </w:r>
          </w:p>
        </w:tc>
      </w:tr>
      <w:tr>
        <w:tc>
          <w:tcPr>
            <w:tcW w:type="dxa" w:w="2600"/>
          </w:tcPr>
          <w:p>
            <w:r>
              <w:rPr>
                <w:b w:val="false"/>
                <w:bCs w:val="false"/>
                <w:sz w:val="20"/>
                <w:szCs w:val="20"/>
              </w:rPr>
              <w:t xml:space="preserve">DeviceSource</w:t>
            </w:r>
          </w:p>
        </w:tc>
        <w:tc>
          <w:tcPr>
            <w:tcW w:type="dxa" w:w="6400"/>
          </w:tcPr>
          <w:p>
            <w:r>
              <w:rPr>
                <w:b w:val="false"/>
                <w:bCs w:val="false"/>
                <w:sz w:val="20"/>
                <w:szCs w:val="20"/>
              </w:rPr>
              <w:t xml:space="preserve">Provenance réelle masquée (identifiant Zigbee, identifiant Tuya + token, etc.)</w:t>
            </w:r>
          </w:p>
        </w:tc>
      </w:tr>
    </w:tbl>
    <w:p>
      <w:pPr>
        <w:pStyle w:val="Heading2"/>
        <w:spacing w:after="150" w:before="300"/>
      </w:pPr>
      <w:r>
        <w:t xml:space="preserve">6.2 Composants d'infrastructure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600"/>
        <w:gridCol w:w="3400"/>
        <w:gridCol w:w="3000"/>
      </w:tblGrid>
      <w:tr>
        <w:tc>
          <w:tcPr>
            <w:tcW w:type="dxa" w:w="2600"/>
            <w:shd w:fill="1F4E5F" w:color="auto" w:val="clear"/>
          </w:tcPr>
          <w:p>
            <w:r>
              <w:rPr>
                <w:b/>
                <w:bCs/>
                <w:color w:val="FFFFFF"/>
                <w:sz w:val="20"/>
                <w:szCs w:val="20"/>
              </w:rPr>
              <w:t xml:space="preserve">Composant</w:t>
            </w:r>
          </w:p>
        </w:tc>
        <w:tc>
          <w:tcPr>
            <w:tcW w:type="dxa" w:w="3400"/>
            <w:shd w:fill="1F4E5F" w:color="auto" w:val="clear"/>
          </w:tcPr>
          <w:p>
            <w:r>
              <w:rPr>
                <w:b/>
                <w:bCs/>
                <w:color w:val="FFFFFF"/>
                <w:sz w:val="20"/>
                <w:szCs w:val="20"/>
              </w:rPr>
              <w:t xml:space="preserve">Rôle</w:t>
            </w:r>
          </w:p>
        </w:tc>
        <w:tc>
          <w:tcPr>
            <w:tcW w:type="dxa" w:w="3000"/>
            <w:shd w:fill="1F4E5F" w:color="auto" w:val="clear"/>
          </w:tcPr>
          <w:p>
            <w:r>
              <w:rPr>
                <w:b/>
                <w:bCs/>
                <w:color w:val="FFFFFF"/>
                <w:sz w:val="20"/>
                <w:szCs w:val="20"/>
              </w:rPr>
              <w:t xml:space="preserve">Solution envisagée</w:t>
            </w:r>
          </w:p>
        </w:tc>
      </w:tr>
      <w:tr>
        <w:tc>
          <w:tcPr>
            <w:tcW w:type="dxa" w:w="2600"/>
          </w:tcPr>
          <w:p>
            <w:r>
              <w:rPr>
                <w:b w:val="false"/>
                <w:bCs w:val="false"/>
                <w:sz w:val="20"/>
                <w:szCs w:val="20"/>
              </w:rPr>
              <w:t xml:space="preserve">Broker de connexion boîtiers</w:t>
            </w:r>
          </w:p>
        </w:tc>
        <w:tc>
          <w:tcPr>
            <w:tcW w:type="dxa" w:w="3400"/>
          </w:tcPr>
          <w:p>
            <w:r>
              <w:rPr>
                <w:b w:val="false"/>
                <w:bCs w:val="false"/>
                <w:sz w:val="20"/>
                <w:szCs w:val="20"/>
              </w:rPr>
              <w:t xml:space="preserve">Gère des milliers de connexions persistantes boîtier ↔ cloud</w:t>
            </w:r>
          </w:p>
        </w:tc>
        <w:tc>
          <w:tcPr>
            <w:tcW w:type="dxa" w:w="3000"/>
          </w:tcPr>
          <w:p>
            <w:r>
              <w:rPr>
                <w:b w:val="false"/>
                <w:bCs w:val="false"/>
                <w:sz w:val="20"/>
                <w:szCs w:val="20"/>
              </w:rPr>
              <w:t xml:space="preserve">EMQX, HiveMQ, ou AWS IoT Core (MQTT scalable)</w:t>
            </w:r>
          </w:p>
        </w:tc>
      </w:tr>
      <w:tr>
        <w:tc>
          <w:tcPr>
            <w:tcW w:type="dxa" w:w="2600"/>
          </w:tcPr>
          <w:p>
            <w:r>
              <w:rPr>
                <w:b w:val="false"/>
                <w:bCs w:val="false"/>
                <w:sz w:val="20"/>
                <w:szCs w:val="20"/>
              </w:rPr>
              <w:t xml:space="preserve">Base de données relationnelle</w:t>
            </w:r>
          </w:p>
        </w:tc>
        <w:tc>
          <w:tcPr>
            <w:tcW w:type="dxa" w:w="3400"/>
          </w:tcPr>
          <w:p>
            <w:r>
              <w:rPr>
                <w:b w:val="false"/>
                <w:bCs w:val="false"/>
                <w:sz w:val="20"/>
                <w:szCs w:val="20"/>
              </w:rPr>
              <w:t xml:space="preserve">User → Home → Device Unit → Devices</w:t>
            </w:r>
          </w:p>
        </w:tc>
        <w:tc>
          <w:tcPr>
            <w:tcW w:type="dxa" w:w="3000"/>
          </w:tcPr>
          <w:p>
            <w:r>
              <w:rPr>
                <w:b w:val="false"/>
                <w:bCs w:val="false"/>
                <w:sz w:val="20"/>
                <w:szCs w:val="20"/>
              </w:rPr>
              <w:t xml:space="preserve">PostgreSQL</w:t>
            </w:r>
          </w:p>
        </w:tc>
      </w:tr>
      <w:tr>
        <w:tc>
          <w:tcPr>
            <w:tcW w:type="dxa" w:w="2600"/>
          </w:tcPr>
          <w:p>
            <w:r>
              <w:rPr>
                <w:b w:val="false"/>
                <w:bCs w:val="false"/>
                <w:sz w:val="20"/>
                <w:szCs w:val="20"/>
              </w:rPr>
              <w:t xml:space="preserve">API applicative</w:t>
            </w:r>
          </w:p>
        </w:tc>
        <w:tc>
          <w:tcPr>
            <w:tcW w:type="dxa" w:w="3400"/>
          </w:tcPr>
          <w:p>
            <w:r>
              <w:rPr>
                <w:b w:val="false"/>
                <w:bCs w:val="false"/>
                <w:sz w:val="20"/>
                <w:szCs w:val="20"/>
              </w:rPr>
              <w:t xml:space="preserve">Exposée à l'app mobile/web</w:t>
            </w:r>
          </w:p>
        </w:tc>
        <w:tc>
          <w:tcPr>
            <w:tcW w:type="dxa" w:w="3000"/>
          </w:tcPr>
          <w:p>
            <w:r>
              <w:rPr>
                <w:b w:val="false"/>
                <w:bCs w:val="false"/>
                <w:sz w:val="20"/>
                <w:szCs w:val="20"/>
              </w:rPr>
              <w:t xml:space="preserve">REST (ou GraphQL), authentification JWT</w:t>
            </w:r>
          </w:p>
        </w:tc>
      </w:tr>
      <w:tr>
        <w:tc>
          <w:tcPr>
            <w:tcW w:type="dxa" w:w="2600"/>
          </w:tcPr>
          <w:p>
            <w:r>
              <w:rPr>
                <w:b w:val="false"/>
                <w:bCs w:val="false"/>
                <w:sz w:val="20"/>
                <w:szCs w:val="20"/>
              </w:rPr>
              <w:t xml:space="preserve">Bus d'événements interne</w:t>
            </w:r>
          </w:p>
        </w:tc>
        <w:tc>
          <w:tcPr>
            <w:tcW w:type="dxa" w:w="3400"/>
          </w:tcPr>
          <w:p>
            <w:r>
              <w:rPr>
                <w:b w:val="false"/>
                <w:bCs w:val="false"/>
                <w:sz w:val="20"/>
                <w:szCs w:val="20"/>
              </w:rPr>
              <w:t xml:space="preserve">Diffusion des changements d'état</w:t>
            </w:r>
          </w:p>
        </w:tc>
        <w:tc>
          <w:tcPr>
            <w:tcW w:type="dxa" w:w="3000"/>
          </w:tcPr>
          <w:p>
            <w:r>
              <w:rPr>
                <w:b w:val="false"/>
                <w:bCs w:val="false"/>
                <w:sz w:val="20"/>
                <w:szCs w:val="20"/>
              </w:rPr>
              <w:t xml:space="preserve">Redis Pub/Sub ou équivalent</w:t>
            </w:r>
          </w:p>
        </w:tc>
      </w:tr>
      <w:tr>
        <w:tc>
          <w:tcPr>
            <w:tcW w:type="dxa" w:w="2600"/>
          </w:tcPr>
          <w:p>
            <w:r>
              <w:rPr>
                <w:b w:val="false"/>
                <w:bCs w:val="false"/>
                <w:sz w:val="20"/>
                <w:szCs w:val="20"/>
              </w:rPr>
              <w:t xml:space="preserve">Authentification device</w:t>
            </w:r>
          </w:p>
        </w:tc>
        <w:tc>
          <w:tcPr>
            <w:tcW w:type="dxa" w:w="3400"/>
          </w:tcPr>
          <w:p>
            <w:r>
              <w:rPr>
                <w:b w:val="false"/>
                <w:bCs w:val="false"/>
                <w:sz w:val="20"/>
                <w:szCs w:val="20"/>
              </w:rPr>
              <w:t xml:space="preserve">Identité de chaque boîtier</w:t>
            </w:r>
          </w:p>
        </w:tc>
        <w:tc>
          <w:tcPr>
            <w:tcW w:type="dxa" w:w="3000"/>
          </w:tcPr>
          <w:p>
            <w:r>
              <w:rPr>
                <w:b w:val="false"/>
                <w:bCs w:val="false"/>
                <w:sz w:val="20"/>
                <w:szCs w:val="20"/>
              </w:rPr>
              <w:t xml:space="preserve">Certificats X.509 ou JWT par device</w:t>
            </w:r>
          </w:p>
        </w:tc>
      </w:tr>
    </w:tbl>
    <w:p>
      <w:pPr>
        <w:pStyle w:val="Heading1"/>
        <w:spacing w:after="200" w:before="400"/>
      </w:pPr>
      <w:r>
        <w:t xml:space="preserve">7. API et intégrations tierces à utiliser</w:t>
      </w:r>
    </w:p>
    <w:p>
      <w:pPr>
        <w:spacing w:after="120"/>
      </w:pPr>
      <w:r>
        <w:t xml:space="preserve">Liste des API externes envisagées pour couvrir les appareils Wi-Fi déjà présents chez les clients, avec leur mode d'authentification et leur statut au moment de la rédaction (à revérifier périodiquement, ces plateformes évoluant fréquemment).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3400"/>
        <w:gridCol w:w="2600"/>
        <w:gridCol w:w="1400"/>
      </w:tblGrid>
      <w:tr>
        <w:tc>
          <w:tcPr>
            <w:tcW w:type="dxa" w:w="1600"/>
            <w:shd w:fill="1F4E5F" w:color="auto" w:val="clear"/>
          </w:tcPr>
          <w:p>
            <w:r>
              <w:rPr>
                <w:b/>
                <w:bCs/>
                <w:color w:val="FFFFFF"/>
                <w:sz w:val="20"/>
                <w:szCs w:val="20"/>
              </w:rPr>
              <w:t xml:space="preserve">Écosystème</w:t>
            </w:r>
          </w:p>
        </w:tc>
        <w:tc>
          <w:tcPr>
            <w:tcW w:type="dxa" w:w="3400"/>
            <w:shd w:fill="1F4E5F" w:color="auto" w:val="clear"/>
          </w:tcPr>
          <w:p>
            <w:r>
              <w:rPr>
                <w:b/>
                <w:bCs/>
                <w:color w:val="FFFFFF"/>
                <w:sz w:val="20"/>
                <w:szCs w:val="20"/>
              </w:rPr>
              <w:t xml:space="preserve">API / plateforme</w:t>
            </w:r>
          </w:p>
        </w:tc>
        <w:tc>
          <w:tcPr>
            <w:tcW w:type="dxa" w:w="2600"/>
            <w:shd w:fill="1F4E5F" w:color="auto" w:val="clear"/>
          </w:tcPr>
          <w:p>
            <w:r>
              <w:rPr>
                <w:b/>
                <w:bCs/>
                <w:color w:val="FFFFFF"/>
                <w:sz w:val="20"/>
                <w:szCs w:val="20"/>
              </w:rPr>
              <w:t xml:space="preserve">Authentification</w:t>
            </w:r>
          </w:p>
        </w:tc>
        <w:tc>
          <w:tcPr>
            <w:tcW w:type="dxa" w:w="1400"/>
            <w:shd w:fill="1F4E5F" w:color="auto" w:val="clear"/>
          </w:tcPr>
          <w:p>
            <w:r>
              <w:rPr>
                <w:b/>
                <w:bCs/>
                <w:color w:val="FFFFFF"/>
                <w:sz w:val="20"/>
                <w:szCs w:val="20"/>
              </w:rPr>
              <w:t xml:space="preserve">Priorité</w:t>
            </w:r>
          </w:p>
        </w:tc>
      </w:tr>
      <w:tr>
        <w:tc>
          <w:tcPr>
            <w:tcW w:type="dxa" w:w="1600"/>
          </w:tcPr>
          <w:p>
            <w:r>
              <w:rPr>
                <w:b w:val="false"/>
                <w:bCs w:val="false"/>
                <w:sz w:val="20"/>
                <w:szCs w:val="20"/>
              </w:rPr>
              <w:t xml:space="preserve">Tuya</w:t>
            </w:r>
          </w:p>
        </w:tc>
        <w:tc>
          <w:tcPr>
            <w:tcW w:type="dxa" w:w="3400"/>
          </w:tcPr>
          <w:p>
            <w:r>
              <w:rPr>
                <w:b w:val="false"/>
                <w:bCs w:val="false"/>
                <w:sz w:val="20"/>
                <w:szCs w:val="20"/>
              </w:rPr>
              <w:t xml:space="preserve">Tuya IoT / Cloud Development Platform (OpenAPI, API Explorer, Smart Home / Industry service)</w:t>
            </w:r>
          </w:p>
        </w:tc>
        <w:tc>
          <w:tcPr>
            <w:tcW w:type="dxa" w:w="2600"/>
          </w:tcPr>
          <w:p>
            <w:r>
              <w:rPr>
                <w:b w:val="false"/>
                <w:bCs w:val="false"/>
                <w:sz w:val="20"/>
                <w:szCs w:val="20"/>
              </w:rPr>
              <w:t xml:space="preserve">OAuth (compte lié) + clé Client ID/Secret projet cloud</w:t>
            </w:r>
          </w:p>
        </w:tc>
        <w:tc>
          <w:tcPr>
            <w:tcW w:type="dxa" w:w="1400"/>
          </w:tcPr>
          <w:p>
            <w:r>
              <w:rPr>
                <w:b w:val="false"/>
                <w:bCs w:val="false"/>
                <w:sz w:val="20"/>
                <w:szCs w:val="20"/>
              </w:rPr>
              <w:t xml:space="preserve">Haute — couverture la plus large de marques bon marché</w:t>
            </w:r>
          </w:p>
        </w:tc>
      </w:tr>
      <w:tr>
        <w:tc>
          <w:tcPr>
            <w:tcW w:type="dxa" w:w="1600"/>
          </w:tcPr>
          <w:p>
            <w:r>
              <w:rPr>
                <w:b w:val="false"/>
                <w:bCs w:val="false"/>
                <w:sz w:val="20"/>
                <w:szCs w:val="20"/>
              </w:rPr>
              <w:t xml:space="preserve">Philips Hue</w:t>
            </w:r>
          </w:p>
        </w:tc>
        <w:tc>
          <w:tcPr>
            <w:tcW w:type="dxa" w:w="3400"/>
          </w:tcPr>
          <w:p>
            <w:r>
              <w:rPr>
                <w:b w:val="false"/>
                <w:bCs w:val="false"/>
                <w:sz w:val="20"/>
                <w:szCs w:val="20"/>
              </w:rPr>
              <w:t xml:space="preserve">CLIP API v2 (HTTPS obligatoire, V1 en dépréciation progressive)</w:t>
            </w:r>
          </w:p>
        </w:tc>
        <w:tc>
          <w:tcPr>
            <w:tcW w:type="dxa" w:w="2600"/>
          </w:tcPr>
          <w:p>
            <w:r>
              <w:rPr>
                <w:b w:val="false"/>
                <w:bCs w:val="false"/>
                <w:sz w:val="20"/>
                <w:szCs w:val="20"/>
              </w:rPr>
              <w:t xml:space="preserve">OAuth2 (endpoint /v2/oauth2) ou clé locale appairée au bridge</w:t>
            </w:r>
          </w:p>
        </w:tc>
        <w:tc>
          <w:tcPr>
            <w:tcW w:type="dxa" w:w="1400"/>
          </w:tcPr>
          <w:p>
            <w:r>
              <w:rPr>
                <w:b w:val="false"/>
                <w:bCs w:val="false"/>
                <w:sz w:val="20"/>
                <w:szCs w:val="20"/>
              </w:rPr>
              <w:t xml:space="preserve">Moyenne — segment premium</w:t>
            </w:r>
          </w:p>
        </w:tc>
      </w:tr>
      <w:tr>
        <w:tc>
          <w:tcPr>
            <w:tcW w:type="dxa" w:w="1600"/>
          </w:tcPr>
          <w:p>
            <w:r>
              <w:rPr>
                <w:b w:val="false"/>
                <w:bCs w:val="false"/>
                <w:sz w:val="20"/>
                <w:szCs w:val="20"/>
              </w:rPr>
              <w:t xml:space="preserve">TP-Link (Tapo/Kasa)</w:t>
            </w:r>
          </w:p>
        </w:tc>
        <w:tc>
          <w:tcPr>
            <w:tcW w:type="dxa" w:w="3400"/>
          </w:tcPr>
          <w:p>
            <w:r>
              <w:rPr>
                <w:b w:val="false"/>
                <w:bCs w:val="false"/>
                <w:sz w:val="20"/>
                <w:szCs w:val="20"/>
              </w:rPr>
              <w:t xml:space="preserve">API cloud TP-Link (non officiellement ouverte à tous, accès via programme partenaire ou bibliothèques communautaires)</w:t>
            </w:r>
          </w:p>
        </w:tc>
        <w:tc>
          <w:tcPr>
            <w:tcW w:type="dxa" w:w="2600"/>
          </w:tcPr>
          <w:p>
            <w:r>
              <w:rPr>
                <w:b w:val="false"/>
                <w:bCs w:val="false"/>
                <w:sz w:val="20"/>
                <w:szCs w:val="20"/>
              </w:rPr>
              <w:t xml:space="preserve">Compte cloud TP-Link</w:t>
            </w:r>
          </w:p>
        </w:tc>
        <w:tc>
          <w:tcPr>
            <w:tcW w:type="dxa" w:w="1400"/>
          </w:tcPr>
          <w:p>
            <w:r>
              <w:rPr>
                <w:b w:val="false"/>
                <w:bCs w:val="false"/>
                <w:sz w:val="20"/>
                <w:szCs w:val="20"/>
              </w:rPr>
              <w:t xml:space="preserve">Basse à moyenne — selon demande clients</w:t>
            </w:r>
          </w:p>
        </w:tc>
      </w:tr>
      <w:tr>
        <w:tc>
          <w:tcPr>
            <w:tcW w:type="dxa" w:w="1600"/>
          </w:tcPr>
          <w:p>
            <w:r>
              <w:rPr>
                <w:b w:val="false"/>
                <w:bCs w:val="false"/>
                <w:sz w:val="20"/>
                <w:szCs w:val="20"/>
              </w:rPr>
              <w:t xml:space="preserve">Zigbee (local)</w:t>
            </w:r>
          </w:p>
        </w:tc>
        <w:tc>
          <w:tcPr>
            <w:tcW w:type="dxa" w:w="3400"/>
          </w:tcPr>
          <w:p>
            <w:r>
              <w:rPr>
                <w:b w:val="false"/>
                <w:bCs w:val="false"/>
                <w:sz w:val="20"/>
                <w:szCs w:val="20"/>
              </w:rPr>
              <w:t xml:space="preserve">Zigbee2MQTT (pas une API cloud — pont MQTT local)</w:t>
            </w:r>
          </w:p>
        </w:tc>
        <w:tc>
          <w:tcPr>
            <w:tcW w:type="dxa" w:w="2600"/>
          </w:tcPr>
          <w:p>
            <w:r>
              <w:rPr>
                <w:b w:val="false"/>
                <w:bCs w:val="false"/>
                <w:sz w:val="20"/>
                <w:szCs w:val="20"/>
              </w:rPr>
              <w:t xml:space="preserve">Réseau Zigbee chiffré + MQTT local sécurisé</w:t>
            </w:r>
          </w:p>
        </w:tc>
        <w:tc>
          <w:tcPr>
            <w:tcW w:type="dxa" w:w="1400"/>
          </w:tcPr>
          <w:p>
            <w:r>
              <w:rPr>
                <w:b w:val="false"/>
                <w:bCs w:val="false"/>
                <w:sz w:val="20"/>
                <w:szCs w:val="20"/>
              </w:rPr>
              <w:t xml:space="preserve">Haute — cœur du boîtier</w:t>
            </w:r>
          </w:p>
        </w:tc>
      </w:tr>
    </w:tbl>
    <w:p>
      <w:pPr>
        <w:pStyle w:val="Heading2"/>
        <w:spacing w:after="150" w:before="300"/>
      </w:pPr>
      <w:r>
        <w:t xml:space="preserve">7.1 Points de vigilance sur les API tierces</w:t>
      </w:r>
    </w:p>
    <w:p>
      <w:pPr>
        <w:pStyle w:val="ListParagraph"/>
        <w:numPr>
          <w:ilvl w:val="0"/>
          <w:numId w:val="2"/>
        </w:numPr>
        <w:spacing w:after="60"/>
      </w:pPr>
      <w:r>
        <w:t xml:space="preserve">Tuya applique des quotas d'appels API gratuits limités ; au-delà, un abonnement payant au volume est nécessaire — à intégrer dans le modèle de coût du produit</w:t>
      </w:r>
    </w:p>
    <w:p>
      <w:pPr>
        <w:pStyle w:val="ListParagraph"/>
        <w:numPr>
          <w:ilvl w:val="0"/>
          <w:numId w:val="2"/>
        </w:numPr>
        <w:spacing w:after="60"/>
      </w:pPr>
      <w:r>
        <w:t xml:space="preserve">Les conditions d'accès aux API de ces plateformes peuvent changer unilatéralement (dépréciation, changement de tarifs) : risque de dépendance à surveiller dans la roadmap produit</w:t>
      </w:r>
    </w:p>
    <w:p>
      <w:pPr>
        <w:pStyle w:val="ListParagraph"/>
        <w:numPr>
          <w:ilvl w:val="0"/>
          <w:numId w:val="2"/>
        </w:numPr>
        <w:spacing w:after="60"/>
      </w:pPr>
      <w:r>
        <w:t xml:space="preserve">Vérifier la documentation officielle à jour de chaque plateforme avant l'implémentation, les versions d'API évoluant régulièrement</w:t>
      </w:r>
    </w:p>
    <w:p>
      <w:pPr>
        <w:pStyle w:val="Heading1"/>
        <w:spacing w:after="200" w:before="400"/>
      </w:pPr>
      <w:r>
        <w:t xml:space="preserve">8. Provisioning et association des appareils</w:t>
      </w:r>
    </w:p>
    <w:p>
      <w:pPr>
        <w:pStyle w:val="Heading2"/>
        <w:spacing w:after="150" w:before="300"/>
      </w:pPr>
      <w:r>
        <w:t xml:space="preserve">8.1 Provisioning réseau du boîtier (connexion Wi-Fi initiale)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600"/>
        <w:gridCol w:w="6000"/>
        <w:gridCol w:w="1400"/>
      </w:tblGrid>
      <w:tr>
        <w:tc>
          <w:tcPr>
            <w:tcW w:type="dxa" w:w="1600"/>
            <w:shd w:fill="1F4E5F" w:color="auto" w:val="clear"/>
          </w:tcPr>
          <w:p>
            <w:r>
              <w:rPr>
                <w:b/>
                <w:bCs/>
                <w:color w:val="FFFFFF"/>
                <w:sz w:val="20"/>
                <w:szCs w:val="20"/>
              </w:rPr>
              <w:t xml:space="preserve">Version</w:t>
            </w:r>
          </w:p>
        </w:tc>
        <w:tc>
          <w:tcPr>
            <w:tcW w:type="dxa" w:w="6000"/>
            <w:shd w:fill="1F4E5F" w:color="auto" w:val="clear"/>
          </w:tcPr>
          <w:p>
            <w:r>
              <w:rPr>
                <w:b/>
                <w:bCs/>
                <w:color w:val="FFFFFF"/>
                <w:sz w:val="20"/>
                <w:szCs w:val="20"/>
              </w:rPr>
              <w:t xml:space="preserve">Méthode</w:t>
            </w:r>
          </w:p>
        </w:tc>
        <w:tc>
          <w:tcPr>
            <w:tcW w:type="dxa" w:w="1400"/>
            <w:shd w:fill="1F4E5F" w:color="auto" w:val="clear"/>
          </w:tcPr>
          <w:p>
            <w:r>
              <w:rPr>
                <w:b/>
                <w:bCs/>
                <w:color w:val="FFFFFF"/>
                <w:sz w:val="20"/>
                <w:szCs w:val="20"/>
              </w:rPr>
              <w:t xml:space="preserve">Statut</w:t>
            </w:r>
          </w:p>
        </w:tc>
      </w:tr>
      <w:tr>
        <w:tc>
          <w:tcPr>
            <w:tcW w:type="dxa" w:w="1600"/>
          </w:tcPr>
          <w:p>
            <w:r>
              <w:rPr>
                <w:b w:val="false"/>
                <w:bCs w:val="false"/>
                <w:sz w:val="20"/>
                <w:szCs w:val="20"/>
              </w:rPr>
              <w:t xml:space="preserve">V1 (MVP)</w:t>
            </w:r>
          </w:p>
        </w:tc>
        <w:tc>
          <w:tcPr>
            <w:tcW w:type="dxa" w:w="6000"/>
          </w:tcPr>
          <w:p>
            <w:r>
              <w:rPr>
                <w:b w:val="false"/>
                <w:bCs w:val="false"/>
                <w:sz w:val="20"/>
                <w:szCs w:val="20"/>
              </w:rPr>
              <w:t xml:space="preserve">Hotspot Wi-Fi temporaire + portail captif (hostapd/dnsmasq, ou RaspAP/balena-wifi-connect)</w:t>
            </w:r>
          </w:p>
        </w:tc>
        <w:tc>
          <w:tcPr>
            <w:tcW w:type="dxa" w:w="1400"/>
          </w:tcPr>
          <w:p>
            <w:r>
              <w:rPr>
                <w:b w:val="false"/>
                <w:bCs w:val="false"/>
                <w:sz w:val="20"/>
                <w:szCs w:val="20"/>
              </w:rPr>
              <w:t xml:space="preserve">Retenu pour le lancement</w:t>
            </w:r>
          </w:p>
        </w:tc>
      </w:tr>
      <w:tr>
        <w:tc>
          <w:tcPr>
            <w:tcW w:type="dxa" w:w="1600"/>
          </w:tcPr>
          <w:p>
            <w:r>
              <w:rPr>
                <w:b w:val="false"/>
                <w:bCs w:val="false"/>
                <w:sz w:val="20"/>
                <w:szCs w:val="20"/>
              </w:rPr>
              <w:t xml:space="preserve">V2</w:t>
            </w:r>
          </w:p>
        </w:tc>
        <w:tc>
          <w:tcPr>
            <w:tcW w:type="dxa" w:w="6000"/>
          </w:tcPr>
          <w:p>
            <w:r>
              <w:rPr>
                <w:b w:val="false"/>
                <w:bCs w:val="false"/>
                <w:sz w:val="20"/>
                <w:szCs w:val="20"/>
              </w:rPr>
              <w:t xml:space="preserve">Bluetooth Low Energy (BLE) — configuration directement depuis l'app, sans changement de réseau Wi-Fi manuel</w:t>
            </w:r>
          </w:p>
        </w:tc>
        <w:tc>
          <w:tcPr>
            <w:tcW w:type="dxa" w:w="1400"/>
          </w:tcPr>
          <w:p>
            <w:r>
              <w:rPr>
                <w:b w:val="false"/>
                <w:bCs w:val="false"/>
                <w:sz w:val="20"/>
                <w:szCs w:val="20"/>
              </w:rPr>
              <w:t xml:space="preserve">Migration prévue après validation du MVP</w:t>
            </w:r>
          </w:p>
        </w:tc>
      </w:tr>
    </w:tbl>
    <w:p>
      <w:pPr>
        <w:pStyle w:val="Heading2"/>
        <w:spacing w:after="150" w:before="300"/>
      </w:pPr>
      <w:r>
        <w:t xml:space="preserve">8.2 Association boîtier ↔ compte utilisateur</w:t>
      </w:r>
    </w:p>
    <w:p>
      <w:pPr>
        <w:pStyle w:val="ListParagraph"/>
        <w:numPr>
          <w:ilvl w:val="0"/>
          <w:numId w:val="2"/>
        </w:numPr>
        <w:spacing w:after="60"/>
      </w:pPr>
      <w:r>
        <w:t xml:space="preserve">Chaque boîtier reçoit à la fabrication un identifiant unique (device_id) et un secret cryptographique</w:t>
      </w:r>
    </w:p>
    <w:p>
      <w:pPr>
        <w:pStyle w:val="ListParagraph"/>
        <w:numPr>
          <w:ilvl w:val="0"/>
          <w:numId w:val="2"/>
        </w:numPr>
        <w:spacing w:after="60"/>
      </w:pPr>
      <w:r>
        <w:t xml:space="preserve">Un QR code (encodant le device_id et un code d'appairage à usage unique et durée limitée) est apposé sur le boîtier</w:t>
      </w:r>
    </w:p>
    <w:p>
      <w:pPr>
        <w:pStyle w:val="ListParagraph"/>
        <w:numPr>
          <w:ilvl w:val="0"/>
          <w:numId w:val="2"/>
        </w:numPr>
        <w:spacing w:after="60"/>
      </w:pPr>
      <w:r>
        <w:t xml:space="preserve">Le client scanne ce QR code depuis l'app pour associer le boîtier à son compte (endpoint de type POST /devices/claim)</w:t>
      </w:r>
    </w:p>
    <w:p>
      <w:pPr>
        <w:pStyle w:val="ListParagraph"/>
        <w:numPr>
          <w:ilvl w:val="0"/>
          <w:numId w:val="2"/>
        </w:numPr>
        <w:spacing w:after="60"/>
      </w:pPr>
      <w:r>
        <w:t xml:space="preserve">Le boîtier s'authentifie indépendamment auprès du cloud via son device_id + secret embarqué</w:t>
      </w:r>
    </w:p>
    <w:p>
      <w:pPr>
        <w:pStyle w:val="Heading2"/>
        <w:spacing w:after="150" w:before="300"/>
      </w:pPr>
      <w:r>
        <w:t xml:space="preserve">8.3 Association des appareils Zigbee</w:t>
      </w:r>
    </w:p>
    <w:p>
      <w:pPr>
        <w:pStyle w:val="ListParagraph"/>
        <w:numPr>
          <w:ilvl w:val="0"/>
          <w:numId w:val="2"/>
        </w:numPr>
        <w:spacing w:after="60"/>
      </w:pPr>
      <w:r>
        <w:t xml:space="preserve">Activation temporaire du mode association (permit_join) depuis l'app, via l'agent local</w:t>
      </w:r>
    </w:p>
    <w:p>
      <w:pPr>
        <w:pStyle w:val="ListParagraph"/>
        <w:numPr>
          <w:ilvl w:val="0"/>
          <w:numId w:val="2"/>
        </w:numPr>
        <w:spacing w:after="60"/>
      </w:pPr>
      <w:r>
        <w:t xml:space="preserve">Détection de l'appareil par Zigbee2MQTT (événement device_joined) puis relais vers l'app en temps réel</w:t>
      </w:r>
    </w:p>
    <w:p>
      <w:pPr>
        <w:pStyle w:val="ListParagraph"/>
        <w:numPr>
          <w:ilvl w:val="0"/>
          <w:numId w:val="2"/>
        </w:numPr>
        <w:spacing w:after="60"/>
      </w:pPr>
      <w:r>
        <w:t xml:space="preserve">Attribution d'un nom convivial et d'une pièce par l'utilisateur, puis fermeture automatique du mode association</w:t>
      </w:r>
    </w:p>
    <w:p>
      <w:pPr>
        <w:pStyle w:val="Heading2"/>
        <w:spacing w:after="150" w:before="300"/>
      </w:pPr>
      <w:r>
        <w:t xml:space="preserve">8.4 Association des appareils cloud tiers (Tuya, Hue, Tapo…)</w:t>
      </w:r>
    </w:p>
    <w:p>
      <w:pPr>
        <w:pStyle w:val="ListParagraph"/>
        <w:numPr>
          <w:ilvl w:val="0"/>
          <w:numId w:val="2"/>
        </w:numPr>
        <w:spacing w:after="60"/>
      </w:pPr>
      <w:r>
        <w:t xml:space="preserve">Connexion du compte du fabricant via flux OAuth (WebView intégrée à l'app)</w:t>
      </w:r>
    </w:p>
    <w:p>
      <w:pPr>
        <w:pStyle w:val="ListParagraph"/>
        <w:numPr>
          <w:ilvl w:val="0"/>
          <w:numId w:val="2"/>
        </w:numPr>
        <w:spacing w:after="60"/>
      </w:pPr>
      <w:r>
        <w:t xml:space="preserve">Récupération automatique de la liste des appareils déjà configurés sur ce compte</w:t>
      </w:r>
    </w:p>
    <w:p>
      <w:pPr>
        <w:pStyle w:val="ListParagraph"/>
        <w:numPr>
          <w:ilvl w:val="0"/>
          <w:numId w:val="2"/>
        </w:numPr>
        <w:spacing w:after="60"/>
      </w:pPr>
      <w:r>
        <w:t xml:space="preserve">Sélection par l'utilisateur des appareils à importer dans la plateforme</w:t>
      </w:r>
    </w:p>
    <w:p>
      <w:pPr>
        <w:pStyle w:val="Heading1"/>
        <w:spacing w:after="200" w:before="400"/>
      </w:pPr>
      <w:r>
        <w:t xml:space="preserve">9. Sécurité et isolation multi-tenant</w:t>
      </w:r>
    </w:p>
    <w:p>
      <w:pPr>
        <w:pStyle w:val="ListParagraph"/>
        <w:numPr>
          <w:ilvl w:val="0"/>
          <w:numId w:val="2"/>
        </w:numPr>
        <w:spacing w:after="60"/>
      </w:pPr>
      <w:r>
        <w:t xml:space="preserve">Isolation stricte des données par utilisateur (chaque device_id/user_id ne peut accéder qu'à ses propres canaux/topics)</w:t>
      </w:r>
    </w:p>
    <w:p>
      <w:pPr>
        <w:pStyle w:val="ListParagraph"/>
        <w:numPr>
          <w:ilvl w:val="0"/>
          <w:numId w:val="2"/>
        </w:numPr>
        <w:spacing w:after="60"/>
      </w:pPr>
      <w:r>
        <w:t xml:space="preserve">TLS systématique sur toutes les communications boîtier ↔ cloud et app ↔ backend</w:t>
      </w:r>
    </w:p>
    <w:p>
      <w:pPr>
        <w:pStyle w:val="ListParagraph"/>
        <w:numPr>
          <w:ilvl w:val="0"/>
          <w:numId w:val="2"/>
        </w:numPr>
        <w:spacing w:after="60"/>
      </w:pPr>
      <w:r>
        <w:t xml:space="preserve">ACL (règles d'accès) au niveau du broker MQTT cloud, en complément d'une vérification systématique côté backend</w:t>
      </w:r>
    </w:p>
    <w:p>
      <w:pPr>
        <w:pStyle w:val="ListParagraph"/>
        <w:numPr>
          <w:ilvl w:val="0"/>
          <w:numId w:val="2"/>
        </w:numPr>
        <w:spacing w:after="60"/>
      </w:pPr>
      <w:r>
        <w:t xml:space="preserve">Rotation possible des tokens/secrets en cas de compromission d'un boîtier, sans impact sur les autres utilisateurs</w:t>
      </w:r>
    </w:p>
    <w:p>
      <w:pPr>
        <w:pStyle w:val="ListParagraph"/>
        <w:numPr>
          <w:ilvl w:val="0"/>
          <w:numId w:val="2"/>
        </w:numPr>
        <w:spacing w:after="60"/>
      </w:pPr>
      <w:r>
        <w:t xml:space="preserve">Rate limiting par device pour limiter l'impact d'un boîtier compromis ou défaillant</w:t>
      </w:r>
    </w:p>
    <w:p>
      <w:pPr>
        <w:pStyle w:val="ListParagraph"/>
        <w:numPr>
          <w:ilvl w:val="0"/>
          <w:numId w:val="2"/>
        </w:numPr>
        <w:spacing w:after="60"/>
      </w:pPr>
      <w:r>
        <w:t xml:space="preserve">Stockage sécurisé des tokens OAuth des comptes tiers (Tuya, Hue…), avec gestion du refresh automatique</w:t>
      </w:r>
    </w:p>
    <w:p>
      <w:pPr>
        <w:pStyle w:val="Heading1"/>
        <w:spacing w:after="200" w:before="400"/>
      </w:pPr>
      <w:r>
        <w:t xml:space="preserve">10. Roadmap de version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7000"/>
      </w:tblGrid>
      <w:tr>
        <w:tc>
          <w:tcPr>
            <w:tcW w:type="dxa" w:w="2000"/>
            <w:shd w:fill="1F4E5F" w:color="auto" w:val="clear"/>
          </w:tcPr>
          <w:p>
            <w:r>
              <w:rPr>
                <w:b/>
                <w:bCs/>
                <w:color w:val="FFFFFF"/>
                <w:sz w:val="20"/>
                <w:szCs w:val="20"/>
              </w:rPr>
              <w:t xml:space="preserve">Version</w:t>
            </w:r>
          </w:p>
        </w:tc>
        <w:tc>
          <w:tcPr>
            <w:tcW w:type="dxa" w:w="7000"/>
            <w:shd w:fill="1F4E5F" w:color="auto" w:val="clear"/>
          </w:tcPr>
          <w:p>
            <w:r>
              <w:rPr>
                <w:b/>
                <w:bCs/>
                <w:color w:val="FFFFFF"/>
                <w:sz w:val="20"/>
                <w:szCs w:val="20"/>
              </w:rPr>
              <w:t xml:space="preserve">Contenu</w:t>
            </w:r>
          </w:p>
        </w:tc>
      </w:tr>
      <w:tr>
        <w:tc>
          <w:tcPr>
            <w:tcW w:type="dxa" w:w="2000"/>
          </w:tcPr>
          <w:p>
            <w:r>
              <w:rPr>
                <w:b w:val="false"/>
                <w:bCs w:val="false"/>
                <w:sz w:val="20"/>
                <w:szCs w:val="20"/>
              </w:rPr>
              <w:t xml:space="preserve">V1 — MVP</w:t>
            </w:r>
          </w:p>
        </w:tc>
        <w:tc>
          <w:tcPr>
            <w:tcW w:type="dxa" w:w="7000"/>
          </w:tcPr>
          <w:p>
            <w:r>
              <w:rPr>
                <w:b w:val="false"/>
                <w:bCs w:val="false"/>
                <w:sz w:val="20"/>
                <w:szCs w:val="20"/>
              </w:rPr>
              <w:t xml:space="preserve">Boîtier mini-hôte (Zigbee2MQTT + agent), provisioning hotspot Wi-Fi, connecteur Tuya, association par QR code, app mobile/web de base</w:t>
            </w:r>
          </w:p>
        </w:tc>
      </w:tr>
      <w:tr>
        <w:tc>
          <w:tcPr>
            <w:tcW w:type="dxa" w:w="2000"/>
          </w:tcPr>
          <w:p>
            <w:r>
              <w:rPr>
                <w:b w:val="false"/>
                <w:bCs w:val="false"/>
                <w:sz w:val="20"/>
                <w:szCs w:val="20"/>
              </w:rPr>
              <w:t xml:space="preserve">V2</w:t>
            </w:r>
          </w:p>
        </w:tc>
        <w:tc>
          <w:tcPr>
            <w:tcW w:type="dxa" w:w="7000"/>
          </w:tcPr>
          <w:p>
            <w:r>
              <w:rPr>
                <w:b w:val="false"/>
                <w:bCs w:val="false"/>
                <w:sz w:val="20"/>
                <w:szCs w:val="20"/>
              </w:rPr>
              <w:t xml:space="preserve">Migration du provisioning vers BLE, ajout des connecteurs Hue et Tapo, automatisations simples côté app</w:t>
            </w:r>
          </w:p>
        </w:tc>
      </w:tr>
      <w:tr>
        <w:tc>
          <w:tcPr>
            <w:tcW w:type="dxa" w:w="2000"/>
          </w:tcPr>
          <w:p>
            <w:r>
              <w:rPr>
                <w:b w:val="false"/>
                <w:bCs w:val="false"/>
                <w:sz w:val="20"/>
                <w:szCs w:val="20"/>
              </w:rPr>
              <w:t xml:space="preserve">V3</w:t>
            </w:r>
          </w:p>
        </w:tc>
        <w:tc>
          <w:tcPr>
            <w:tcW w:type="dxa" w:w="7000"/>
          </w:tcPr>
          <w:p>
            <w:r>
              <w:rPr>
                <w:b w:val="false"/>
                <w:bCs w:val="false"/>
                <w:sz w:val="20"/>
                <w:szCs w:val="20"/>
              </w:rPr>
              <w:t xml:space="preserve">Automatisations locales (fonctionnement partiel sans connexion Internet), monitoring de flotte, mises à jour OTA des boîtiers, connecteurs supplémentaires selon la demande</w:t>
            </w:r>
          </w:p>
        </w:tc>
      </w:tr>
    </w:tbl>
    <w:p>
      <w:pPr>
        <w:pStyle w:val="Heading1"/>
        <w:spacing w:after="200" w:before="400"/>
      </w:pPr>
      <w:r>
        <w:t xml:space="preserve">11. Annexes</w:t>
      </w:r>
    </w:p>
    <w:p>
      <w:pPr>
        <w:pStyle w:val="Heading2"/>
        <w:spacing w:after="150" w:before="300"/>
      </w:pPr>
      <w:r>
        <w:t xml:space="preserve">11.1 Glossaire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6800"/>
      </w:tblGrid>
      <w:tr>
        <w:tc>
          <w:tcPr>
            <w:tcW w:type="dxa" w:w="2200"/>
            <w:shd w:fill="1F4E5F" w:color="auto" w:val="clear"/>
          </w:tcPr>
          <w:p>
            <w:r>
              <w:rPr>
                <w:b/>
                <w:bCs/>
                <w:color w:val="FFFFFF"/>
                <w:sz w:val="20"/>
                <w:szCs w:val="20"/>
              </w:rPr>
              <w:t xml:space="preserve">Terme</w:t>
            </w:r>
          </w:p>
        </w:tc>
        <w:tc>
          <w:tcPr>
            <w:tcW w:type="dxa" w:w="6800"/>
            <w:shd w:fill="1F4E5F" w:color="auto" w:val="clear"/>
          </w:tcPr>
          <w:p>
            <w:r>
              <w:rPr>
                <w:b/>
                <w:bCs/>
                <w:color w:val="FFFFFF"/>
                <w:sz w:val="20"/>
                <w:szCs w:val="20"/>
              </w:rPr>
              <w:t xml:space="preserve">Définition</w:t>
            </w:r>
          </w:p>
        </w:tc>
      </w:tr>
      <w:tr>
        <w:tc>
          <w:tcPr>
            <w:tcW w:type="dxa" w:w="2200"/>
          </w:tcPr>
          <w:p>
            <w:r>
              <w:rPr>
                <w:b w:val="false"/>
                <w:bCs w:val="false"/>
                <w:sz w:val="20"/>
                <w:szCs w:val="20"/>
              </w:rPr>
              <w:t xml:space="preserve">SBC</w:t>
            </w:r>
          </w:p>
        </w:tc>
        <w:tc>
          <w:tcPr>
            <w:tcW w:type="dxa" w:w="6800"/>
          </w:tcPr>
          <w:p>
            <w:r>
              <w:rPr>
                <w:b w:val="false"/>
                <w:bCs w:val="false"/>
                <w:sz w:val="20"/>
                <w:szCs w:val="20"/>
              </w:rPr>
              <w:t xml:space="preserve">Single Board Computer — mini-ordinateur sur une seule carte (ex. Raspberry Pi)</w:t>
            </w:r>
          </w:p>
        </w:tc>
      </w:tr>
      <w:tr>
        <w:tc>
          <w:tcPr>
            <w:tcW w:type="dxa" w:w="2200"/>
          </w:tcPr>
          <w:p>
            <w:r>
              <w:rPr>
                <w:b w:val="false"/>
                <w:bCs w:val="false"/>
                <w:sz w:val="20"/>
                <w:szCs w:val="20"/>
              </w:rPr>
              <w:t xml:space="preserve">MQTT</w:t>
            </w:r>
          </w:p>
        </w:tc>
        <w:tc>
          <w:tcPr>
            <w:tcW w:type="dxa" w:w="6800"/>
          </w:tcPr>
          <w:p>
            <w:r>
              <w:rPr>
                <w:b w:val="false"/>
                <w:bCs w:val="false"/>
                <w:sz w:val="20"/>
                <w:szCs w:val="20"/>
              </w:rPr>
              <w:t xml:space="preserve">Protocole de messagerie publish/subscribe léger, standard en IoT</w:t>
            </w:r>
          </w:p>
        </w:tc>
      </w:tr>
      <w:tr>
        <w:tc>
          <w:tcPr>
            <w:tcW w:type="dxa" w:w="2200"/>
          </w:tcPr>
          <w:p>
            <w:r>
              <w:rPr>
                <w:b w:val="false"/>
                <w:bCs w:val="false"/>
                <w:sz w:val="20"/>
                <w:szCs w:val="20"/>
              </w:rPr>
              <w:t xml:space="preserve">OAuth</w:t>
            </w:r>
          </w:p>
        </w:tc>
        <w:tc>
          <w:tcPr>
            <w:tcW w:type="dxa" w:w="6800"/>
          </w:tcPr>
          <w:p>
            <w:r>
              <w:rPr>
                <w:b w:val="false"/>
                <w:bCs w:val="false"/>
                <w:sz w:val="20"/>
                <w:szCs w:val="20"/>
              </w:rPr>
              <w:t xml:space="preserve">Protocole standard d'autorisation déléguée entre applications</w:t>
            </w:r>
          </w:p>
        </w:tc>
      </w:tr>
      <w:tr>
        <w:tc>
          <w:tcPr>
            <w:tcW w:type="dxa" w:w="2200"/>
          </w:tcPr>
          <w:p>
            <w:r>
              <w:rPr>
                <w:b w:val="false"/>
                <w:bCs w:val="false"/>
                <w:sz w:val="20"/>
                <w:szCs w:val="20"/>
              </w:rPr>
              <w:t xml:space="preserve">Entité / Capability</w:t>
            </w:r>
          </w:p>
        </w:tc>
        <w:tc>
          <w:tcPr>
            <w:tcW w:type="dxa" w:w="6800"/>
          </w:tcPr>
          <w:p>
            <w:r>
              <w:rPr>
                <w:b w:val="false"/>
                <w:bCs w:val="false"/>
                <w:sz w:val="20"/>
                <w:szCs w:val="20"/>
              </w:rPr>
              <w:t xml:space="preserve">Représentation abstraite d'un appareil ou d'une fonction qu'il expose</w:t>
            </w:r>
          </w:p>
        </w:tc>
      </w:tr>
      <w:tr>
        <w:tc>
          <w:tcPr>
            <w:tcW w:type="dxa" w:w="2200"/>
          </w:tcPr>
          <w:p>
            <w:r>
              <w:rPr>
                <w:b w:val="false"/>
                <w:bCs w:val="false"/>
                <w:sz w:val="20"/>
                <w:szCs w:val="20"/>
              </w:rPr>
              <w:t xml:space="preserve">Permit join</w:t>
            </w:r>
          </w:p>
        </w:tc>
        <w:tc>
          <w:tcPr>
            <w:tcW w:type="dxa" w:w="6800"/>
          </w:tcPr>
          <w:p>
            <w:r>
              <w:rPr>
                <w:b w:val="false"/>
                <w:bCs w:val="false"/>
                <w:sz w:val="20"/>
                <w:szCs w:val="20"/>
              </w:rPr>
              <w:t xml:space="preserve">Fenêtre temporaire d'ouverture du réseau Zigbee pour associer un nouvel appareil</w:t>
            </w:r>
          </w:p>
        </w:tc>
      </w:tr>
    </w:tbl>
    <w:p>
      <w:pPr>
        <w:pStyle w:val="Heading2"/>
        <w:spacing w:after="150" w:before="300"/>
      </w:pPr>
      <w:r>
        <w:t xml:space="preserve">11.2 Notes de mise à jour de ce document</w:t>
      </w:r>
    </w:p>
    <w:p>
      <w:pPr>
        <w:spacing w:after="120"/>
      </w:pPr>
      <w:r>
        <w:t xml:space="preserve">Les versions précises des API tierces (Tuya, Hue, Tapo) évoluent régulièrement. Il est recommandé de revérifier la documentation officielle de chaque plateforme avant chaque phase de développement ou d'intégration significative.</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6"/>
        <w:szCs w:val="16"/>
      </w:rPr>
      <w:t xml:space="preserve">Page </w:t>
    </w:r>
    <w:r>
      <w:rPr>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Cahier des charges — Plateforme domotique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lvl w:ilvl="1" w15:tentative="1">
      <w:start w:val="1"/>
      <w:numFmt w:val="bullet"/>
      <w:lvlText w:val="◦"/>
      <w:lvlJc w:val="left"/>
      <w:pPr>
        <w:ind w:left="8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2026-08-03T09:40:43.442Z</dcterms:created>
  <dcterms:modified xsi:type="dcterms:W3CDTF">2026-08-03T09:40:43.458Z</dcterms:modified>
</cp:coreProperties>
</file>

<file path=docProps/custom.xml><?xml version="1.0" encoding="utf-8"?>
<Properties xmlns="http://schemas.openxmlformats.org/officeDocument/2006/custom-properties" xmlns:vt="http://schemas.openxmlformats.org/officeDocument/2006/docPropsVTypes"/>
</file>