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41A22"/>
          <w:sz w:val="56"/>
          <w:szCs w:val="56"/>
        </w:rPr>
        <w:t xml:space="preserve">Design System</w:t>
      </w:r>
    </w:p>
    <w:p>
      <w:pPr>
        <w:spacing w:before="200"/>
        <w:jc w:val="center"/>
      </w:pPr>
      <w:r>
        <w:rPr>
          <w:color w:val="444444"/>
          <w:sz w:val="32"/>
          <w:szCs w:val="32"/>
        </w:rPr>
        <w:t xml:space="preserve">Application domotique multi-utilisateurs</w:t>
      </w:r>
    </w:p>
    <w:p>
      <w:pPr>
        <w:spacing w:before="100"/>
        <w:jc w:val="center"/>
      </w:pPr>
      <w:r>
        <w:rPr>
          <w:i/>
          <w:iCs/>
          <w:color w:val="666666"/>
          <w:sz w:val="22"/>
          <w:szCs w:val="22"/>
        </w:rPr>
        <w:t xml:space="preserve">Direction visuelle, architecture de navigation et catalogue d'écrans</w:t>
      </w:r>
    </w:p>
    <w:p>
      <w:pPr>
        <w:spacing w:before="800"/>
        <w:jc w:val="center"/>
      </w:pPr>
      <w:r>
        <w:rPr>
          <w:color w:val="888888"/>
          <w:sz w:val="20"/>
          <w:szCs w:val="20"/>
        </w:rPr>
        <w:t xml:space="preserve">Version 1.0 — Août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Direction artistique</w:t>
      </w:r>
    </w:p>
    <w:p>
      <w:pPr>
        <w:pStyle w:val="Heading2"/>
        <w:spacing w:after="150" w:before="300"/>
      </w:pPr>
      <w:r>
        <w:t xml:space="preserve">1.1 Concept directeur</w:t>
      </w:r>
    </w:p>
    <w:p>
      <w:pPr>
        <w:spacing w:after="120"/>
      </w:pPr>
      <w:r>
        <w:t xml:space="preserve">La direction retenue s'appelle « Veille active » (Active Standby). L'idée : une maison connectée n'est jamais vraiment « éteinte » — elle veille en permanence, silencieuse, prête à réagir. L'interface reprend cette sensation avec un fond sombre et calme (jamais noir pur), traversé de deux signaux lumineux qui portent chacun un sens précis dans le produit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l'ambre chaud représente la lumière et l'énergie — utilisé pour tout ce qui concerne l'éclairage, le chauffage, la consommation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cyan-sarcelle représente le réseau et la connexion — utilisé pour tout ce qui signale qu'un appareil ou le boîtier est en ligne, synchronisé, actif.</w:t>
      </w:r>
    </w:p>
    <w:p>
      <w:pPr>
        <w:spacing w:after="120"/>
      </w:pPr>
      <w:r>
        <w:t xml:space="preserve">Ces deux couleurs ne sont pas un choix décoratif : elles codent une information réelle du produit (qu'est-ce qui consomme/éclaire vs qu'est-ce qui est connecté), ce qui évite un accent "parce que ça fait moderne" sans fonction.</w:t>
      </w:r>
    </w:p>
    <w:p>
      <w:pPr>
        <w:pStyle w:val="Heading2"/>
        <w:spacing w:after="150" w:before="300"/>
      </w:pPr>
      <w:r>
        <w:t xml:space="preserve">1.2 Élément signature</w:t>
      </w:r>
    </w:p>
    <w:p>
      <w:pPr>
        <w:spacing w:after="120"/>
      </w:pPr>
      <w:r>
        <w:t xml:space="preserve">Chaque pièce, scène ou appareil actif affiche un anneau de respiration (« breathing ring ») : un halo fin qui pulse lentement autour de son icône tant que l'objet est en ligne et actif. Ce battement lent (environ 3 secondes par cycle, jamais plus rapide — pour rester apaisant et non anxiogène) est la signature visuelle du produit : il traduit littéralement l'idée d'une maison qui « respire » et veille, et donne un statut temps réel lisible d'un coup d'œil, sans texte.</w:t>
      </w:r>
    </w:p>
    <w:p>
      <w:pPr>
        <w:pStyle w:val="Heading1"/>
        <w:spacing w:after="200" w:before="400"/>
      </w:pPr>
      <w:r>
        <w:t xml:space="preserve">2. Système de couleurs (tokens)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00"/>
      </w:tblGrid>
      <w:tr>
        <w:tc>
          <w:tcPr>
            <w:tcW w:type="dxa" w:w="32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 hex</w:t>
            </w:r>
          </w:p>
        </w:tc>
        <w:tc>
          <w:tcPr>
            <w:tcW w:type="dxa" w:w="40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Fond principal — Ink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#141A22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Arrière-plan de toutes les surfaces principales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Surface élevée — Slate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#3A4553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Cartes, feuilles modales, barres de navigation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Texte principal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#F4F6F8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Titres et contenu primaire sur fond sombre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Texte secondaire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#9AA6B2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Légendes, métadonnées, labels discrets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Accent — Ambre (lumière/énergie)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#E8A33D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Éclairage, chauffage, consommation, CTA principaux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Accent — Sarcelle (réseau/connexion)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#2FA5A0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Statut en ligne, appareil synchronisé, boîtier actif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Succès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#4CAF7D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Confirmation, scénario exécuté avec succès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Alerte / Sécurité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#E2574C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Alarme, capteur déclenché, appareil hors ligne critique</w:t>
            </w:r>
          </w:p>
        </w:tc>
      </w:tr>
    </w:tbl>
    <w:p>
      <w:pPr>
        <w:spacing w:after="120"/>
      </w:pPr>
      <w:r>
        <w:t xml:space="preserve">Le mode clair (optionnel, V2) inverse la logique avec un fond #F4F6F8 et une surface #FFFFFF, en conservant les deux accents ambre/sarcelle à l'identique pour garder la cohérence de la charte entre les deux modes.</w:t>
      </w:r>
    </w:p>
    <w:p>
      <w:pPr>
        <w:pStyle w:val="Heading1"/>
        <w:spacing w:after="200" w:before="400"/>
      </w:pPr>
      <w:r>
        <w:t xml:space="preserve">3. Typographie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c>
          <w:tcPr>
            <w:tcW w:type="dxa" w:w="18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2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Style recherché</w:t>
            </w:r>
          </w:p>
        </w:tc>
        <w:tc>
          <w:tcPr>
            <w:tcW w:type="dxa" w:w="30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Grotesque à terminaisons légèrement arrondies, graisses 600-700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Titres d'écran, montants de consommation, chiffres clés du tableau de bord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Texte courant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Sans-serif humaniste, haute lisibilité en petite taille, graisses 400-500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Corps de texte, listes, descriptions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Données / mono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Police à chasse fixe, graisse 400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Horodatages, identifiants techniques, valeurs de capteurs (température, %, kWh)</w:t>
            </w:r>
          </w:p>
        </w:tc>
      </w:tr>
    </w:tbl>
    <w:p>
      <w:pPr>
        <w:spacing w:after="120"/>
      </w:pPr>
      <w:r>
        <w:t xml:space="preserve">Échelle type : 34/28/22/17/15/13 px pour respectivement les titres d'écran, titres de section, titres de carte, corps de texte, légendes et micro-labels — avec un interlignage généreux (1.4) pour rester lisible en contexte de faible luminosité (usage domestique le soir).</w:t>
      </w:r>
    </w:p>
    <w:p>
      <w:pPr>
        <w:pStyle w:val="Heading1"/>
        <w:spacing w:after="200" w:before="400"/>
      </w:pPr>
      <w:r>
        <w:t xml:space="preserve">4. Grille, espacement et forme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Grille de base 8 px (espacements en multiples de 8 : 8 / 16 / 24 / 32 / 48)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Rayon de coin : 20 px pour les cartes principales, 14 px pour les contrôles, 999 px (complet) pour les puces de statut et boutons d'action flottants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Élévation : pas d'ombre portée classique — la profondeur est suggérée par une légère variation de luminosité de surface (Ink → Slate) plutôt que par des ombres dures, pour garder une esthétique plate et calme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Icônes : trait fin (1,5 px), style outline au repos, rempli en état actif — jamais de style mixte sur un même écran</w:t>
      </w:r>
    </w:p>
    <w:p>
      <w:pPr>
        <w:pStyle w:val="Heading1"/>
        <w:spacing w:after="200" w:before="400"/>
      </w:pPr>
      <w:r>
        <w:t xml:space="preserve">5. Mouvement et interaction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seul geste signature : le « breathing ring » décrit en 1.2 — c'est le seul élément animé en continu de l'application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Transitions d'écran : glissement horizontal discret (200 ms, courbe ease-out), jamais d'effet de rebond ou de zoom prononcé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Retour tactile immédiat sur tout contrôle (bascule on/off, curseur de luminosité) : le changement visuel doit précéder la confirmation réseau, avec un état « en cours » discret si la commande met plus de 400 ms à être confirmée par l'appareil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 du mode « réduire les animations » du système : le breathing ring devient alors un simple point de statut fixe, sans pulsation</w:t>
      </w:r>
    </w:p>
    <w:p>
      <w:pPr>
        <w:pStyle w:val="Heading1"/>
        <w:spacing w:after="200" w:before="400"/>
      </w:pPr>
      <w:r>
        <w:t xml:space="preserve">6. Architecture de navigation</w:t>
      </w:r>
    </w:p>
    <w:p>
      <w:pPr>
        <w:spacing w:after="120"/>
      </w:pPr>
      <w:r>
        <w:t xml:space="preserve">L'application repose sur une barre de navigation basse à 5 onglets, complétée par un parcours d'accueil (onboarding) hors barre de navigation, affiché uniquement lors de la première utilisation ou de l'ajout d'un nouveau foyer/boîtier.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00"/>
      </w:tblGrid>
      <w:tr>
        <w:tc>
          <w:tcPr>
            <w:tcW w:type="dxa" w:w="6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Onglet</w:t>
            </w:r>
          </w:p>
        </w:tc>
        <w:tc>
          <w:tcPr>
            <w:tcW w:type="dxa" w:w="62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Accueil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d'ensemble du foyer, pièces, scènes, contrôle rapide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Appareils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complète, détail, ajout et gestion de tous les appareils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Scénarios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Automatisations : création, édition, historique d'exécution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Alertes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Notifications, sécurité, capteurs, historique d'événements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Compte, foyers, comptes tiers connectés, boîtier(s), réglages</w:t>
            </w:r>
          </w:p>
        </w:tc>
      </w:tr>
    </w:tbl>
    <w:p>
      <w:pPr>
        <w:spacing w:after="120"/>
      </w:pPr>
      <w:r>
        <w:rPr>
          <w:b/>
          <w:bCs/>
        </w:rPr>
        <w:t xml:space="preserve">Nombre total d'écrans détaillés dans ce document : 42 écrans, répartis en 9 écrans d'onboarding (hors barre de navigation) et 33 écrans réparties sur les 5 onglets.</w:t>
      </w:r>
    </w:p>
    <w:p>
      <w:pPr>
        <w:pStyle w:val="Heading1"/>
        <w:spacing w:after="200" w:before="400"/>
      </w:pPr>
      <w:r>
        <w:t xml:space="preserve">7. Parcours d'accueil — Onboarding (9 écrans)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00"/>
      </w:tblGrid>
      <w:tr>
        <w:tc>
          <w:tcPr>
            <w:tcW w:type="dxa" w:w="5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tcW w:type="dxa" w:w="57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Bienvenue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d'accroche, illustration du concept, bouton « Commencer »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Connexion / Inscription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Email, mot de passe, ou connexion via fournisseur (Google/Apple)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Création du foyer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 du foyer, adresse (pour fuseau horaire et météo locale)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Déballage du boîtier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Instructions illustrées : brancher le boîtier, attendre le voyant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Connexion Wi-Fi du boîtier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Sélection du réseau hotspot temporaire, saisie des identifiants Wi-Fi domestiques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Association du boîtier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 du QR code apposé sur le boîtier (claim device_id ↔ compte)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 Boîtier connecté ! » avec le breathing ring qui s'active pour la première fois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Première pièce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Création d'une première pièce (nom + icône) pour amorcer le tableau de bord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Tour guidé (optionnel)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3-4 cartes swipeables présentant Accueil, Appareils, Scénarios, Alertes</w:t>
            </w:r>
          </w:p>
        </w:tc>
      </w:tr>
    </w:tbl>
    <w:p>
      <w:pPr>
        <w:pStyle w:val="Heading1"/>
        <w:spacing w:after="200" w:before="400"/>
      </w:pPr>
      <w:r>
        <w:t xml:space="preserve">8. Onglet 1 — Accueil (6 écrans)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900"/>
      </w:tblGrid>
      <w:tr>
        <w:tc>
          <w:tcPr>
            <w:tcW w:type="dxa" w:w="5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tcW w:type="dxa" w:w="59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 en tête (résumé du foyer : nb d'appareils actifs, consommation du jour), puis grille de cartes par pièce avec breathing ring par carte active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Détail d'une pièce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des appareils de la pièce avec contrôle direct (bascule, curseur) sans changer d'écran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Contrôle rapide (feuille modale)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Ouverture d'un appareil en overlay depuis n'importe où : réglages essentiels seulement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Détail d'une scène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Aperçu des actions qu'une scène va déclencher, bouton d'activation, historique des dernières exécutions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Ajout d'une pièce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Nom, icône, sélection des appareils déjà connus à y rattacher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Réorganisation du tableau de bord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Glisser-déposer des cartes de pièces/scènes en mode édition</w:t>
            </w:r>
          </w:p>
        </w:tc>
      </w:tr>
    </w:tbl>
    <w:p>
      <w:pPr>
        <w:pStyle w:val="Heading1"/>
        <w:spacing w:after="200" w:before="400"/>
      </w:pPr>
      <w:r>
        <w:t xml:space="preserve">9. Onglet 2 — Appareils (9 écrans)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00"/>
      </w:tblGrid>
      <w:tr>
        <w:tc>
          <w:tcPr>
            <w:tcW w:type="dxa" w:w="5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tcW w:type="dxa" w:w="55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complète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Tous les appareils, filtrables par pièce, type et protocole (badge Zigbee/Tuya/Hue discret)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Détail d'un appareil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Contrôle avancé, historique d'état, graphique de consommation si disponible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Paramètres d'un appareil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Renommer, changer de pièce/icône, informations techniques, suppression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Ajouter un appareil — choix de la source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Zigbee (via boîtier) / Tuya / Hue / Tapo, présentés comme des cartes égales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Pairing Zigbee — recherche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Activation du mode association, minuteur, instructions par modèle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Pairing Zigbee — nommage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Appareil détecté : nom, pièce, icône, confirmation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Connexion compte tiers — OAuth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web intégrée de connexion (Tuya, Hue…)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2.8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Connexion compte tiers — sélection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des appareils trouvés sur le compte, sélection multiple à importer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Boîtier(s) du foyer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Statut de chaque unité locale (en ligne/hors ligne, dernière synchronisation), ajout d'un second boîtier</w:t>
            </w:r>
          </w:p>
        </w:tc>
      </w:tr>
    </w:tbl>
    <w:p>
      <w:pPr>
        <w:pStyle w:val="Heading1"/>
        <w:spacing w:after="200" w:before="400"/>
      </w:pPr>
      <w:r>
        <w:t xml:space="preserve">10. Onglet 3 — Scénarios (6 écrans)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900"/>
      </w:tblGrid>
      <w:tr>
        <w:tc>
          <w:tcPr>
            <w:tcW w:type="dxa" w:w="5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tcW w:type="dxa" w:w="59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des scénarios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Scénarios existants avec bascule d'activation rapide, tri par usage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Création — déclencheur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Choix du déclencheur : heure, capteur, arrivée/départ, manuel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Création — conditions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Conditions optionnelles (ex. uniquement si nuit, uniquement si personne présente)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Création — actions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ordonnée des actions à exécuter sur un ou plusieurs appareils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Résumé et activation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Relecture en langage naturel du scénario avant activation (« Chaque soir à 20h, si... »)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Historique d'exécution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Journal des déclenchements passés, succès/échecs</w:t>
            </w:r>
          </w:p>
        </w:tc>
      </w:tr>
    </w:tbl>
    <w:p>
      <w:pPr>
        <w:pStyle w:val="Heading1"/>
        <w:spacing w:after="200" w:before="400"/>
      </w:pPr>
      <w:r>
        <w:t xml:space="preserve">11. Onglet 4 — Alertes (4 écrans)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00"/>
      </w:tblGrid>
      <w:tr>
        <w:tc>
          <w:tcPr>
            <w:tcW w:type="dxa" w:w="5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tcW w:type="dxa" w:w="57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 d'alertes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Flux chronologique de tous les événements (portes, mouvements, appareils hors ligne)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Détail d'une alerte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Contexte complet, appareil concerné, action rapide associée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État de sécurité global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de synthèse : portes/fenêtres fermées, mouvement détecté récemment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Réglages de notifications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Activation/désactivation par catégorie et par appareil</w:t>
            </w:r>
          </w:p>
        </w:tc>
      </w:tr>
    </w:tbl>
    <w:p>
      <w:pPr>
        <w:pStyle w:val="Heading1"/>
        <w:spacing w:after="200" w:before="400"/>
      </w:pPr>
      <w:r>
        <w:t xml:space="preserve">12. Onglet 5 — Profil (8 écrans)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900"/>
      </w:tblGrid>
      <w:tr>
        <w:tc>
          <w:tcPr>
            <w:tcW w:type="dxa" w:w="5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tcW w:type="dxa" w:w="59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 utilisateur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Informations du compte, photo, changement de mot de passe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du foyer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Foyers multiples, membres invités et leurs permissions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Comptes connectés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des comptes tiers liés (Tuya, Hue, Tapo), déconnexion possible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des boîtiers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Détail technique, mise à jour du firmware, retrait d'un boîtier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 globales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Préférences générales, canaux (push, email)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Sécurité du compte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 de passe, double authentification, sessions actives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Assistance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FAQ, contact support, état des services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propos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de l'application, mentions légales, licences</w:t>
            </w:r>
          </w:p>
        </w:tc>
      </w:tr>
    </w:tbl>
    <w:p>
      <w:pPr>
        <w:pStyle w:val="Heading1"/>
        <w:spacing w:after="200" w:before="400"/>
      </w:pPr>
      <w:r>
        <w:t xml:space="preserve">13. Composants clés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400"/>
            <w:shd w:fill="141A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Carte de pièce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Icône de pièce, nom, nombre d'appareils actifs, breathing ring si au moins un appareil actif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Carte d'appareil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Icône selon le type, bascule ou mini-curseur inline selon la capacité, badge de protocole discret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Bascule (toggle)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Piste arrondie pleine largeur possible sur mobile, couleur ambre à l'état actif pour l'éclairage, sarcelle pour les prises génériques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Curseur de luminosité/température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Piste verticale ou horizontale épaisse (44 px min. pour le tactile), valeur affichée en surimpression pendant le glissement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Carte de scène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Illustration/icône représentant l'ambiance, liste condensée des actions au survol/appui long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Puce de statut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Petit point ou étiquette : en ligne (sarcelle), hors ligne (gris), alerte (rouge)</w:t>
            </w:r>
          </w:p>
        </w:tc>
      </w:tr>
    </w:tbl>
    <w:p>
      <w:pPr>
        <w:pStyle w:val="Heading1"/>
        <w:spacing w:after="200" w:before="400"/>
      </w:pPr>
      <w:r>
        <w:t xml:space="preserve">14. États systémiques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Chargement : squelettes discrets (silhouettes de cartes) plutôt qu'un indicateur circulaire générique, pour laisser deviner la structure à venir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 : invitation à l'action claire (« Aucun appareil dans cette pièce — Ajouter un appareil »), jamais un simple message neutre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Erreur : formulation factuelle de ce qui s'est passé et de l'action possible, sans ton d'excuse (« La commande n'a pas atteint l'appareil — Réessayer »)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Hors ligne (boîtier ou appareil) : le breathing ring s'arrête et l'icône passe en gris ; un bandeau discret en tête d'écran signale le nombre d'appareils concernés</w:t>
      </w:r>
    </w:p>
    <w:p>
      <w:pPr>
        <w:pStyle w:val="Heading1"/>
        <w:spacing w:after="200" w:before="400"/>
      </w:pPr>
      <w:r>
        <w:t xml:space="preserve">15. Accessibilité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Contraste texte/fond conforme AA sur toutes les surfaces (vérifié notamment pour le texte secondaire #9AA6B2 sur fond #141A22)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Cibles tactiles de 44×44 px minimum pour tout contrôle interactif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Focus clavier visible (anneau sarcelle de 2 px) pour la version web/tablette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 du réglage système « réduire les animations » (cf. section 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informations codées par couleur (statut en ligne/hors ligne, alerte) sont toujours doublées d'un libellé ou d'une icône distincte, jamais de la couleur seule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Design system — Application domotique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2026-08-03T09:56:21.506Z</dcterms:created>
  <dcterms:modified xsi:type="dcterms:W3CDTF">2026-08-03T09:56:21.519Z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