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before="0" w:line="276"/>
        <w:jc w:val="center"/>
      </w:pPr>
      <w:r>
        <w:rPr>
          <w:b/>
          <w:bCs/>
          <w:i w:val="false"/>
          <w:iCs w:val="false"/>
          <w:color w:val="04141C"/>
          <w:sz w:val="64"/>
          <w:szCs w:val="64"/>
        </w:rPr>
        <w:t xml:space="preserve">CARNET DE PÊCHE</w:t>
      </w:r>
    </w:p>
    <w:p>
      <w:pPr>
        <w:spacing w:after="120" w:before="0" w:line="276"/>
        <w:jc w:val="center"/>
      </w:pPr>
      <w:r>
        <w:rPr>
          <w:b/>
          <w:bCs/>
          <w:i w:val="false"/>
          <w:iCs w:val="false"/>
          <w:color w:val="B8842A"/>
          <w:sz w:val="40"/>
          <w:szCs w:val="40"/>
        </w:rPr>
        <w:t xml:space="preserve">Analyse stratégique complète</w:t>
      </w:r>
    </w:p>
    <w:p>
      <w:pPr>
        <w:spacing w:after="500" w:before="0" w:line="276"/>
        <w:jc w:val="center"/>
      </w:pPr>
      <w:r>
        <w:rPr>
          <w:b w:val="false"/>
          <w:bCs w:val="false"/>
          <w:i w:val="false"/>
          <w:iCs w:val="false"/>
          <w:color w:val="5E6E77"/>
          <w:sz w:val="24"/>
          <w:szCs w:val="24"/>
        </w:rPr>
        <w:t xml:space="preserve">Marché · Concurrence · SWOT · Matrice BCG · Marketing · Finances · Tunnels marketing et vente</w:t>
      </w:r>
    </w:p>
    <w:p>
      <w:pPr>
        <w:spacing w:after="60" w:before="0" w:line="276"/>
        <w:jc w:val="center"/>
      </w:pPr>
      <w:r>
        <w:rPr>
          <w:b w:val="false"/>
          <w:bCs w:val="false"/>
          <w:i w:val="false"/>
          <w:iCs w:val="false"/>
          <w:color w:val="0E1A22"/>
          <w:sz w:val="22"/>
          <w:szCs w:val="22"/>
        </w:rPr>
        <w:t xml:space="preserve">11 juillet 2026</w:t>
      </w:r>
    </w:p>
    <w:p>
      <w:pPr>
        <w:spacing w:after="60" w:before="0" w:line="276"/>
        <w:jc w:val="center"/>
      </w:pPr>
      <w:r>
        <w:rPr>
          <w:b w:val="false"/>
          <w:bCs w:val="false"/>
          <w:i w:val="false"/>
          <w:iCs w:val="false"/>
          <w:color w:val="5E6E77"/>
          <w:sz w:val="20"/>
          <w:szCs w:val="20"/>
        </w:rPr>
        <w:t xml:space="preserve">Usage interne (John + César) · Confidentiel</w:t>
      </w:r>
    </w:p>
    <w:p>
      <w:pPr>
        <w:spacing w:after="140" w:before="0" w:line="276"/>
        <w:jc w:val="center"/>
      </w:pPr>
      <w:r>
        <w:rPr>
          <w:b w:val="false"/>
          <w:bCs w:val="false"/>
          <w:i/>
          <w:iCs/>
          <w:color w:val="5E6E77"/>
          <w:sz w:val="18"/>
          <w:szCs w:val="18"/>
        </w:rPr>
        <w:t xml:space="preserve">Basé sur l'état réel du produit au 02/07/2026 (sprint 69 en prod, sprint 70 en cours) et sur des sources marché citées en fin de document.</w:t>
      </w:r>
    </w:p>
    <w:p>
      <w:r>
        <w:br w:type="page"/>
      </w:r>
    </w:p>
    <w:p>
      <w:pPr>
        <w:pStyle w:val="Heading1"/>
        <w:spacing w:after="160" w:before="320"/>
      </w:pPr>
      <w:r>
        <w:t xml:space="preserve">Sommaire</w:t>
      </w:r>
    </w:p>
    <w:p>
      <w:pPr>
        <w:spacing w:after="90" w:before="0" w:line="276"/>
      </w:pPr>
      <w:r>
        <w:rPr>
          <w:b w:val="false"/>
          <w:bCs w:val="false"/>
          <w:i w:val="false"/>
          <w:iCs w:val="false"/>
          <w:sz w:val="22"/>
          <w:szCs w:val="22"/>
        </w:rPr>
        <w:t xml:space="preserve">1. Synthèse exécutive</w:t>
      </w:r>
    </w:p>
    <w:p>
      <w:pPr>
        <w:spacing w:after="90" w:before="0" w:line="276"/>
      </w:pPr>
      <w:r>
        <w:rPr>
          <w:b w:val="false"/>
          <w:bCs w:val="false"/>
          <w:i w:val="false"/>
          <w:iCs w:val="false"/>
          <w:sz w:val="22"/>
          <w:szCs w:val="22"/>
        </w:rPr>
        <w:t xml:space="preserve">2. Analyse de marché (taille, tendances, personas)</w:t>
      </w:r>
    </w:p>
    <w:p>
      <w:pPr>
        <w:spacing w:after="90" w:before="0" w:line="276"/>
      </w:pPr>
      <w:r>
        <w:rPr>
          <w:b w:val="false"/>
          <w:bCs w:val="false"/>
          <w:i w:val="false"/>
          <w:iCs w:val="false"/>
          <w:sz w:val="22"/>
          <w:szCs w:val="22"/>
        </w:rPr>
        <w:t xml:space="preserve">3. Analyse concurrentielle (benchmark, 5 forces de Porter)</w:t>
      </w:r>
    </w:p>
    <w:p>
      <w:pPr>
        <w:spacing w:after="90" w:before="0" w:line="276"/>
      </w:pPr>
      <w:r>
        <w:rPr>
          <w:b w:val="false"/>
          <w:bCs w:val="false"/>
          <w:i w:val="false"/>
          <w:iCs w:val="false"/>
          <w:sz w:val="22"/>
          <w:szCs w:val="22"/>
        </w:rPr>
        <w:t xml:space="preserve">4. SWOT</w:t>
      </w:r>
    </w:p>
    <w:p>
      <w:pPr>
        <w:spacing w:after="90" w:before="0" w:line="276"/>
      </w:pPr>
      <w:r>
        <w:rPr>
          <w:b w:val="false"/>
          <w:bCs w:val="false"/>
          <w:i w:val="false"/>
          <w:iCs w:val="false"/>
          <w:sz w:val="22"/>
          <w:szCs w:val="22"/>
        </w:rPr>
        <w:t xml:space="preserve">5. Matrice BCG et allocation des investissements</w:t>
      </w:r>
    </w:p>
    <w:p>
      <w:pPr>
        <w:spacing w:after="90" w:before="0" w:line="276"/>
      </w:pPr>
      <w:r>
        <w:rPr>
          <w:b w:val="false"/>
          <w:bCs w:val="false"/>
          <w:i w:val="false"/>
          <w:iCs w:val="false"/>
          <w:sz w:val="22"/>
          <w:szCs w:val="22"/>
        </w:rPr>
        <w:t xml:space="preserve">6. Analyse marketing (STP, mix 4P, recommandations produit)</w:t>
      </w:r>
    </w:p>
    <w:p>
      <w:pPr>
        <w:spacing w:after="90" w:before="0" w:line="276"/>
      </w:pPr>
      <w:r>
        <w:rPr>
          <w:b w:val="false"/>
          <w:bCs w:val="false"/>
          <w:i w:val="false"/>
          <w:iCs w:val="false"/>
          <w:sz w:val="22"/>
          <w:szCs w:val="22"/>
        </w:rPr>
        <w:t xml:space="preserve">7. Analyse financière (coûts, unit economics, scénarios, point mort)</w:t>
      </w:r>
    </w:p>
    <w:p>
      <w:pPr>
        <w:spacing w:after="90" w:before="0" w:line="276"/>
      </w:pPr>
      <w:r>
        <w:rPr>
          <w:b w:val="false"/>
          <w:bCs w:val="false"/>
          <w:i w:val="false"/>
          <w:iCs w:val="false"/>
          <w:sz w:val="22"/>
          <w:szCs w:val="22"/>
        </w:rPr>
        <w:t xml:space="preserve">8. Tunnel marketing (AARRR, TOFU/MOFU/BOFU)</w:t>
      </w:r>
    </w:p>
    <w:p>
      <w:pPr>
        <w:spacing w:after="90" w:before="0" w:line="276"/>
      </w:pPr>
      <w:r>
        <w:rPr>
          <w:b w:val="false"/>
          <w:bCs w:val="false"/>
          <w:i w:val="false"/>
          <w:iCs w:val="false"/>
          <w:sz w:val="22"/>
          <w:szCs w:val="22"/>
        </w:rPr>
        <w:t xml:space="preserve">9. Tunnel de vente (parcours, frictions, correctifs)</w:t>
      </w:r>
    </w:p>
    <w:p>
      <w:pPr>
        <w:spacing w:after="90" w:before="0" w:line="276"/>
      </w:pPr>
      <w:r>
        <w:rPr>
          <w:b w:val="false"/>
          <w:bCs w:val="false"/>
          <w:i w:val="false"/>
          <w:iCs w:val="false"/>
          <w:sz w:val="22"/>
          <w:szCs w:val="22"/>
        </w:rPr>
        <w:t xml:space="preserve">10. Plan d'action 90 jours</w:t>
      </w:r>
    </w:p>
    <w:p>
      <w:pPr>
        <w:spacing w:after="90" w:before="0" w:line="276"/>
      </w:pPr>
      <w:r>
        <w:rPr>
          <w:b w:val="false"/>
          <w:bCs w:val="false"/>
          <w:i w:val="false"/>
          <w:iCs w:val="false"/>
          <w:sz w:val="22"/>
          <w:szCs w:val="22"/>
        </w:rPr>
        <w:t xml:space="preserve">11. Sources et limites</w:t>
      </w:r>
    </w:p>
    <w:p>
      <w:r>
        <w:br w:type="page"/>
      </w:r>
    </w:p>
    <w:p>
      <w:pPr>
        <w:pStyle w:val="Heading1"/>
        <w:spacing w:after="160" w:before="320"/>
      </w:pPr>
      <w:r>
        <w:t xml:space="preserve">1. Synthèse exécutive</w:t>
      </w:r>
    </w:p>
    <w:p>
      <w:pPr>
        <w:spacing w:after="140" w:before="0" w:line="276"/>
      </w:pPr>
      <w:r>
        <w:rPr>
          <w:b/>
          <w:bCs/>
          <w:i w:val="false"/>
          <w:iCs w:val="false"/>
        </w:rPr>
        <w:t xml:space="preserve">Le produit n'est plus le problème. </w:t>
      </w:r>
      <w:r>
        <w:rPr>
          <w:b w:val="false"/>
          <w:bCs w:val="false"/>
          <w:i w:val="false"/>
          <w:iCs w:val="false"/>
        </w:rPr>
        <w:t xml:space="preserve">69 sprints livrés en prod, 695+ tests, 26 fiches espèces, 1 158 spots (dont 215 curés), un scoring personnalisé réel, la couche gamification complète et Stripe opérationnel. En face : 19 profils, 21 prises, 0 code d'invitation distribué. Le goulot d'étranglement est à 100 % la distribution et l'amorçage, pas la technique.</w:t>
      </w:r>
    </w:p>
    <w:p>
      <w:pPr>
        <w:spacing w:after="140" w:before="0" w:line="276"/>
      </w:pPr>
      <w:r>
        <w:rPr>
          <w:b/>
          <w:bCs/>
          <w:i w:val="false"/>
          <w:iCs w:val="false"/>
        </w:rPr>
        <w:t xml:space="preserve">Le marché existe et la catégorie est validée. </w:t>
      </w:r>
      <w:r>
        <w:rPr>
          <w:b w:val="false"/>
          <w:bCs w:val="false"/>
          <w:i w:val="false"/>
          <w:iCs w:val="false"/>
        </w:rPr>
        <w:t xml:space="preserve">Entre 700 000 et 1,3 million de pêcheurs en mer en France selon les sources. Le marché mondial des apps de pêche pèse environ 190 M$ et croît de 10 à 12 % par an ; Fishbrain (15 M d'utilisateurs) prouve que les pêcheurs paient. Signal fort : l'Ifremer a choisi FishFriender comme carnet officiel de sa collecte 2025-2027. Le concept « carnet digital » est validé par la science publique, mais la concurrence se structure : la fenêtre se referme doucement.</w:t>
      </w:r>
    </w:p>
    <w:p>
      <w:pPr>
        <w:spacing w:after="140" w:before="0" w:line="276"/>
      </w:pPr>
      <w:r>
        <w:rPr>
          <w:b/>
          <w:bCs/>
          <w:i w:val="false"/>
          <w:iCs w:val="false"/>
        </w:rPr>
        <w:t xml:space="preserve">Lecture BCG. </w:t>
      </w:r>
      <w:r>
        <w:rPr>
          <w:b w:val="false"/>
          <w:bCs w:val="false"/>
          <w:i w:val="false"/>
          <w:iCs w:val="false"/>
        </w:rPr>
        <w:t xml:space="preserve">Concentrer l'investissement sur l'étoile (carnet + scoring perso, qui ne prend de la valeur qu'avec des prises), monétiser la vache à lait (carte + données environnementales, avec les alertes par port du sprint 72 comme feature de conversion), trancher les dilemmes (social : le remplir avant d'y réinvestir ; mobile : tenir le gate S74), et donner une dernière chance au poids mort (co-pêchage, relancé au sprint 73).</w:t>
      </w:r>
    </w:p>
    <w:p>
      <w:pPr>
        <w:spacing w:after="140" w:before="0" w:line="276"/>
      </w:pPr>
      <w:r>
        <w:rPr>
          <w:b/>
          <w:bCs/>
          <w:i w:val="false"/>
          <w:iCs w:val="false"/>
        </w:rPr>
        <w:t xml:space="preserve">Finances. </w:t>
      </w:r>
      <w:r>
        <w:rPr>
          <w:b w:val="false"/>
          <w:bCs w:val="false"/>
          <w:i w:val="false"/>
          <w:iCs w:val="false"/>
        </w:rPr>
        <w:t xml:space="preserve">Structure de coûts quasi nulle : 0 € d'infrastructure (tout en free tier), seul coût réel l'abonnement Claude (hypothèse 200 €/mois). Point mort monétaire : environ 85 à 90 abonnés payants, soit à peine 0,01 % du marché en fourchette basse. Le scénario réaliste à 12 mois donne ~240 abonnés et ~1 270 € de MRR. Le risque financier n'est pas de brûler du cash : c'est de stagner à zéro sans mesurer le funnel.</w:t>
      </w:r>
    </w:p>
    <w:p>
      <w:pPr>
        <w:spacing w:after="140" w:before="0" w:line="276"/>
      </w:pPr>
      <w:r>
        <w:rPr>
          <w:b/>
          <w:bCs/>
          <w:i w:val="false"/>
          <w:iCs w:val="false"/>
        </w:rPr>
        <w:t xml:space="preserve">L'essentiel en une phrase : </w:t>
      </w:r>
      <w:r>
        <w:rPr>
          <w:b/>
          <w:bCs/>
          <w:i w:val="false"/>
          <w:iCs w:val="false"/>
          <w:color w:val="0A2F3D"/>
        </w:rPr>
        <w:t xml:space="preserve">les 90 prochains jours de pleine saison valent plus que les 12 derniers mois de code ; l'objectif unique est 20 fondateurs actifs, 100 prises loguées, un funnel mesuré, puis l'ouverture publique.</w:t>
      </w:r>
    </w:p>
    <w:p>
      <w:r>
        <w:br w:type="page"/>
      </w:r>
    </w:p>
    <w:p>
      <w:pPr>
        <w:pStyle w:val="Heading1"/>
        <w:spacing w:after="160" w:before="320"/>
      </w:pPr>
      <w:r>
        <w:t xml:space="preserve">2. Analyse de marché</w:t>
      </w:r>
    </w:p>
    <w:p>
      <w:pPr>
        <w:pStyle w:val="Heading2"/>
        <w:spacing w:after="120" w:before="260"/>
      </w:pPr>
      <w:r>
        <w:t xml:space="preserve">2.1 Taille du marché (TAM / SAM / SOM)</w:t>
      </w:r>
    </w:p>
    <w:p>
      <w:pPr>
        <w:spacing w:after="140" w:before="0" w:line="276"/>
      </w:pPr>
      <w:r>
        <w:t xml:space="preserve">Les sources publiques divergent, il faut donc raisonner en fourchettes. La pêche de loisir toutes pratiques concerne 2,5 à 2,75 millions de Français. Pour la mer : 1,32 million de pêcheurs selon l'enquête de référence Ifremer/BVA, 700 000 selon le GIFAP (2024). Fourchette de travail retenue : 700 000 à 1,3 million.</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444"/>
        <w:gridCol w:w="3069"/>
        <w:gridCol w:w="2166"/>
        <w:gridCol w:w="2347"/>
      </w:tblGrid>
      <w:tr>
        <w:trPr>
          <w:tblHeader/>
        </w:trPr>
        <w:tc>
          <w:tcPr>
            <w:tcW w:type="dxa" w:w="144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Niveau</w:t>
            </w:r>
          </w:p>
        </w:tc>
        <w:tc>
          <w:tcPr>
            <w:tcW w:type="dxa" w:w="3069"/>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Définition</w:t>
            </w:r>
          </w:p>
        </w:tc>
        <w:tc>
          <w:tcPr>
            <w:tcW w:type="dxa" w:w="216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Volume estimé</w:t>
            </w:r>
          </w:p>
        </w:tc>
        <w:tc>
          <w:tcPr>
            <w:tcW w:type="dxa" w:w="2347"/>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Valeur annuelle théorique</w:t>
            </w:r>
          </w:p>
        </w:tc>
      </w:tr>
      <w:tr>
        <w:tc>
          <w:tcPr>
            <w:tcW w:type="dxa" w:w="1444"/>
            <w:tcMar>
              <w:top w:type="dxa" w:w="60"/>
              <w:left w:type="dxa" w:w="110"/>
              <w:bottom w:type="dxa" w:w="60"/>
              <w:right w:type="dxa" w:w="110"/>
            </w:tcMar>
            <w:vAlign w:val="center"/>
          </w:tcPr>
          <w:p>
            <w:pPr>
              <w:spacing w:after="40" w:before="40" w:line="240"/>
            </w:pPr>
            <w:r>
              <w:rPr>
                <w:b w:val="false"/>
                <w:bCs w:val="false"/>
                <w:sz w:val="19"/>
                <w:szCs w:val="19"/>
              </w:rPr>
              <w:t xml:space="preserve">TAM</w:t>
            </w:r>
          </w:p>
        </w:tc>
        <w:tc>
          <w:tcPr>
            <w:tcW w:type="dxa" w:w="3069"/>
            <w:tcMar>
              <w:top w:type="dxa" w:w="60"/>
              <w:left w:type="dxa" w:w="110"/>
              <w:bottom w:type="dxa" w:w="60"/>
              <w:right w:type="dxa" w:w="110"/>
            </w:tcMar>
            <w:vAlign w:val="center"/>
          </w:tcPr>
          <w:p>
            <w:pPr>
              <w:spacing w:after="40" w:before="40" w:line="240"/>
            </w:pPr>
            <w:r>
              <w:rPr>
                <w:b w:val="false"/>
                <w:bCs w:val="false"/>
                <w:sz w:val="19"/>
                <w:szCs w:val="19"/>
              </w:rPr>
              <w:t xml:space="preserve">Pêcheurs en mer, France métropolitaine</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700 K à 1,3 M pratiquants</w:t>
            </w:r>
          </w:p>
        </w:tc>
        <w:tc>
          <w:tcPr>
            <w:tcW w:type="dxa" w:w="2347"/>
            <w:tcMar>
              <w:top w:type="dxa" w:w="60"/>
              <w:left w:type="dxa" w:w="110"/>
              <w:bottom w:type="dxa" w:w="60"/>
              <w:right w:type="dxa" w:w="110"/>
            </w:tcMar>
            <w:vAlign w:val="center"/>
          </w:tcPr>
          <w:p>
            <w:pPr>
              <w:spacing w:after="40" w:before="40" w:line="240"/>
            </w:pPr>
            <w:r>
              <w:rPr>
                <w:b w:val="false"/>
                <w:bCs w:val="false"/>
                <w:i w:val="false"/>
                <w:iCs w:val="false"/>
                <w:sz w:val="19"/>
                <w:szCs w:val="19"/>
              </w:rPr>
              <w:t xml:space="preserve">45 à 80 M€ (à l'ARPU cible de 5,31 €/mois)</w:t>
            </w:r>
          </w:p>
        </w:tc>
      </w:tr>
      <w:tr>
        <w:tc>
          <w:tcPr>
            <w:tcW w:type="dxa" w:w="144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SAM</w:t>
            </w:r>
          </w:p>
        </w:tc>
        <w:tc>
          <w:tcPr>
            <w:tcW w:type="dxa" w:w="3069"/>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Pêcheurs à la canne du bord, digital-actifs (smartphone + usage d'apps météo/marées)</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150 K à 300 K</w:t>
            </w:r>
          </w:p>
        </w:tc>
        <w:tc>
          <w:tcPr>
            <w:tcW w:type="dxa" w:w="234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10 à 19 M€</w:t>
            </w:r>
          </w:p>
        </w:tc>
      </w:tr>
      <w:tr>
        <w:tc>
          <w:tcPr>
            <w:tcW w:type="dxa" w:w="1444"/>
            <w:tcMar>
              <w:top w:type="dxa" w:w="60"/>
              <w:left w:type="dxa" w:w="110"/>
              <w:bottom w:type="dxa" w:w="60"/>
              <w:right w:type="dxa" w:w="110"/>
            </w:tcMar>
            <w:vAlign w:val="center"/>
          </w:tcPr>
          <w:p>
            <w:pPr>
              <w:spacing w:after="40" w:before="40" w:line="240"/>
            </w:pPr>
            <w:r>
              <w:rPr>
                <w:b w:val="false"/>
                <w:bCs w:val="false"/>
                <w:sz w:val="19"/>
                <w:szCs w:val="19"/>
              </w:rPr>
              <w:t xml:space="preserve">SOM 24 mois</w:t>
            </w:r>
          </w:p>
        </w:tc>
        <w:tc>
          <w:tcPr>
            <w:tcW w:type="dxa" w:w="3069"/>
            <w:tcMar>
              <w:top w:type="dxa" w:w="60"/>
              <w:left w:type="dxa" w:w="110"/>
              <w:bottom w:type="dxa" w:w="60"/>
              <w:right w:type="dxa" w:w="110"/>
            </w:tcMar>
            <w:vAlign w:val="center"/>
          </w:tcPr>
          <w:p>
            <w:pPr>
              <w:spacing w:after="40" w:before="40" w:line="240"/>
            </w:pPr>
            <w:r>
              <w:rPr>
                <w:b w:val="false"/>
                <w:bCs w:val="false"/>
                <w:sz w:val="19"/>
                <w:szCs w:val="19"/>
              </w:rPr>
              <w:t xml:space="preserve">Part atteignable avec SEO + réseaux + amorçage fondateurs, sans budget paid</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10 K à 30 K inscrits, dont 300 à 1 200 payants</w:t>
            </w:r>
          </w:p>
        </w:tc>
        <w:tc>
          <w:tcPr>
            <w:tcW w:type="dxa" w:w="2347"/>
            <w:tcMar>
              <w:top w:type="dxa" w:w="60"/>
              <w:left w:type="dxa" w:w="110"/>
              <w:bottom w:type="dxa" w:w="60"/>
              <w:right w:type="dxa" w:w="110"/>
            </w:tcMar>
            <w:vAlign w:val="center"/>
          </w:tcPr>
          <w:p>
            <w:pPr>
              <w:spacing w:after="40" w:before="40" w:line="240"/>
            </w:pPr>
            <w:r>
              <w:rPr>
                <w:b w:val="false"/>
                <w:bCs w:val="false"/>
                <w:sz w:val="19"/>
                <w:szCs w:val="19"/>
              </w:rPr>
              <w:t xml:space="preserve">20 K à 75 K€ ARR</w:t>
            </w:r>
          </w:p>
        </w:tc>
      </w:tr>
    </w:tbl>
    <w:p>
      <w:pPr>
        <w:spacing w:after="140" w:before="120" w:line="276"/>
      </w:pPr>
      <w:r>
        <w:rPr>
          <w:b/>
          <w:bCs/>
          <w:i w:val="false"/>
          <w:iCs w:val="false"/>
        </w:rPr>
        <w:t xml:space="preserve">Pouvoir d'achat du segment : </w:t>
      </w:r>
      <w:r>
        <w:rPr>
          <w:b w:val="false"/>
          <w:bCs w:val="false"/>
          <w:i w:val="false"/>
          <w:iCs w:val="false"/>
        </w:rPr>
        <w:t xml:space="preserve">le marché du matériel pèse ~462 M€/an et le panier annuel d'un pêcheur assidu tourne autour de 700 €. Un abonnement à 49 €/an représente 7 % de ce panier : le prix n'est pas l'obstacle, la preuve de valeur l'est.</w:t>
      </w:r>
    </w:p>
    <w:p>
      <w:pPr>
        <w:pStyle w:val="Heading2"/>
        <w:spacing w:after="120" w:before="260"/>
      </w:pPr>
      <w:r>
        <w:t xml:space="preserve">2.2 Dynamique de la catégorie « apps de pêche »</w:t>
      </w:r>
    </w:p>
    <w:p>
      <w:pPr>
        <w:pStyle w:val="ListParagraph"/>
        <w:numPr>
          <w:ilvl w:val="0"/>
          <w:numId w:val="2"/>
        </w:numPr>
        <w:spacing w:after="80" w:line="264"/>
      </w:pPr>
      <w:r>
        <w:rPr>
          <w:b/>
          <w:bCs/>
          <w:i w:val="false"/>
          <w:iCs w:val="false"/>
        </w:rPr>
        <w:t xml:space="preserve">Marché mondial : </w:t>
      </w:r>
      <w:r>
        <w:rPr>
          <w:b w:val="false"/>
          <w:bCs w:val="false"/>
          <w:i w:val="false"/>
          <w:iCs w:val="false"/>
        </w:rPr>
        <w:t xml:space="preserve">~190 M$ en 2025, croissance annuelle de 10 à 12 %. Catégorie jeune, en structuration.</w:t>
      </w:r>
    </w:p>
    <w:p>
      <w:pPr>
        <w:pStyle w:val="ListParagraph"/>
        <w:numPr>
          <w:ilvl w:val="0"/>
          <w:numId w:val="2"/>
        </w:numPr>
        <w:spacing w:after="80" w:line="264"/>
      </w:pPr>
      <w:r>
        <w:rPr>
          <w:b/>
          <w:bCs/>
          <w:i w:val="false"/>
          <w:iCs w:val="false"/>
        </w:rPr>
        <w:t xml:space="preserve">Leader mondial : </w:t>
      </w:r>
      <w:r>
        <w:rPr>
          <w:b w:val="false"/>
          <w:bCs w:val="false"/>
          <w:i w:val="false"/>
          <w:iCs w:val="false"/>
        </w:rPr>
        <w:t xml:space="preserve">Fishbrain, ~15 M d'utilisateurs, 25 à 50 M$ de CA, ~22 % de part de marché. Environ 35 % de son audience active interagit avec l'offre premium : les pêcheurs paient quand la valeur est démontrée.</w:t>
      </w:r>
    </w:p>
    <w:p>
      <w:pPr>
        <w:pStyle w:val="ListParagraph"/>
        <w:numPr>
          <w:ilvl w:val="0"/>
          <w:numId w:val="2"/>
        </w:numPr>
        <w:spacing w:after="80" w:line="264"/>
      </w:pPr>
      <w:r>
        <w:rPr>
          <w:b/>
          <w:bCs/>
          <w:i w:val="false"/>
          <w:iCs w:val="false"/>
        </w:rPr>
        <w:t xml:space="preserve">France : </w:t>
      </w:r>
      <w:r>
        <w:rPr>
          <w:b w:val="false"/>
          <w:bCs w:val="false"/>
          <w:i w:val="false"/>
          <w:iCs w:val="false"/>
        </w:rPr>
        <w:t xml:space="preserve">pas d'acteur dominant. Spot de Pêche (web, données env. riches), FishFriender (généraliste, 12 langues, caution Ifremer 2025-2027), Fishing Grid (natif, gratuit, ~5 K downloads). Aucun ne combine carnet personnel + spécialisation mer du bord + scoring personnalisé.</w:t>
      </w:r>
    </w:p>
    <w:p>
      <w:pPr>
        <w:pStyle w:val="Heading2"/>
        <w:spacing w:after="120" w:before="260"/>
      </w:pPr>
      <w:r>
        <w:t xml:space="preserve">2.3 Tendances structurelles</w:t>
      </w:r>
    </w:p>
    <w:p>
      <w:pPr>
        <w:pStyle w:val="ListParagraph"/>
        <w:numPr>
          <w:ilvl w:val="0"/>
          <w:numId w:val="2"/>
        </w:numPr>
        <w:spacing w:after="80" w:line="264"/>
      </w:pPr>
      <w:r>
        <w:rPr>
          <w:b/>
          <w:bCs/>
          <w:i w:val="false"/>
          <w:iCs w:val="false"/>
        </w:rPr>
        <w:t xml:space="preserve">Digitalisation des carnets : </w:t>
      </w:r>
      <w:r>
        <w:rPr>
          <w:b w:val="false"/>
          <w:bCs w:val="false"/>
          <w:i w:val="false"/>
          <w:iCs w:val="false"/>
        </w:rPr>
        <w:t xml:space="preserve">l'Ifremer fait remplir un carnet de pêche digitalisé à des volontaires via FishFriender (2025-2027). Validation institutionnelle du concept cœur de Carnet de Pêche, et risque de notoriété pour ce concurrent.</w:t>
      </w:r>
    </w:p>
    <w:p>
      <w:pPr>
        <w:pStyle w:val="ListParagraph"/>
        <w:numPr>
          <w:ilvl w:val="0"/>
          <w:numId w:val="2"/>
        </w:numPr>
        <w:spacing w:after="80" w:line="264"/>
      </w:pPr>
      <w:r>
        <w:rPr>
          <w:b/>
          <w:bCs/>
          <w:i w:val="false"/>
          <w:iCs w:val="false"/>
        </w:rPr>
        <w:t xml:space="preserve">Pression réglementaire croissante : </w:t>
      </w:r>
      <w:r>
        <w:rPr>
          <w:b w:val="false"/>
          <w:bCs w:val="false"/>
          <w:i w:val="false"/>
          <w:iCs w:val="false"/>
        </w:rPr>
        <w:t xml:space="preserve">quota maquereau 2025 (5 poissons/jour), encadrement du bar. Chaque durcissement augmente la valeur de notre moteur de réglementation sourcé et daté.</w:t>
      </w:r>
    </w:p>
    <w:p>
      <w:pPr>
        <w:pStyle w:val="ListParagraph"/>
        <w:numPr>
          <w:ilvl w:val="0"/>
          <w:numId w:val="2"/>
        </w:numPr>
        <w:spacing w:after="80" w:line="264"/>
      </w:pPr>
      <w:r>
        <w:rPr>
          <w:b/>
          <w:bCs/>
          <w:i w:val="false"/>
          <w:iCs w:val="false"/>
        </w:rPr>
        <w:t xml:space="preserve">La donnée environnementale est devenue une commodité gratuite </w:t>
      </w:r>
      <w:r>
        <w:rPr>
          <w:b w:val="false"/>
          <w:bCs w:val="false"/>
          <w:i w:val="false"/>
          <w:iCs w:val="false"/>
        </w:rPr>
        <w:t xml:space="preserve">(Windy, marée.info, Open-Meteo). La valeur migre vers la personnalisation : ce que la donnée signifie pour TOI, sur TON spot, avec TON historique. C'est exactement notre pari.</w:t>
      </w:r>
    </w:p>
    <w:p>
      <w:pPr>
        <w:pStyle w:val="ListParagraph"/>
        <w:numPr>
          <w:ilvl w:val="0"/>
          <w:numId w:val="2"/>
        </w:numPr>
        <w:spacing w:after="80" w:line="264"/>
      </w:pPr>
      <w:r>
        <w:rPr>
          <w:b/>
          <w:bCs/>
          <w:i w:val="false"/>
          <w:iCs w:val="false"/>
        </w:rPr>
        <w:t xml:space="preserve">La vidéo courte domine l'acquisition </w:t>
      </w:r>
      <w:r>
        <w:rPr>
          <w:b w:val="false"/>
          <w:bCs w:val="false"/>
          <w:i w:val="false"/>
          <w:iCs w:val="false"/>
        </w:rPr>
        <w:t xml:space="preserve">sur la cible 18-35 ans (TikTok, Reels, Shorts). Le skill vidéo interne permet une cadence de production à coût marginal nul.</w:t>
      </w:r>
    </w:p>
    <w:p>
      <w:pPr>
        <w:pStyle w:val="ListParagraph"/>
        <w:numPr>
          <w:ilvl w:val="0"/>
          <w:numId w:val="2"/>
        </w:numPr>
        <w:spacing w:after="80" w:line="264"/>
      </w:pPr>
      <w:r>
        <w:rPr>
          <w:b/>
          <w:bCs/>
          <w:i w:val="false"/>
          <w:iCs w:val="false"/>
        </w:rPr>
        <w:t xml:space="preserve">Des communautés locales fortes mais mal outillées : </w:t>
      </w:r>
      <w:r>
        <w:rPr>
          <w:b w:val="false"/>
          <w:bCs w:val="false"/>
          <w:i w:val="false"/>
          <w:iCs w:val="false"/>
        </w:rPr>
        <w:t xml:space="preserve">les groupes Facebook départementaux de pêche sont très actifs mais sans outil dédié (pas de carnet, pas de carte, pas d'historique). C'est le terreau du fil régional.</w:t>
      </w:r>
    </w:p>
    <w:p>
      <w:pPr>
        <w:pStyle w:val="Heading2"/>
        <w:spacing w:after="120" w:before="260"/>
      </w:pPr>
      <w:r>
        <w:t xml:space="preserve">2.4 Personas cibles</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986"/>
        <w:gridCol w:w="2708"/>
        <w:gridCol w:w="2166"/>
        <w:gridCol w:w="2166"/>
      </w:tblGrid>
      <w:tr>
        <w:trPr>
          <w:tblHeader/>
        </w:trPr>
        <w:tc>
          <w:tcPr>
            <w:tcW w:type="dxa" w:w="198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Persona</w:t>
            </w:r>
          </w:p>
        </w:tc>
        <w:tc>
          <w:tcPr>
            <w:tcW w:type="dxa" w:w="2708"/>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Profil et besoin</w:t>
            </w:r>
          </w:p>
        </w:tc>
        <w:tc>
          <w:tcPr>
            <w:tcW w:type="dxa" w:w="216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Offre et déclencheur</w:t>
            </w:r>
          </w:p>
        </w:tc>
        <w:tc>
          <w:tcPr>
            <w:tcW w:type="dxa" w:w="216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Canal d'acquisition</w:t>
            </w:r>
          </w:p>
        </w:tc>
      </w:tr>
      <w:tr>
        <w:tc>
          <w:tcPr>
            <w:tcW w:type="dxa" w:w="1986"/>
            <w:tcMar>
              <w:top w:type="dxa" w:w="60"/>
              <w:left w:type="dxa" w:w="110"/>
              <w:bottom w:type="dxa" w:w="60"/>
              <w:right w:type="dxa" w:w="110"/>
            </w:tcMar>
            <w:vAlign w:val="center"/>
          </w:tcPr>
          <w:p>
            <w:pPr>
              <w:spacing w:after="40" w:before="40" w:line="240"/>
            </w:pPr>
            <w:r>
              <w:rPr>
                <w:b/>
                <w:bCs/>
                <w:i w:val="false"/>
                <w:iCs w:val="false"/>
                <w:sz w:val="19"/>
                <w:szCs w:val="19"/>
              </w:rPr>
              <w:t xml:space="preserve">Marc, le régulier du port</w:t>
            </w:r>
            <w:r>
              <w:rPr>
                <w:b w:val="false"/>
                <w:bCs w:val="false"/>
                <w:i w:val="false"/>
                <w:iCs w:val="false"/>
                <w:sz w:val="19"/>
                <w:szCs w:val="19"/>
              </w:rPr>
              <w:t xml:space="preserve"> (45-65 ans)</w:t>
            </w:r>
          </w:p>
        </w:tc>
        <w:tc>
          <w:tcPr>
            <w:tcW w:type="dxa" w:w="2708"/>
            <w:tcMar>
              <w:top w:type="dxa" w:w="60"/>
              <w:left w:type="dxa" w:w="110"/>
              <w:bottom w:type="dxa" w:w="60"/>
              <w:right w:type="dxa" w:w="110"/>
            </w:tcMar>
            <w:vAlign w:val="center"/>
          </w:tcPr>
          <w:p>
            <w:pPr>
              <w:spacing w:after="40" w:before="40" w:line="240"/>
            </w:pPr>
            <w:r>
              <w:rPr>
                <w:b w:val="false"/>
                <w:bCs w:val="false"/>
                <w:sz w:val="19"/>
                <w:szCs w:val="19"/>
              </w:rPr>
              <w:t xml:space="preserve">Pêche 2-3 fois/semaine son secteur. Veut savoir QUAND y aller et progresser sur SES spots.</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Tier Local. Déclencheurs : alertes par port (S72), carte précise du département, stats du carnet.</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Google (SEO « marée + spot »), groupes Facebook locaux, bouche-à-oreille.</w:t>
            </w:r>
          </w:p>
        </w:tc>
      </w:tr>
      <w:tr>
        <w:tc>
          <w:tcPr>
            <w:tcW w:type="dxa" w:w="1986"/>
            <w:shd w:fill="F6F1E6" w:val="clear"/>
            <w:tcMar>
              <w:top w:type="dxa" w:w="60"/>
              <w:left w:type="dxa" w:w="110"/>
              <w:bottom w:type="dxa" w:w="60"/>
              <w:right w:type="dxa" w:w="110"/>
            </w:tcMar>
            <w:vAlign w:val="center"/>
          </w:tcPr>
          <w:p>
            <w:pPr>
              <w:spacing w:after="40" w:before="40" w:line="240"/>
            </w:pPr>
            <w:r>
              <w:rPr>
                <w:b/>
                <w:bCs/>
                <w:i w:val="false"/>
                <w:iCs w:val="false"/>
                <w:sz w:val="19"/>
                <w:szCs w:val="19"/>
              </w:rPr>
              <w:t xml:space="preserve">Théo, le leurriste connecté</w:t>
            </w:r>
            <w:r>
              <w:rPr>
                <w:b w:val="false"/>
                <w:bCs w:val="false"/>
                <w:i w:val="false"/>
                <w:iCs w:val="false"/>
                <w:sz w:val="19"/>
                <w:szCs w:val="19"/>
              </w:rPr>
              <w:t xml:space="preserve"> (18-30 ans)</w:t>
            </w:r>
          </w:p>
        </w:tc>
        <w:tc>
          <w:tcPr>
            <w:tcW w:type="dxa" w:w="270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Leurres, street fishing, poste ses prises. Motivé par records, classements, défis.</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Freemium longue durée : moteur du fil social et du contenu UGC. Convertible Itinérant (road-trips).</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TikTok, Reels, Shorts, Discord/forums.</w:t>
            </w:r>
          </w:p>
        </w:tc>
      </w:tr>
      <w:tr>
        <w:tc>
          <w:tcPr>
            <w:tcW w:type="dxa" w:w="1986"/>
            <w:tcMar>
              <w:top w:type="dxa" w:w="60"/>
              <w:left w:type="dxa" w:w="110"/>
              <w:bottom w:type="dxa" w:w="60"/>
              <w:right w:type="dxa" w:w="110"/>
            </w:tcMar>
            <w:vAlign w:val="center"/>
          </w:tcPr>
          <w:p>
            <w:pPr>
              <w:spacing w:after="40" w:before="40" w:line="240"/>
            </w:pPr>
            <w:r>
              <w:rPr>
                <w:b/>
                <w:bCs/>
                <w:i w:val="false"/>
                <w:iCs w:val="false"/>
                <w:sz w:val="19"/>
                <w:szCs w:val="19"/>
              </w:rPr>
              <w:t xml:space="preserve">Laurent, le vacancier</w:t>
            </w:r>
            <w:r>
              <w:rPr>
                <w:b w:val="false"/>
                <w:bCs w:val="false"/>
                <w:i w:val="false"/>
                <w:iCs w:val="false"/>
                <w:sz w:val="19"/>
                <w:szCs w:val="19"/>
              </w:rPr>
              <w:t xml:space="preserve"> (35-55 ans)</w:t>
            </w:r>
          </w:p>
        </w:tc>
        <w:tc>
          <w:tcPr>
            <w:tcW w:type="dxa" w:w="2708"/>
            <w:tcMar>
              <w:top w:type="dxa" w:w="60"/>
              <w:left w:type="dxa" w:w="110"/>
              <w:bottom w:type="dxa" w:w="60"/>
              <w:right w:type="dxa" w:w="110"/>
            </w:tcMar>
            <w:vAlign w:val="center"/>
          </w:tcPr>
          <w:p>
            <w:pPr>
              <w:spacing w:after="40" w:before="40" w:line="240"/>
            </w:pPr>
            <w:r>
              <w:rPr>
                <w:b w:val="false"/>
                <w:bCs w:val="false"/>
                <w:sz w:val="19"/>
                <w:szCs w:val="19"/>
              </w:rPr>
              <w:t xml:space="preserve">Pêche 2-3 semaines/an en vacances. Cherche « où pêcher à Royan » et quoi utiliser.</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Guides SEO + fiches spots. Abonnement mensuel l'été puis churn assumé (LTV faible, volume élevé).</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SEO longue traîne (guides, pages spots), YouTube.</w:t>
            </w:r>
          </w:p>
        </w:tc>
      </w:tr>
    </w:tbl>
    <w:p>
      <w:r>
        <w:br w:type="page"/>
      </w:r>
    </w:p>
    <w:p>
      <w:pPr>
        <w:pStyle w:val="Heading1"/>
        <w:spacing w:after="160" w:before="320"/>
      </w:pPr>
      <w:r>
        <w:t xml:space="preserve">3. Analyse concurrentielle</w:t>
      </w:r>
    </w:p>
    <w:p>
      <w:pPr>
        <w:pStyle w:val="Heading2"/>
        <w:spacing w:after="120" w:before="260"/>
      </w:pPr>
      <w:r>
        <w:t xml:space="preserve">3.1 Benchmark des acteurs directs</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805"/>
        <w:gridCol w:w="1805"/>
        <w:gridCol w:w="1805"/>
        <w:gridCol w:w="1805"/>
        <w:gridCol w:w="1805"/>
      </w:tblGrid>
      <w:tr>
        <w:trPr>
          <w:tblHeader/>
        </w:trPr>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Critère</w:t>
            </w:r>
          </w:p>
        </w:tc>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Carnet de Pêche</w:t>
            </w:r>
          </w:p>
        </w:tc>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Spot de Pêche</w:t>
            </w:r>
          </w:p>
        </w:tc>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FishFriender</w:t>
            </w:r>
          </w:p>
        </w:tc>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Fishing Grid</w:t>
            </w:r>
          </w:p>
        </w:tc>
      </w:tr>
      <w:tr>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Spécialisation mer FR du bord</w:t>
            </w:r>
          </w:p>
        </w:tc>
        <w:tc>
          <w:tcPr>
            <w:tcW w:type="dxa" w:w="1805"/>
            <w:tcMar>
              <w:top w:type="dxa" w:w="60"/>
              <w:left w:type="dxa" w:w="110"/>
              <w:bottom w:type="dxa" w:w="60"/>
              <w:right w:type="dxa" w:w="110"/>
            </w:tcMar>
            <w:vAlign w:val="center"/>
          </w:tcPr>
          <w:p>
            <w:pPr>
              <w:spacing w:after="40" w:before="40" w:line="240"/>
            </w:pPr>
            <w:r>
              <w:rPr>
                <w:b/>
                <w:bCs/>
                <w:color w:val="0E9888"/>
                <w:sz w:val="19"/>
                <w:szCs w:val="19"/>
              </w:rPr>
              <w:t xml:space="preserve">Totale (cœur produit)</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Multi-techniques mer</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Généraliste mondial toutes pêches</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Généraliste FR eau douce + mer</w:t>
            </w:r>
          </w:p>
        </w:tc>
      </w:tr>
      <w:tr>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Carnet personnel</w:t>
            </w:r>
          </w:p>
        </w:tc>
        <w:tc>
          <w:tcPr>
            <w:tcW w:type="dxa" w:w="1805"/>
            <w:shd w:fill="F6F1E6" w:val="clear"/>
            <w:tcMar>
              <w:top w:type="dxa" w:w="60"/>
              <w:left w:type="dxa" w:w="110"/>
              <w:bottom w:type="dxa" w:w="60"/>
              <w:right w:type="dxa" w:w="110"/>
            </w:tcMar>
            <w:vAlign w:val="center"/>
          </w:tcPr>
          <w:p>
            <w:pPr>
              <w:spacing w:after="40" w:before="40" w:line="240"/>
            </w:pPr>
            <w:r>
              <w:rPr>
                <w:b/>
                <w:bCs/>
                <w:color w:val="0E9888"/>
                <w:sz w:val="19"/>
                <w:szCs w:val="19"/>
              </w:rPr>
              <w:t xml:space="preserve">Oui, cœur du produit</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Non</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Oui (+ boîte de pêche 130 K produits)</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Oui (+ Pokedex IA)</w:t>
            </w:r>
          </w:p>
        </w:tc>
      </w:tr>
      <w:tr>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Scoring personnalisé (apprend de tes prises)</w:t>
            </w:r>
          </w:p>
        </w:tc>
        <w:tc>
          <w:tcPr>
            <w:tcW w:type="dxa" w:w="1805"/>
            <w:tcMar>
              <w:top w:type="dxa" w:w="60"/>
              <w:left w:type="dxa" w:w="110"/>
              <w:bottom w:type="dxa" w:w="60"/>
              <w:right w:type="dxa" w:w="110"/>
            </w:tcMar>
            <w:vAlign w:val="center"/>
          </w:tcPr>
          <w:p>
            <w:pPr>
              <w:spacing w:after="40" w:before="40" w:line="240"/>
            </w:pPr>
            <w:r>
              <w:rPr>
                <w:b/>
                <w:bCs/>
                <w:color w:val="0E9888"/>
                <w:sz w:val="19"/>
                <w:szCs w:val="19"/>
              </w:rPr>
              <w:t xml:space="preserve">Oui, unique sur le marché</w:t>
            </w:r>
          </w:p>
        </w:tc>
        <w:tc>
          <w:tcPr>
            <w:tcW w:type="dxa" w:w="1805"/>
            <w:tcMar>
              <w:top w:type="dxa" w:w="60"/>
              <w:left w:type="dxa" w:w="110"/>
              <w:bottom w:type="dxa" w:w="60"/>
              <w:right w:type="dxa" w:w="110"/>
            </w:tcMar>
            <w:vAlign w:val="center"/>
          </w:tcPr>
          <w:p>
            <w:pPr>
              <w:spacing w:after="40" w:before="40" w:line="240"/>
            </w:pPr>
            <w:r>
              <w:rPr>
                <w:b w:val="false"/>
                <w:bCs w:val="false"/>
                <w:color w:val="C94A3B"/>
                <w:sz w:val="19"/>
                <w:szCs w:val="19"/>
              </w:rPr>
              <w:t xml:space="preserve">Non (solunaire générique)</w:t>
            </w:r>
          </w:p>
        </w:tc>
        <w:tc>
          <w:tcPr>
            <w:tcW w:type="dxa" w:w="1805"/>
            <w:tcMar>
              <w:top w:type="dxa" w:w="60"/>
              <w:left w:type="dxa" w:w="110"/>
              <w:bottom w:type="dxa" w:w="60"/>
              <w:right w:type="dxa" w:w="110"/>
            </w:tcMar>
            <w:vAlign w:val="center"/>
          </w:tcPr>
          <w:p>
            <w:pPr>
              <w:spacing w:after="40" w:before="40" w:line="240"/>
            </w:pPr>
            <w:r>
              <w:rPr>
                <w:b w:val="false"/>
                <w:bCs w:val="false"/>
                <w:color w:val="C94A3B"/>
                <w:sz w:val="19"/>
                <w:szCs w:val="19"/>
              </w:rPr>
              <w:t xml:space="preserve">Non</w:t>
            </w:r>
          </w:p>
        </w:tc>
        <w:tc>
          <w:tcPr>
            <w:tcW w:type="dxa" w:w="1805"/>
            <w:tcMar>
              <w:top w:type="dxa" w:w="60"/>
              <w:left w:type="dxa" w:w="110"/>
              <w:bottom w:type="dxa" w:w="60"/>
              <w:right w:type="dxa" w:w="110"/>
            </w:tcMar>
            <w:vAlign w:val="center"/>
          </w:tcPr>
          <w:p>
            <w:pPr>
              <w:spacing w:after="40" w:before="40" w:line="240"/>
            </w:pPr>
            <w:r>
              <w:rPr>
                <w:b w:val="false"/>
                <w:bCs w:val="false"/>
                <w:color w:val="C94A3B"/>
                <w:sz w:val="19"/>
                <w:szCs w:val="19"/>
              </w:rPr>
              <w:t xml:space="preserve">Non (solunaire générique)</w:t>
            </w:r>
          </w:p>
        </w:tc>
      </w:tr>
      <w:tr>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Spots curés</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215 curés + 942 en cours de curation</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Oui, exhaustif (heatmap de qualité)</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Carte 100 % paywall</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Non (contenu communautaire seul)</w:t>
            </w:r>
          </w:p>
        </w:tc>
      </w:tr>
      <w:tr>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Données env. (marées, houle, vagues)</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Complètes et précises</w:t>
            </w:r>
          </w:p>
        </w:tc>
        <w:tc>
          <w:tcPr>
            <w:tcW w:type="dxa" w:w="1805"/>
            <w:tcMar>
              <w:top w:type="dxa" w:w="60"/>
              <w:left w:type="dxa" w:w="110"/>
              <w:bottom w:type="dxa" w:w="60"/>
              <w:right w:type="dxa" w:w="110"/>
            </w:tcMar>
            <w:vAlign w:val="center"/>
          </w:tcPr>
          <w:p>
            <w:pPr>
              <w:spacing w:after="40" w:before="40" w:line="240"/>
            </w:pPr>
            <w:r>
              <w:rPr>
                <w:b/>
                <w:bCs/>
                <w:sz w:val="19"/>
                <w:szCs w:val="19"/>
              </w:rPr>
              <w:t xml:space="preserve">Très complètes (référence)</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Basiques</w:t>
            </w:r>
          </w:p>
        </w:tc>
        <w:tc>
          <w:tcPr>
            <w:tcW w:type="dxa" w:w="1805"/>
            <w:tcMar>
              <w:top w:type="dxa" w:w="60"/>
              <w:left w:type="dxa" w:w="110"/>
              <w:bottom w:type="dxa" w:w="60"/>
              <w:right w:type="dxa" w:w="110"/>
            </w:tcMar>
            <w:vAlign w:val="center"/>
          </w:tcPr>
          <w:p>
            <w:pPr>
              <w:spacing w:after="40" w:before="40" w:line="240"/>
            </w:pPr>
            <w:r>
              <w:rPr>
                <w:b w:val="false"/>
                <w:bCs w:val="false"/>
                <w:color w:val="C94A3B"/>
                <w:sz w:val="19"/>
                <w:szCs w:val="19"/>
              </w:rPr>
              <w:t xml:space="preserve">Marées imprécises (~30 min d'écart constaté)</w:t>
            </w:r>
          </w:p>
        </w:tc>
      </w:tr>
      <w:tr>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Fil social régional</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Oui, gratuit, par département</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Non</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Communauté mondiale</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209 groupes locaux + chat</w:t>
            </w:r>
          </w:p>
        </w:tc>
      </w:tr>
      <w:tr>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Gamification / compétition</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XP, rangs, défis, saisons, classements k-anonymes</w:t>
            </w:r>
          </w:p>
        </w:tc>
        <w:tc>
          <w:tcPr>
            <w:tcW w:type="dxa" w:w="1805"/>
            <w:tcMar>
              <w:top w:type="dxa" w:w="60"/>
              <w:left w:type="dxa" w:w="110"/>
              <w:bottom w:type="dxa" w:w="60"/>
              <w:right w:type="dxa" w:w="110"/>
            </w:tcMar>
            <w:vAlign w:val="center"/>
          </w:tcPr>
          <w:p>
            <w:pPr>
              <w:spacing w:after="40" w:before="40" w:line="240"/>
            </w:pPr>
            <w:r>
              <w:rPr>
                <w:b w:val="false"/>
                <w:bCs w:val="false"/>
                <w:color w:val="C94A3B"/>
                <w:sz w:val="19"/>
                <w:szCs w:val="19"/>
              </w:rPr>
              <w:t xml:space="preserve">Non</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Basique</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Défis, quiz, classements</w:t>
            </w:r>
          </w:p>
        </w:tc>
      </w:tr>
      <w:tr>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App mobile native</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Non (PWA web) : gate S74</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Non</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Oui, 12 langues</w:t>
            </w:r>
          </w:p>
        </w:tc>
        <w:tc>
          <w:tcPr>
            <w:tcW w:type="dxa" w:w="1805"/>
            <w:shd w:fill="F6F1E6" w:val="clear"/>
            <w:tcMar>
              <w:top w:type="dxa" w:w="60"/>
              <w:left w:type="dxa" w:w="110"/>
              <w:bottom w:type="dxa" w:w="60"/>
              <w:right w:type="dxa" w:w="110"/>
            </w:tcMar>
            <w:vAlign w:val="center"/>
          </w:tcPr>
          <w:p>
            <w:pPr>
              <w:spacing w:after="40" w:before="40" w:line="240"/>
            </w:pPr>
            <w:r>
              <w:rPr>
                <w:b/>
                <w:bCs/>
                <w:sz w:val="19"/>
                <w:szCs w:val="19"/>
              </w:rPr>
              <w:t xml:space="preserve">Oui, iOS + Android (4,7-4,8/5)</w:t>
            </w:r>
          </w:p>
        </w:tc>
      </w:tr>
      <w:tr>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Modèle économique</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Freemium 0/4,90/9,90 €</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Abonnement (5 formules)</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Freemium 6 paliers</w:t>
            </w:r>
          </w:p>
        </w:tc>
        <w:tc>
          <w:tcPr>
            <w:tcW w:type="dxa" w:w="1805"/>
            <w:tcMar>
              <w:top w:type="dxa" w:w="60"/>
              <w:left w:type="dxa" w:w="110"/>
              <w:bottom w:type="dxa" w:w="60"/>
              <w:right w:type="dxa" w:w="110"/>
            </w:tcMar>
            <w:vAlign w:val="center"/>
          </w:tcPr>
          <w:p>
            <w:pPr>
              <w:spacing w:after="40" w:before="40" w:line="240"/>
            </w:pPr>
            <w:r>
              <w:rPr>
                <w:b w:val="false"/>
                <w:bCs w:val="false"/>
                <w:color w:val="C94A3B"/>
                <w:sz w:val="19"/>
                <w:szCs w:val="19"/>
              </w:rPr>
              <w:t xml:space="preserve">100 % gratuit (pari marketplace)</w:t>
            </w:r>
          </w:p>
        </w:tc>
      </w:tr>
      <w:tr>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Faiblesse clé exploitable</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Réservoir vide, zéro notoriété</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Pas de carnet, pas de perso, pas d'app</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Pas spécialisé FR mer, carte paywall</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Pas de profondeur mer, pas de revenus récurrents</w:t>
            </w:r>
          </w:p>
        </w:tc>
      </w:tr>
    </w:tbl>
    <w:p>
      <w:pPr>
        <w:spacing w:after="140" w:before="100" w:line="276"/>
      </w:pPr>
      <w:r>
        <w:rPr>
          <w:b w:val="false"/>
          <w:bCs w:val="false"/>
          <w:i/>
          <w:iCs/>
          <w:color w:val="5E6E77"/>
          <w:sz w:val="19"/>
          <w:szCs w:val="19"/>
        </w:rPr>
        <w:t xml:space="preserve">Note : Fishbrain (leader mondial, 15 M users) est hors tableau car quasi absent du marché FR mer du bord ; il reste la menace long terme s'il localise la France.</w:t>
      </w:r>
    </w:p>
    <w:p>
      <w:pPr>
        <w:pStyle w:val="Heading2"/>
        <w:spacing w:after="120" w:before="260"/>
      </w:pPr>
      <w:r>
        <w:t xml:space="preserve">3.2 Nos trois angles d'attaque défendables</w:t>
      </w:r>
    </w:p>
    <w:p>
      <w:pPr>
        <w:pStyle w:val="ListParagraph"/>
        <w:numPr>
          <w:ilvl w:val="0"/>
          <w:numId w:val="2"/>
        </w:numPr>
        <w:spacing w:after="80" w:line="264"/>
      </w:pPr>
      <w:r>
        <w:rPr>
          <w:b/>
          <w:bCs/>
          <w:i w:val="false"/>
          <w:iCs w:val="false"/>
        </w:rPr>
        <w:t xml:space="preserve">Profondeur métier mer du bord FR : </w:t>
      </w:r>
      <w:r>
        <w:rPr>
          <w:b w:val="false"/>
          <w:bCs w:val="false"/>
          <w:i w:val="false"/>
          <w:iCs w:val="false"/>
        </w:rPr>
        <w:t xml:space="preserve">marées précises, houle, coefficients, réglementation sourcée par façade. Fishing Grid est généraliste et imprécis sur les marées ; FishFriender est mondial et superficiel sur la mer FR.</w:t>
      </w:r>
    </w:p>
    <w:p>
      <w:pPr>
        <w:pStyle w:val="ListParagraph"/>
        <w:numPr>
          <w:ilvl w:val="0"/>
          <w:numId w:val="2"/>
        </w:numPr>
        <w:spacing w:after="80" w:line="264"/>
      </w:pPr>
      <w:r>
        <w:rPr>
          <w:b/>
          <w:bCs/>
          <w:i w:val="false"/>
          <w:iCs w:val="false"/>
        </w:rPr>
        <w:t xml:space="preserve">Personnalisation par l'historique (le moat) : </w:t>
      </w:r>
      <w:r>
        <w:rPr>
          <w:b w:val="false"/>
          <w:bCs w:val="false"/>
          <w:i w:val="false"/>
          <w:iCs w:val="false"/>
        </w:rPr>
        <w:t xml:space="preserve">personne d'autre n'overlay tes patterns sur les données environnementales. Ce moat a une propriété rare : il se renforce à chaque prise loguée et rend le produit irremplaçable pour CHAQUE utilisateur individuellement.</w:t>
      </w:r>
    </w:p>
    <w:p>
      <w:pPr>
        <w:pStyle w:val="ListParagraph"/>
        <w:numPr>
          <w:ilvl w:val="0"/>
          <w:numId w:val="2"/>
        </w:numPr>
        <w:spacing w:after="80" w:line="264"/>
      </w:pPr>
      <w:r>
        <w:rPr>
          <w:b/>
          <w:bCs/>
          <w:i w:val="false"/>
          <w:iCs w:val="false"/>
        </w:rPr>
        <w:t xml:space="preserve">Modèle économique viable : </w:t>
      </w:r>
      <w:r>
        <w:rPr>
          <w:b w:val="false"/>
          <w:bCs w:val="false"/>
          <w:i w:val="false"/>
          <w:iCs w:val="false"/>
        </w:rPr>
        <w:t xml:space="preserve">Fishing Grid est 100 % gratuit sans revenus récurrents, Spot de Pêche est un site sans app ni social. Nous sommes les seuls à combiner du gratuit généreux (carnet, social) et un payant à forte valeur (précision, alertes).</w:t>
      </w:r>
    </w:p>
    <w:p>
      <w:pPr>
        <w:pStyle w:val="Heading2"/>
        <w:spacing w:after="120" w:before="260"/>
      </w:pPr>
      <w:r>
        <w:t xml:space="preserve">3.3 Les 5 forces de Porter</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2166"/>
        <w:gridCol w:w="1264"/>
        <w:gridCol w:w="5596"/>
      </w:tblGrid>
      <w:tr>
        <w:trPr>
          <w:tblHeader/>
        </w:trPr>
        <w:tc>
          <w:tcPr>
            <w:tcW w:type="dxa" w:w="216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Force</w:t>
            </w:r>
          </w:p>
        </w:tc>
        <w:tc>
          <w:tcPr>
            <w:tcW w:type="dxa" w:w="126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Intensité</w:t>
            </w:r>
          </w:p>
        </w:tc>
        <w:tc>
          <w:tcPr>
            <w:tcW w:type="dxa" w:w="559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Lecture pour Carnet de Pêche</w:t>
            </w:r>
          </w:p>
        </w:tc>
      </w:tr>
      <w:tr>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Rivalité concurrentielle</w:t>
            </w:r>
          </w:p>
        </w:tc>
        <w:tc>
          <w:tcPr>
            <w:tcW w:type="dxa" w:w="1264"/>
            <w:tcMar>
              <w:top w:type="dxa" w:w="60"/>
              <w:left w:type="dxa" w:w="110"/>
              <w:bottom w:type="dxa" w:w="60"/>
              <w:right w:type="dxa" w:w="110"/>
            </w:tcMar>
            <w:vAlign w:val="center"/>
          </w:tcPr>
          <w:p>
            <w:pPr>
              <w:spacing w:after="40" w:before="40" w:line="240"/>
            </w:pPr>
            <w:r>
              <w:rPr>
                <w:b/>
                <w:bCs/>
                <w:sz w:val="19"/>
                <w:szCs w:val="19"/>
              </w:rPr>
              <w:t xml:space="preserve">Moyenne +</w:t>
            </w:r>
          </w:p>
        </w:tc>
        <w:tc>
          <w:tcPr>
            <w:tcW w:type="dxa" w:w="5596"/>
            <w:tcMar>
              <w:top w:type="dxa" w:w="60"/>
              <w:left w:type="dxa" w:w="110"/>
              <w:bottom w:type="dxa" w:w="60"/>
              <w:right w:type="dxa" w:w="110"/>
            </w:tcMar>
            <w:vAlign w:val="center"/>
          </w:tcPr>
          <w:p>
            <w:pPr>
              <w:spacing w:after="40" w:before="40" w:line="240"/>
            </w:pPr>
            <w:r>
              <w:rPr>
                <w:b w:val="false"/>
                <w:bCs w:val="false"/>
                <w:sz w:val="19"/>
                <w:szCs w:val="19"/>
              </w:rPr>
              <w:t xml:space="preserve">3 acteurs FR actifs mais aucun sur notre créneau exact. Fishing Grid a la vélocité (10 releases/10 mois) et la gratuité ; FishFriender a la caution Ifremer. La rivalité montera vite.</w:t>
            </w:r>
          </w:p>
        </w:tc>
      </w:tr>
      <w:tr>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Menace de nouveaux entrants</w:t>
            </w:r>
          </w:p>
        </w:tc>
        <w:tc>
          <w:tcPr>
            <w:tcW w:type="dxa" w:w="1264"/>
            <w:shd w:fill="F6F1E6" w:val="clear"/>
            <w:tcMar>
              <w:top w:type="dxa" w:w="60"/>
              <w:left w:type="dxa" w:w="110"/>
              <w:bottom w:type="dxa" w:w="60"/>
              <w:right w:type="dxa" w:w="110"/>
            </w:tcMar>
            <w:vAlign w:val="center"/>
          </w:tcPr>
          <w:p>
            <w:pPr>
              <w:spacing w:after="40" w:before="40" w:line="240"/>
            </w:pPr>
            <w:r>
              <w:rPr>
                <w:b/>
                <w:bCs/>
                <w:color w:val="C94A3B"/>
                <w:sz w:val="19"/>
                <w:szCs w:val="19"/>
              </w:rPr>
              <w:t xml:space="preserve">Élevée</w:t>
            </w:r>
          </w:p>
        </w:tc>
        <w:tc>
          <w:tcPr>
            <w:tcW w:type="dxa" w:w="559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Les features de surface (carte, météo, carnet basique) sont réplicables en quelques mois, y compris avec l'IA. Seuls les actifs cumulatifs protègent : données personnelles des carnets, spots curés, SEO, communauté.</w:t>
            </w:r>
          </w:p>
        </w:tc>
      </w:tr>
      <w:tr>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Produits de substitution</w:t>
            </w:r>
          </w:p>
        </w:tc>
        <w:tc>
          <w:tcPr>
            <w:tcW w:type="dxa" w:w="1264"/>
            <w:tcMar>
              <w:top w:type="dxa" w:w="60"/>
              <w:left w:type="dxa" w:w="110"/>
              <w:bottom w:type="dxa" w:w="60"/>
              <w:right w:type="dxa" w:w="110"/>
            </w:tcMar>
            <w:vAlign w:val="center"/>
          </w:tcPr>
          <w:p>
            <w:pPr>
              <w:spacing w:after="40" w:before="40" w:line="240"/>
            </w:pPr>
            <w:r>
              <w:rPr>
                <w:b/>
                <w:bCs/>
                <w:color w:val="C94A3B"/>
                <w:sz w:val="19"/>
                <w:szCs w:val="19"/>
              </w:rPr>
              <w:t xml:space="preserve">Élevée</w:t>
            </w:r>
          </w:p>
        </w:tc>
        <w:tc>
          <w:tcPr>
            <w:tcW w:type="dxa" w:w="5596"/>
            <w:tcMar>
              <w:top w:type="dxa" w:w="60"/>
              <w:left w:type="dxa" w:w="110"/>
              <w:bottom w:type="dxa" w:w="60"/>
              <w:right w:type="dxa" w:w="110"/>
            </w:tcMar>
            <w:vAlign w:val="center"/>
          </w:tcPr>
          <w:p>
            <w:pPr>
              <w:spacing w:after="40" w:before="40" w:line="240"/>
            </w:pPr>
            <w:r>
              <w:rPr>
                <w:b w:val="false"/>
                <w:bCs w:val="false"/>
                <w:sz w:val="19"/>
                <w:szCs w:val="19"/>
              </w:rPr>
              <w:t xml:space="preserve">Gratuits et installés : groupes Facebook, marée.info, Windy, YouTube, carnet papier ou notes. Le substitut ne coûte rien : notre gratuit doit être meilleur que leur gratuit.</w:t>
            </w:r>
          </w:p>
        </w:tc>
      </w:tr>
      <w:tr>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Pouvoir des fournisseurs</w:t>
            </w:r>
          </w:p>
        </w:tc>
        <w:tc>
          <w:tcPr>
            <w:tcW w:type="dxa" w:w="1264"/>
            <w:shd w:fill="F6F1E6" w:val="clear"/>
            <w:tcMar>
              <w:top w:type="dxa" w:w="60"/>
              <w:left w:type="dxa" w:w="110"/>
              <w:bottom w:type="dxa" w:w="60"/>
              <w:right w:type="dxa" w:w="110"/>
            </w:tcMar>
            <w:vAlign w:val="center"/>
          </w:tcPr>
          <w:p>
            <w:pPr>
              <w:spacing w:after="40" w:before="40" w:line="240"/>
            </w:pPr>
            <w:r>
              <w:rPr>
                <w:b/>
                <w:bCs/>
                <w:sz w:val="19"/>
                <w:szCs w:val="19"/>
              </w:rPr>
              <w:t xml:space="preserve">Faible à moyen</w:t>
            </w:r>
          </w:p>
        </w:tc>
        <w:tc>
          <w:tcPr>
            <w:tcW w:type="dxa" w:w="559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Open-Meteo, MapTiler et EMODnet sont gratuits ou quasi. Risque : dépendance à des données gratuites dont les conditions peuvent changer ; SHOM en plan B payant.</w:t>
            </w:r>
          </w:p>
        </w:tc>
      </w:tr>
      <w:tr>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Pouvoir des clients</w:t>
            </w:r>
          </w:p>
        </w:tc>
        <w:tc>
          <w:tcPr>
            <w:tcW w:type="dxa" w:w="1264"/>
            <w:tcMar>
              <w:top w:type="dxa" w:w="60"/>
              <w:left w:type="dxa" w:w="110"/>
              <w:bottom w:type="dxa" w:w="60"/>
              <w:right w:type="dxa" w:w="110"/>
            </w:tcMar>
            <w:vAlign w:val="center"/>
          </w:tcPr>
          <w:p>
            <w:pPr>
              <w:spacing w:after="40" w:before="40" w:line="240"/>
            </w:pPr>
            <w:r>
              <w:rPr>
                <w:b/>
                <w:bCs/>
                <w:color w:val="C94A3B"/>
                <w:sz w:val="19"/>
                <w:szCs w:val="19"/>
              </w:rPr>
              <w:t xml:space="preserve">Élevé</w:t>
            </w:r>
          </w:p>
        </w:tc>
        <w:tc>
          <w:tcPr>
            <w:tcW w:type="dxa" w:w="5596"/>
            <w:tcMar>
              <w:top w:type="dxa" w:w="60"/>
              <w:left w:type="dxa" w:w="110"/>
              <w:bottom w:type="dxa" w:w="60"/>
              <w:right w:type="dxa" w:w="110"/>
            </w:tcMar>
            <w:vAlign w:val="center"/>
          </w:tcPr>
          <w:p>
            <w:pPr>
              <w:spacing w:after="40" w:before="40" w:line="240"/>
            </w:pPr>
            <w:r>
              <w:rPr>
                <w:b w:val="false"/>
                <w:bCs w:val="false"/>
                <w:sz w:val="19"/>
                <w:szCs w:val="19"/>
              </w:rPr>
              <w:t xml:space="preserve">Attente forte de gratuité (renforcée par Fishing Grid), coût de changement quasi nul aujourd'hui. Le carnet rempli crée le switching cost : chaque prise loguée augmente le coût de départ.</w:t>
            </w:r>
          </w:p>
        </w:tc>
      </w:tr>
    </w:tbl>
    <w:p>
      <w:pPr>
        <w:pStyle w:val="Heading2"/>
        <w:spacing w:after="120" w:before="260"/>
      </w:pPr>
      <w:r>
        <w:t xml:space="preserve">3.4 Fenêtre stratégique</w:t>
      </w:r>
    </w:p>
    <w:p>
      <w:pPr>
        <w:spacing w:after="140" w:before="0" w:line="276"/>
      </w:pPr>
      <w:r>
        <w:t xml:space="preserve">La fenêtre est ouverte mais se referme : FishFriender capitalise sur la caution scientifique de l'Ifremer jusqu'en 2027, Fishing Grid itère vite et occupe le terrain « app FR gratuite ». Personne n'a encore verrouillé le créneau « expert mer du bord + personnel ». Objectif : l'occuper publiquement avant la saison 2027, avec des utilisateurs réels et des classements vivants comme preuve sociale.</w:t>
      </w:r>
    </w:p>
    <w:p>
      <w:r>
        <w:br w:type="page"/>
      </w:r>
    </w:p>
    <w:p>
      <w:pPr>
        <w:pStyle w:val="Heading1"/>
        <w:spacing w:after="160" w:before="320"/>
      </w:pPr>
      <w:r>
        <w:t xml:space="preserve">4. SWOT</w:t>
      </w:r>
    </w:p>
    <w:tbl>
      <w:tblPr>
        <w:tblW w:type="dxa" w:w="9026"/>
        <w:tblBorders>
          <w:top w:val="single" w:color="0A2F3D" w:sz="6"/>
          <w:left w:val="single" w:color="0A2F3D" w:sz="6"/>
          <w:bottom w:val="single" w:color="0A2F3D" w:sz="6"/>
          <w:right w:val="single" w:color="0A2F3D" w:sz="6"/>
          <w:insideH w:val="single" w:color="0A2F3D" w:sz="6"/>
          <w:insideV w:val="single" w:color="0A2F3D" w:sz="6"/>
        </w:tblBorders>
      </w:tblPr>
      <w:tblGrid>
        <w:gridCol w:w="4513"/>
        <w:gridCol w:w="4513"/>
      </w:tblGrid>
      <w:tr>
        <w:tc>
          <w:tcPr>
            <w:tcW w:type="dxa" w:w="4513"/>
            <w:shd w:fill="0E9888" w:val="clear"/>
            <w:tcMar>
              <w:top w:type="dxa" w:w="60"/>
              <w:left w:type="dxa" w:w="110"/>
              <w:bottom w:type="dxa" w:w="60"/>
              <w:right w:type="dxa" w:w="110"/>
            </w:tcMar>
          </w:tcPr>
          <w:p>
            <w:pPr>
              <w:spacing w:after="40" w:before="40" w:line="240"/>
              <w:jc w:val="center"/>
            </w:pPr>
            <w:r>
              <w:rPr>
                <w:b/>
                <w:bCs/>
                <w:i w:val="false"/>
                <w:iCs w:val="false"/>
                <w:color w:val="FFFFFF"/>
                <w:sz w:val="22"/>
                <w:szCs w:val="22"/>
              </w:rPr>
              <w:t xml:space="preserve">FORCES</w:t>
            </w:r>
          </w:p>
        </w:tc>
        <w:tc>
          <w:tcPr>
            <w:tcW w:type="dxa" w:w="4513"/>
            <w:shd w:fill="C94A3B" w:val="clear"/>
            <w:tcMar>
              <w:top w:type="dxa" w:w="60"/>
              <w:left w:type="dxa" w:w="110"/>
              <w:bottom w:type="dxa" w:w="60"/>
              <w:right w:type="dxa" w:w="110"/>
            </w:tcMar>
          </w:tcPr>
          <w:p>
            <w:pPr>
              <w:spacing w:after="40" w:before="40" w:line="240"/>
              <w:jc w:val="center"/>
            </w:pPr>
            <w:r>
              <w:rPr>
                <w:b/>
                <w:bCs/>
                <w:i w:val="false"/>
                <w:iCs w:val="false"/>
                <w:color w:val="FFFFFF"/>
                <w:sz w:val="22"/>
                <w:szCs w:val="22"/>
              </w:rPr>
              <w:t xml:space="preserve">FAIBLESSES</w:t>
            </w:r>
          </w:p>
        </w:tc>
      </w:tr>
      <w:tr>
        <w:tc>
          <w:tcPr>
            <w:tcW w:type="dxa" w:w="4513"/>
            <w:tcMar>
              <w:top w:type="dxa" w:w="80"/>
              <w:left w:type="dxa" w:w="130"/>
              <w:bottom w:type="dxa" w:w="80"/>
              <w:right w:type="dxa" w:w="130"/>
            </w:tcMar>
          </w:tcPr>
          <w:p>
            <w:pPr>
              <w:spacing w:after="40" w:before="40" w:line="240"/>
            </w:pPr>
            <w:r>
              <w:rPr>
                <w:b w:val="false"/>
                <w:bCs w:val="false"/>
                <w:i w:val="false"/>
                <w:iCs w:val="false"/>
                <w:sz w:val="19"/>
                <w:szCs w:val="19"/>
              </w:rPr>
              <w:t xml:space="preserve">Profondeur produit inégalée sur le créneau : 69 sprints, 695+ tests, 26 fiches espèces sourcées.</w:t>
            </w:r>
          </w:p>
          <w:p>
            <w:pPr>
              <w:spacing w:after="40" w:before="40" w:line="240"/>
            </w:pPr>
            <w:r>
              <w:rPr>
                <w:b w:val="false"/>
                <w:bCs w:val="false"/>
                <w:i w:val="false"/>
                <w:iCs w:val="false"/>
                <w:sz w:val="19"/>
                <w:szCs w:val="19"/>
              </w:rPr>
              <w:t xml:space="preserve">Moat scoring perso codé, réel et démontrable (plus personne ne l'a).</w:t>
            </w:r>
          </w:p>
          <w:p>
            <w:pPr>
              <w:spacing w:after="40" w:before="40" w:line="240"/>
            </w:pPr>
            <w:r>
              <w:rPr>
                <w:b w:val="false"/>
                <w:bCs w:val="false"/>
                <w:i w:val="false"/>
                <w:iCs w:val="false"/>
                <w:sz w:val="19"/>
                <w:szCs w:val="19"/>
              </w:rPr>
              <w:t xml:space="preserve">215 spots curés + précision marées/houle supérieure aux concurrents FR.</w:t>
            </w:r>
          </w:p>
          <w:p>
            <w:pPr>
              <w:spacing w:after="40" w:before="40" w:line="240"/>
            </w:pPr>
            <w:r>
              <w:rPr>
                <w:b w:val="false"/>
                <w:bCs w:val="false"/>
                <w:i w:val="false"/>
                <w:iCs w:val="false"/>
                <w:sz w:val="19"/>
                <w:szCs w:val="19"/>
              </w:rPr>
              <w:t xml:space="preserve">1 158 pages spots + fiches espèces : machine SEO programmatique en place.</w:t>
            </w:r>
          </w:p>
          <w:p>
            <w:pPr>
              <w:spacing w:after="40" w:before="40" w:line="240"/>
            </w:pPr>
            <w:r>
              <w:rPr>
                <w:b w:val="false"/>
                <w:bCs w:val="false"/>
                <w:i w:val="false"/>
                <w:iCs w:val="false"/>
                <w:sz w:val="19"/>
                <w:szCs w:val="19"/>
              </w:rPr>
              <w:t xml:space="preserve">Coût de structure quasi nul : bootstrap sans pression de burn.</w:t>
            </w:r>
          </w:p>
          <w:p>
            <w:pPr>
              <w:spacing w:after="40" w:before="40" w:line="240"/>
            </w:pPr>
            <w:r>
              <w:rPr>
                <w:b w:val="false"/>
                <w:bCs w:val="false"/>
                <w:i w:val="false"/>
                <w:iCs w:val="false"/>
                <w:sz w:val="19"/>
                <w:szCs w:val="19"/>
              </w:rPr>
              <w:t xml:space="preserve">Founder-market fit : produit fait par un pêcheur pour des pêcheurs.</w:t>
            </w:r>
          </w:p>
        </w:tc>
        <w:tc>
          <w:tcPr>
            <w:tcW w:type="dxa" w:w="4513"/>
            <w:tcMar>
              <w:top w:type="dxa" w:w="80"/>
              <w:left w:type="dxa" w:w="130"/>
              <w:bottom w:type="dxa" w:w="80"/>
              <w:right w:type="dxa" w:w="130"/>
            </w:tcMar>
          </w:tcPr>
          <w:p>
            <w:pPr>
              <w:spacing w:after="40" w:before="40" w:line="240"/>
            </w:pPr>
            <w:r>
              <w:rPr>
                <w:b w:val="false"/>
                <w:bCs w:val="false"/>
                <w:i w:val="false"/>
                <w:iCs w:val="false"/>
                <w:sz w:val="19"/>
                <w:szCs w:val="19"/>
              </w:rPr>
              <w:t xml:space="preserve">Réservoir vide : 19 profils, 21 prises. Le moat et le social tournent à vide, la preuve sociale est nulle.</w:t>
            </w:r>
          </w:p>
          <w:p>
            <w:pPr>
              <w:spacing w:after="40" w:before="40" w:line="240"/>
            </w:pPr>
            <w:r>
              <w:rPr>
                <w:b w:val="false"/>
                <w:bCs w:val="false"/>
                <w:i w:val="false"/>
                <w:iCs w:val="false"/>
                <w:sz w:val="19"/>
                <w:szCs w:val="19"/>
              </w:rPr>
              <w:t xml:space="preserve">Zéro notoriété, zéro marque, zéro distribution à ce jour.</w:t>
            </w:r>
          </w:p>
          <w:p>
            <w:pPr>
              <w:spacing w:after="40" w:before="40" w:line="240"/>
            </w:pPr>
            <w:r>
              <w:rPr>
                <w:b w:val="false"/>
                <w:bCs w:val="false"/>
                <w:i w:val="false"/>
                <w:iCs w:val="false"/>
                <w:sz w:val="19"/>
                <w:szCs w:val="19"/>
              </w:rPr>
              <w:t xml:space="preserve">Pas d'app native (Fishing Grid en a deux, bien notées).</w:t>
            </w:r>
          </w:p>
          <w:p>
            <w:pPr>
              <w:spacing w:after="40" w:before="40" w:line="240"/>
            </w:pPr>
            <w:r>
              <w:rPr>
                <w:b w:val="false"/>
                <w:bCs w:val="false"/>
                <w:i w:val="false"/>
                <w:iCs w:val="false"/>
                <w:sz w:val="19"/>
                <w:szCs w:val="19"/>
              </w:rPr>
              <w:t xml:space="preserve">Funnel non instrumenté : aucun événement signup (fix S70 en cours).</w:t>
            </w:r>
          </w:p>
          <w:p>
            <w:pPr>
              <w:spacing w:after="40" w:before="40" w:line="240"/>
            </w:pPr>
            <w:r>
              <w:rPr>
                <w:b w:val="false"/>
                <w:bCs w:val="false"/>
                <w:i w:val="false"/>
                <w:iCs w:val="false"/>
                <w:sz w:val="19"/>
                <w:szCs w:val="19"/>
              </w:rPr>
              <w:t xml:space="preserve">Équipe de 2, temps contraint : la distribution dépend de la discipline hebdo.</w:t>
            </w:r>
          </w:p>
          <w:p>
            <w:pPr>
              <w:spacing w:after="40" w:before="40" w:line="240"/>
            </w:pPr>
            <w:r>
              <w:rPr>
                <w:b w:val="false"/>
                <w:bCs w:val="false"/>
                <w:i w:val="false"/>
                <w:iCs w:val="false"/>
                <w:sz w:val="19"/>
                <w:szCs w:val="19"/>
              </w:rPr>
              <w:t xml:space="preserve">Essai payant avec CB : friction élevée en B2C.</w:t>
            </w:r>
          </w:p>
        </w:tc>
      </w:tr>
      <w:tr>
        <w:tc>
          <w:tcPr>
            <w:tcW w:type="dxa" w:w="4513"/>
            <w:shd w:fill="B8842A" w:val="clear"/>
            <w:tcMar>
              <w:top w:type="dxa" w:w="60"/>
              <w:left w:type="dxa" w:w="110"/>
              <w:bottom w:type="dxa" w:w="60"/>
              <w:right w:type="dxa" w:w="110"/>
            </w:tcMar>
          </w:tcPr>
          <w:p>
            <w:pPr>
              <w:spacing w:after="40" w:before="40" w:line="240"/>
              <w:jc w:val="center"/>
            </w:pPr>
            <w:r>
              <w:rPr>
                <w:b/>
                <w:bCs/>
                <w:i w:val="false"/>
                <w:iCs w:val="false"/>
                <w:color w:val="FFFFFF"/>
                <w:sz w:val="22"/>
                <w:szCs w:val="22"/>
              </w:rPr>
              <w:t xml:space="preserve">OPPORTUNITÉS</w:t>
            </w:r>
          </w:p>
        </w:tc>
        <w:tc>
          <w:tcPr>
            <w:tcW w:type="dxa" w:w="4513"/>
            <w:shd w:fill="0A2F3D" w:val="clear"/>
            <w:tcMar>
              <w:top w:type="dxa" w:w="60"/>
              <w:left w:type="dxa" w:w="110"/>
              <w:bottom w:type="dxa" w:w="60"/>
              <w:right w:type="dxa" w:w="110"/>
            </w:tcMar>
          </w:tcPr>
          <w:p>
            <w:pPr>
              <w:spacing w:after="40" w:before="40" w:line="240"/>
              <w:jc w:val="center"/>
            </w:pPr>
            <w:r>
              <w:rPr>
                <w:b/>
                <w:bCs/>
                <w:i w:val="false"/>
                <w:iCs w:val="false"/>
                <w:color w:val="FFFFFF"/>
                <w:sz w:val="22"/>
                <w:szCs w:val="22"/>
              </w:rPr>
              <w:t xml:space="preserve">MENACES</w:t>
            </w:r>
          </w:p>
        </w:tc>
      </w:tr>
      <w:tr>
        <w:tc>
          <w:tcPr>
            <w:tcW w:type="dxa" w:w="4513"/>
            <w:tcMar>
              <w:top w:type="dxa" w:w="80"/>
              <w:left w:type="dxa" w:w="130"/>
              <w:bottom w:type="dxa" w:w="80"/>
              <w:right w:type="dxa" w:w="130"/>
            </w:tcMar>
          </w:tcPr>
          <w:p>
            <w:pPr>
              <w:spacing w:after="40" w:before="40" w:line="240"/>
            </w:pPr>
            <w:r>
              <w:rPr>
                <w:b w:val="false"/>
                <w:bCs w:val="false"/>
                <w:i w:val="false"/>
                <w:iCs w:val="false"/>
                <w:sz w:val="19"/>
                <w:szCs w:val="19"/>
              </w:rPr>
              <w:t xml:space="preserve">Pleine saison estivale : pic annuel de pratique et de recherches Google.</w:t>
            </w:r>
          </w:p>
          <w:p>
            <w:pPr>
              <w:spacing w:after="40" w:before="40" w:line="240"/>
            </w:pPr>
            <w:r>
              <w:rPr>
                <w:b w:val="false"/>
                <w:bCs w:val="false"/>
                <w:i w:val="false"/>
                <w:iCs w:val="false"/>
                <w:sz w:val="19"/>
                <w:szCs w:val="19"/>
              </w:rPr>
              <w:t xml:space="preserve">Codes fondateurs prêts (S68) : amorçage à coût nul, activable immédiatement.</w:t>
            </w:r>
          </w:p>
          <w:p>
            <w:pPr>
              <w:spacing w:after="40" w:before="40" w:line="240"/>
            </w:pPr>
            <w:r>
              <w:rPr>
                <w:b w:val="false"/>
                <w:bCs w:val="false"/>
                <w:i w:val="false"/>
                <w:iCs w:val="false"/>
                <w:sz w:val="19"/>
                <w:szCs w:val="19"/>
              </w:rPr>
              <w:t xml:space="preserve">Durcissement réglementaire : le moteur de réglementation devient un aimant SEO et un argument de confiance.</w:t>
            </w:r>
          </w:p>
          <w:p>
            <w:pPr>
              <w:spacing w:after="40" w:before="40" w:line="240"/>
            </w:pPr>
            <w:r>
              <w:rPr>
                <w:b w:val="false"/>
                <w:bCs w:val="false"/>
                <w:i w:val="false"/>
                <w:iCs w:val="false"/>
                <w:sz w:val="19"/>
                <w:szCs w:val="19"/>
              </w:rPr>
              <w:t xml:space="preserve">Créneau « alertes par port » vide chez tous les concurrents (S72).</w:t>
            </w:r>
          </w:p>
          <w:p>
            <w:pPr>
              <w:spacing w:after="40" w:before="40" w:line="240"/>
            </w:pPr>
            <w:r>
              <w:rPr>
                <w:b w:val="false"/>
                <w:bCs w:val="false"/>
                <w:i w:val="false"/>
                <w:iCs w:val="false"/>
                <w:sz w:val="19"/>
                <w:szCs w:val="19"/>
              </w:rPr>
              <w:t xml:space="preserve">Affiliation matériel (marché de 462 M€) et B2B fédérations en revenus secondaires post-traction.</w:t>
            </w:r>
          </w:p>
          <w:p>
            <w:pPr>
              <w:spacing w:after="40" w:before="40" w:line="240"/>
            </w:pPr>
            <w:r>
              <w:rPr>
                <w:b w:val="false"/>
                <w:bCs w:val="false"/>
                <w:i w:val="false"/>
                <w:iCs w:val="false"/>
                <w:sz w:val="19"/>
                <w:szCs w:val="19"/>
              </w:rPr>
              <w:t xml:space="preserve">Skill vidéo interne : cadence TikTok/Reels à coût marginal nul.</w:t>
            </w:r>
          </w:p>
        </w:tc>
        <w:tc>
          <w:tcPr>
            <w:tcW w:type="dxa" w:w="4513"/>
            <w:tcMar>
              <w:top w:type="dxa" w:w="80"/>
              <w:left w:type="dxa" w:w="130"/>
              <w:bottom w:type="dxa" w:w="80"/>
              <w:right w:type="dxa" w:w="130"/>
            </w:tcMar>
          </w:tcPr>
          <w:p>
            <w:pPr>
              <w:spacing w:after="40" w:before="40" w:line="240"/>
            </w:pPr>
            <w:r>
              <w:rPr>
                <w:b w:val="false"/>
                <w:bCs w:val="false"/>
                <w:i w:val="false"/>
                <w:iCs w:val="false"/>
                <w:sz w:val="19"/>
                <w:szCs w:val="19"/>
              </w:rPr>
              <w:t xml:space="preserve">FishFriender adoubé par l'Ifremer (carnet officiel 2025-2027) : caution scientifique difficile à contrer.</w:t>
            </w:r>
          </w:p>
          <w:p>
            <w:pPr>
              <w:spacing w:after="40" w:before="40" w:line="240"/>
            </w:pPr>
            <w:r>
              <w:rPr>
                <w:b w:val="false"/>
                <w:bCs w:val="false"/>
                <w:i w:val="false"/>
                <w:iCs w:val="false"/>
                <w:sz w:val="19"/>
                <w:szCs w:val="19"/>
              </w:rPr>
              <w:t xml:space="preserve">Fishing Grid : gratuit, natif, vélocité élevée ; ancre les attentes de gratuité.</w:t>
            </w:r>
          </w:p>
          <w:p>
            <w:pPr>
              <w:spacing w:after="40" w:before="40" w:line="240"/>
            </w:pPr>
            <w:r>
              <w:rPr>
                <w:b w:val="false"/>
                <w:bCs w:val="false"/>
                <w:i w:val="false"/>
                <w:iCs w:val="false"/>
                <w:sz w:val="19"/>
                <w:szCs w:val="19"/>
              </w:rPr>
              <w:t xml:space="preserve">Fishbrain pourrait localiser la France (long terme).</w:t>
            </w:r>
          </w:p>
          <w:p>
            <w:pPr>
              <w:spacing w:after="40" w:before="40" w:line="240"/>
            </w:pPr>
            <w:r>
              <w:rPr>
                <w:b w:val="false"/>
                <w:bCs w:val="false"/>
                <w:i w:val="false"/>
                <w:iCs w:val="false"/>
                <w:sz w:val="19"/>
                <w:szCs w:val="19"/>
              </w:rPr>
              <w:t xml:space="preserve">Dépendance à des sources de données gratuites (Open-Meteo, MapTiler free tier).</w:t>
            </w:r>
          </w:p>
          <w:p>
            <w:pPr>
              <w:spacing w:after="40" w:before="40" w:line="240"/>
            </w:pPr>
            <w:r>
              <w:rPr>
                <w:b w:val="false"/>
                <w:bCs w:val="false"/>
                <w:i w:val="false"/>
                <w:iCs w:val="false"/>
                <w:sz w:val="19"/>
                <w:szCs w:val="19"/>
              </w:rPr>
              <w:t xml:space="preserve">Saisonnalité forte : churn hivernal attendu sur les mensuels.</w:t>
            </w:r>
          </w:p>
          <w:p>
            <w:pPr>
              <w:spacing w:after="40" w:before="40" w:line="240"/>
            </w:pPr>
            <w:r>
              <w:rPr>
                <w:b w:val="false"/>
                <w:bCs w:val="false"/>
                <w:i w:val="false"/>
                <w:iCs w:val="false"/>
                <w:sz w:val="19"/>
                <w:szCs w:val="19"/>
              </w:rPr>
              <w:t xml:space="preserve">Réplicabilité des features de surface par un entrant outillé IA.</w:t>
            </w:r>
          </w:p>
        </w:tc>
      </w:tr>
    </w:tbl>
    <w:p>
      <w:r>
        <w:br w:type="page"/>
      </w:r>
    </w:p>
    <w:p>
      <w:pPr>
        <w:pStyle w:val="Heading1"/>
        <w:spacing w:after="160" w:before="320"/>
      </w:pPr>
      <w:r>
        <w:t xml:space="preserve">5. Matrice BCG et allocation des investissements</w:t>
      </w:r>
    </w:p>
    <w:p>
      <w:pPr>
        <w:spacing w:after="140" w:before="0" w:line="276"/>
      </w:pPr>
      <w:r>
        <w:rPr>
          <w:b/>
          <w:bCs/>
          <w:i w:val="false"/>
          <w:iCs w:val="false"/>
        </w:rPr>
        <w:t xml:space="preserve">Note de méthode : </w:t>
      </w:r>
      <w:r>
        <w:rPr>
          <w:b w:val="false"/>
          <w:bCs w:val="false"/>
          <w:i w:val="false"/>
          <w:iCs w:val="false"/>
        </w:rPr>
        <w:t xml:space="preserve">la BCG classique s'applique à un portefeuille d'activités. Carnet de Pêche étant un produit unique, on l'applique ici au portefeuille de modules, avec deux axes adaptés : l'attractivité/croissance du segment de besoin (axe vertical) et la position concurrentielle relative du module face aux alternatives du marché (axe horizontal). La taille des bulles reflète l'investissement cumulé (proxy : sprints livrés).</w:t>
      </w:r>
    </w:p>
    <w:p>
      <w:pPr>
        <w:spacing w:after="160" w:before="120"/>
        <w:jc w:val="center"/>
      </w:pPr>
      <w:r>
        <w:drawing>
          <wp:inline distT="0" distB="0" distL="0" distR="0">
            <wp:extent cx="5905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257675"/>
                    </a:xfrm>
                    <a:prstGeom prst="rect">
                      <a:avLst/>
                    </a:prstGeom>
                  </pic:spPr>
                </pic:pic>
              </a:graphicData>
            </a:graphic>
          </wp:inline>
        </w:drawing>
      </w:r>
    </w:p>
    <w:p>
      <w:pPr>
        <w:spacing w:after="200" w:before="0" w:line="276"/>
        <w:jc w:val="center"/>
      </w:pPr>
      <w:r>
        <w:rPr>
          <w:b w:val="false"/>
          <w:bCs w:val="false"/>
          <w:i/>
          <w:iCs/>
          <w:color w:val="5E6E77"/>
          <w:sz w:val="18"/>
          <w:szCs w:val="18"/>
        </w:rPr>
        <w:t xml:space="preserve">Figure 1 : matrice BCG du portefeuille de modules, juillet 2026.</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715"/>
        <w:gridCol w:w="1534"/>
        <w:gridCol w:w="2888"/>
        <w:gridCol w:w="2888"/>
      </w:tblGrid>
      <w:tr>
        <w:trPr>
          <w:tblHeader/>
        </w:trPr>
        <w:tc>
          <w:tcPr>
            <w:tcW w:type="dxa" w:w="171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Module</w:t>
            </w:r>
          </w:p>
        </w:tc>
        <w:tc>
          <w:tcPr>
            <w:tcW w:type="dxa" w:w="153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Quadrant</w:t>
            </w:r>
          </w:p>
        </w:tc>
        <w:tc>
          <w:tcPr>
            <w:tcW w:type="dxa" w:w="2888"/>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Lecture</w:t>
            </w:r>
          </w:p>
        </w:tc>
        <w:tc>
          <w:tcPr>
            <w:tcW w:type="dxa" w:w="2888"/>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Décision d'allocation</w:t>
            </w:r>
          </w:p>
        </w:tc>
      </w:tr>
      <w:tr>
        <w:tc>
          <w:tcPr>
            <w:tcW w:type="dxa" w:w="1715"/>
            <w:tcMar>
              <w:top w:type="dxa" w:w="60"/>
              <w:left w:type="dxa" w:w="110"/>
              <w:bottom w:type="dxa" w:w="60"/>
              <w:right w:type="dxa" w:w="110"/>
            </w:tcMar>
            <w:vAlign w:val="center"/>
          </w:tcPr>
          <w:p>
            <w:pPr>
              <w:spacing w:after="40" w:before="40" w:line="240"/>
            </w:pPr>
            <w:r>
              <w:rPr>
                <w:b/>
                <w:bCs/>
                <w:sz w:val="19"/>
                <w:szCs w:val="19"/>
              </w:rPr>
              <w:t xml:space="preserve">Carnet + scoring perso</w:t>
            </w:r>
          </w:p>
        </w:tc>
        <w:tc>
          <w:tcPr>
            <w:tcW w:type="dxa" w:w="1534"/>
            <w:tcMar>
              <w:top w:type="dxa" w:w="60"/>
              <w:left w:type="dxa" w:w="110"/>
              <w:bottom w:type="dxa" w:w="60"/>
              <w:right w:type="dxa" w:w="110"/>
            </w:tcMar>
            <w:vAlign w:val="center"/>
          </w:tcPr>
          <w:p>
            <w:pPr>
              <w:spacing w:after="40" w:before="40" w:line="240"/>
            </w:pPr>
            <w:r>
              <w:rPr>
                <w:b/>
                <w:bCs/>
                <w:color w:val="0E9888"/>
                <w:sz w:val="19"/>
                <w:szCs w:val="19"/>
              </w:rPr>
              <w:t xml:space="preserve">Étoile</w:t>
            </w:r>
          </w:p>
        </w:tc>
        <w:tc>
          <w:tcPr>
            <w:tcW w:type="dxa" w:w="2888"/>
            <w:tcMar>
              <w:top w:type="dxa" w:w="60"/>
              <w:left w:type="dxa" w:w="110"/>
              <w:bottom w:type="dxa" w:w="60"/>
              <w:right w:type="dxa" w:w="110"/>
            </w:tcMar>
            <w:vAlign w:val="center"/>
          </w:tcPr>
          <w:p>
            <w:pPr>
              <w:spacing w:after="40" w:before="40" w:line="240"/>
            </w:pPr>
            <w:r>
              <w:rPr>
                <w:b w:val="false"/>
                <w:bCs w:val="false"/>
                <w:sz w:val="19"/>
                <w:szCs w:val="19"/>
              </w:rPr>
              <w:t xml:space="preserve">Différenciation unique du marché, besoin en forte croissance (personnalisation), mais valeur invisible sans données.</w:t>
            </w:r>
          </w:p>
        </w:tc>
        <w:tc>
          <w:tcPr>
            <w:tcW w:type="dxa" w:w="2888"/>
            <w:tcMar>
              <w:top w:type="dxa" w:w="60"/>
              <w:left w:type="dxa" w:w="110"/>
              <w:bottom w:type="dxa" w:w="60"/>
              <w:right w:type="dxa" w:w="110"/>
            </w:tcMar>
            <w:vAlign w:val="center"/>
          </w:tcPr>
          <w:p>
            <w:pPr>
              <w:spacing w:after="40" w:before="40" w:line="240"/>
            </w:pPr>
            <w:r>
              <w:rPr>
                <w:b w:val="false"/>
                <w:bCs w:val="false"/>
                <w:sz w:val="19"/>
                <w:szCs w:val="19"/>
              </w:rPr>
              <w:t xml:space="preserve">Investir en priorité absolue, non pas en code mais en DONNÉES : tout l'amorçage (fondateurs, défis, contenu) sert ce module.</w:t>
            </w:r>
          </w:p>
        </w:tc>
      </w:tr>
      <w:tr>
        <w:tc>
          <w:tcPr>
            <w:tcW w:type="dxa" w:w="1715"/>
            <w:shd w:fill="F6F1E6" w:val="clear"/>
            <w:tcMar>
              <w:top w:type="dxa" w:w="60"/>
              <w:left w:type="dxa" w:w="110"/>
              <w:bottom w:type="dxa" w:w="60"/>
              <w:right w:type="dxa" w:w="110"/>
            </w:tcMar>
            <w:vAlign w:val="center"/>
          </w:tcPr>
          <w:p>
            <w:pPr>
              <w:spacing w:after="40" w:before="40" w:line="240"/>
            </w:pPr>
            <w:r>
              <w:rPr>
                <w:b/>
                <w:bCs/>
                <w:sz w:val="19"/>
                <w:szCs w:val="19"/>
              </w:rPr>
              <w:t xml:space="preserve">Carte spots + données env. + abonnements</w:t>
            </w:r>
          </w:p>
        </w:tc>
        <w:tc>
          <w:tcPr>
            <w:tcW w:type="dxa" w:w="1534"/>
            <w:shd w:fill="F6F1E6" w:val="clear"/>
            <w:tcMar>
              <w:top w:type="dxa" w:w="60"/>
              <w:left w:type="dxa" w:w="110"/>
              <w:bottom w:type="dxa" w:w="60"/>
              <w:right w:type="dxa" w:w="110"/>
            </w:tcMar>
            <w:vAlign w:val="center"/>
          </w:tcPr>
          <w:p>
            <w:pPr>
              <w:spacing w:after="40" w:before="40" w:line="240"/>
            </w:pPr>
            <w:r>
              <w:rPr>
                <w:b/>
                <w:bCs/>
                <w:color w:val="0A2F3D"/>
                <w:sz w:val="19"/>
                <w:szCs w:val="19"/>
              </w:rPr>
              <w:t xml:space="preserve">Vache à lait</w:t>
            </w:r>
          </w:p>
        </w:tc>
        <w:tc>
          <w:tcPr>
            <w:tcW w:type="dxa" w:w="288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Table stakes du marché, position forte (215 spots curés, précision marées). C'est ce que les gens paient.</w:t>
            </w:r>
          </w:p>
        </w:tc>
        <w:tc>
          <w:tcPr>
            <w:tcW w:type="dxa" w:w="288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Traire sans réinvestir lourd : alertes par port (S72) comme déclencheur de conversion Local, toggle annuel pré-sélectionné. Chantier carte fermé (sain).</w:t>
            </w:r>
          </w:p>
        </w:tc>
      </w:tr>
      <w:tr>
        <w:tc>
          <w:tcPr>
            <w:tcW w:type="dxa" w:w="1715"/>
            <w:tcMar>
              <w:top w:type="dxa" w:w="60"/>
              <w:left w:type="dxa" w:w="110"/>
              <w:bottom w:type="dxa" w:w="60"/>
              <w:right w:type="dxa" w:w="110"/>
            </w:tcMar>
            <w:vAlign w:val="center"/>
          </w:tcPr>
          <w:p>
            <w:pPr>
              <w:spacing w:after="40" w:before="40" w:line="240"/>
            </w:pPr>
            <w:r>
              <w:rPr>
                <w:b/>
                <w:bCs/>
                <w:sz w:val="19"/>
                <w:szCs w:val="19"/>
              </w:rPr>
              <w:t xml:space="preserve">Contenu SEO (espèces, guides, pages spots)</w:t>
            </w:r>
          </w:p>
        </w:tc>
        <w:tc>
          <w:tcPr>
            <w:tcW w:type="dxa" w:w="1534"/>
            <w:tcMar>
              <w:top w:type="dxa" w:w="60"/>
              <w:left w:type="dxa" w:w="110"/>
              <w:bottom w:type="dxa" w:w="60"/>
              <w:right w:type="dxa" w:w="110"/>
            </w:tcMar>
            <w:vAlign w:val="center"/>
          </w:tcPr>
          <w:p>
            <w:pPr>
              <w:spacing w:after="40" w:before="40" w:line="240"/>
            </w:pPr>
            <w:r>
              <w:rPr>
                <w:b/>
                <w:bCs/>
                <w:color w:val="0A2F3D"/>
                <w:sz w:val="19"/>
                <w:szCs w:val="19"/>
              </w:rPr>
              <w:t xml:space="preserve">Vache à lait d'acquisition</w:t>
            </w:r>
          </w:p>
        </w:tc>
        <w:tc>
          <w:tcPr>
            <w:tcW w:type="dxa" w:w="2888"/>
            <w:tcMar>
              <w:top w:type="dxa" w:w="60"/>
              <w:left w:type="dxa" w:w="110"/>
              <w:bottom w:type="dxa" w:w="60"/>
              <w:right w:type="dxa" w:w="110"/>
            </w:tcMar>
            <w:vAlign w:val="center"/>
          </w:tcPr>
          <w:p>
            <w:pPr>
              <w:spacing w:after="40" w:before="40" w:line="240"/>
            </w:pPr>
            <w:r>
              <w:rPr>
                <w:b w:val="false"/>
                <w:bCs w:val="false"/>
                <w:sz w:val="19"/>
                <w:szCs w:val="19"/>
              </w:rPr>
              <w:t xml:space="preserve">Actif qui capitalise dans le temps à coût marginal quasi nul ; profondeur supérieure aux 266 fiches creuses de Fishing Grid.</w:t>
            </w:r>
          </w:p>
        </w:tc>
        <w:tc>
          <w:tcPr>
            <w:tcW w:type="dxa" w:w="2888"/>
            <w:tcMar>
              <w:top w:type="dxa" w:w="60"/>
              <w:left w:type="dxa" w:w="110"/>
              <w:bottom w:type="dxa" w:w="60"/>
              <w:right w:type="dxa" w:w="110"/>
            </w:tcMar>
            <w:vAlign w:val="center"/>
          </w:tcPr>
          <w:p>
            <w:pPr>
              <w:spacing w:after="40" w:before="40" w:line="240"/>
            </w:pPr>
            <w:r>
              <w:rPr>
                <w:b w:val="false"/>
                <w:bCs w:val="false"/>
                <w:sz w:val="19"/>
                <w:szCs w:val="19"/>
              </w:rPr>
              <w:t xml:space="preserve">Cadence régulière (2 guides/mois), viser la profondeur sur nos 26 espèces plutôt que le volume.</w:t>
            </w:r>
          </w:p>
        </w:tc>
      </w:tr>
      <w:tr>
        <w:tc>
          <w:tcPr>
            <w:tcW w:type="dxa" w:w="1715"/>
            <w:shd w:fill="F6F1E6" w:val="clear"/>
            <w:tcMar>
              <w:top w:type="dxa" w:w="60"/>
              <w:left w:type="dxa" w:w="110"/>
              <w:bottom w:type="dxa" w:w="60"/>
              <w:right w:type="dxa" w:w="110"/>
            </w:tcMar>
            <w:vAlign w:val="center"/>
          </w:tcPr>
          <w:p>
            <w:pPr>
              <w:spacing w:after="40" w:before="40" w:line="240"/>
            </w:pPr>
            <w:r>
              <w:rPr>
                <w:b/>
                <w:bCs/>
                <w:sz w:val="19"/>
                <w:szCs w:val="19"/>
              </w:rPr>
              <w:t xml:space="preserve">Fil social + gamification (pivot dopamine)</w:t>
            </w:r>
          </w:p>
        </w:tc>
        <w:tc>
          <w:tcPr>
            <w:tcW w:type="dxa" w:w="1534"/>
            <w:shd w:fill="F6F1E6" w:val="clear"/>
            <w:tcMar>
              <w:top w:type="dxa" w:w="60"/>
              <w:left w:type="dxa" w:w="110"/>
              <w:bottom w:type="dxa" w:w="60"/>
              <w:right w:type="dxa" w:w="110"/>
            </w:tcMar>
            <w:vAlign w:val="center"/>
          </w:tcPr>
          <w:p>
            <w:pPr>
              <w:spacing w:after="40" w:before="40" w:line="240"/>
            </w:pPr>
            <w:r>
              <w:rPr>
                <w:b/>
                <w:bCs/>
                <w:color w:val="B8842A"/>
                <w:sz w:val="19"/>
                <w:szCs w:val="19"/>
              </w:rPr>
              <w:t xml:space="preserve">Dilemme</w:t>
            </w:r>
          </w:p>
        </w:tc>
        <w:tc>
          <w:tcPr>
            <w:tcW w:type="dxa" w:w="288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Segment très attractif (rétention, viralité) mais position faible : réseau vide face aux 209 groupes de Fishing Grid.</w:t>
            </w:r>
          </w:p>
        </w:tc>
        <w:tc>
          <w:tcPr>
            <w:tcW w:type="dxa" w:w="288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Gel des features : ne plus rien ajouter tant que &lt; 20 actifs. L'amorçage tranchera le dilemme dans un sens ou l'autre.</w:t>
            </w:r>
          </w:p>
        </w:tc>
      </w:tr>
      <w:tr>
        <w:tc>
          <w:tcPr>
            <w:tcW w:type="dxa" w:w="1715"/>
            <w:tcMar>
              <w:top w:type="dxa" w:w="60"/>
              <w:left w:type="dxa" w:w="110"/>
              <w:bottom w:type="dxa" w:w="60"/>
              <w:right w:type="dxa" w:w="110"/>
            </w:tcMar>
            <w:vAlign w:val="center"/>
          </w:tcPr>
          <w:p>
            <w:pPr>
              <w:spacing w:after="40" w:before="40" w:line="240"/>
            </w:pPr>
            <w:r>
              <w:rPr>
                <w:b/>
                <w:bCs/>
                <w:sz w:val="19"/>
                <w:szCs w:val="19"/>
              </w:rPr>
              <w:t xml:space="preserve">App mobile native</w:t>
            </w:r>
          </w:p>
        </w:tc>
        <w:tc>
          <w:tcPr>
            <w:tcW w:type="dxa" w:w="1534"/>
            <w:tcMar>
              <w:top w:type="dxa" w:w="60"/>
              <w:left w:type="dxa" w:w="110"/>
              <w:bottom w:type="dxa" w:w="60"/>
              <w:right w:type="dxa" w:w="110"/>
            </w:tcMar>
            <w:vAlign w:val="center"/>
          </w:tcPr>
          <w:p>
            <w:pPr>
              <w:spacing w:after="40" w:before="40" w:line="240"/>
            </w:pPr>
            <w:r>
              <w:rPr>
                <w:b/>
                <w:bCs/>
                <w:color w:val="B8842A"/>
                <w:sz w:val="19"/>
                <w:szCs w:val="19"/>
              </w:rPr>
              <w:t xml:space="preserve">Dilemme</w:t>
            </w:r>
          </w:p>
        </w:tc>
        <w:tc>
          <w:tcPr>
            <w:tcW w:type="dxa" w:w="2888"/>
            <w:tcMar>
              <w:top w:type="dxa" w:w="60"/>
              <w:left w:type="dxa" w:w="110"/>
              <w:bottom w:type="dxa" w:w="60"/>
              <w:right w:type="dxa" w:w="110"/>
            </w:tcMar>
            <w:vAlign w:val="center"/>
          </w:tcPr>
          <w:p>
            <w:pPr>
              <w:spacing w:after="40" w:before="40" w:line="240"/>
            </w:pPr>
            <w:r>
              <w:rPr>
                <w:b w:val="false"/>
                <w:bCs w:val="false"/>
                <w:sz w:val="19"/>
                <w:szCs w:val="19"/>
              </w:rPr>
              <w:t xml:space="preserve">Indispensable à terme (usage terrain), gros investissement, zéro position aujourd'hui.</w:t>
            </w:r>
          </w:p>
        </w:tc>
        <w:tc>
          <w:tcPr>
            <w:tcW w:type="dxa" w:w="2888"/>
            <w:tcMar>
              <w:top w:type="dxa" w:w="60"/>
              <w:left w:type="dxa" w:w="110"/>
              <w:bottom w:type="dxa" w:w="60"/>
              <w:right w:type="dxa" w:w="110"/>
            </w:tcMar>
            <w:vAlign w:val="center"/>
          </w:tcPr>
          <w:p>
            <w:pPr>
              <w:spacing w:after="40" w:before="40" w:line="240"/>
            </w:pPr>
            <w:r>
              <w:rPr>
                <w:b w:val="false"/>
                <w:bCs w:val="false"/>
                <w:sz w:val="19"/>
                <w:szCs w:val="19"/>
              </w:rPr>
              <w:t xml:space="preserve">Tenir le gate S74 sans exception : ≥ 20 fondateurs actifs + alertes S72 en prod + funnel mesuré. Ne pas céder à la tentation.</w:t>
            </w:r>
          </w:p>
        </w:tc>
      </w:tr>
      <w:tr>
        <w:tc>
          <w:tcPr>
            <w:tcW w:type="dxa" w:w="1715"/>
            <w:shd w:fill="F6F1E6" w:val="clear"/>
            <w:tcMar>
              <w:top w:type="dxa" w:w="60"/>
              <w:left w:type="dxa" w:w="110"/>
              <w:bottom w:type="dxa" w:w="60"/>
              <w:right w:type="dxa" w:w="110"/>
            </w:tcMar>
            <w:vAlign w:val="center"/>
          </w:tcPr>
          <w:p>
            <w:pPr>
              <w:spacing w:after="40" w:before="40" w:line="240"/>
            </w:pPr>
            <w:r>
              <w:rPr>
                <w:b/>
                <w:bCs/>
                <w:sz w:val="19"/>
                <w:szCs w:val="19"/>
              </w:rPr>
              <w:t xml:space="preserve">Co-pêchage /sorties v1</w:t>
            </w:r>
          </w:p>
        </w:tc>
        <w:tc>
          <w:tcPr>
            <w:tcW w:type="dxa" w:w="1534"/>
            <w:shd w:fill="F6F1E6" w:val="clear"/>
            <w:tcMar>
              <w:top w:type="dxa" w:w="60"/>
              <w:left w:type="dxa" w:w="110"/>
              <w:bottom w:type="dxa" w:w="60"/>
              <w:right w:type="dxa" w:w="110"/>
            </w:tcMar>
            <w:vAlign w:val="center"/>
          </w:tcPr>
          <w:p>
            <w:pPr>
              <w:spacing w:after="40" w:before="40" w:line="240"/>
            </w:pPr>
            <w:r>
              <w:rPr>
                <w:b/>
                <w:bCs/>
                <w:color w:val="C94A3B"/>
                <w:sz w:val="19"/>
                <w:szCs w:val="19"/>
              </w:rPr>
              <w:t xml:space="preserve">Poids mort</w:t>
            </w:r>
          </w:p>
        </w:tc>
        <w:tc>
          <w:tcPr>
            <w:tcW w:type="dxa" w:w="288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0 usage constaté. Fonctionnalité livrée trop tôt pour un réseau vide.</w:t>
            </w:r>
          </w:p>
        </w:tc>
        <w:tc>
          <w:tcPr>
            <w:tcW w:type="dxa" w:w="288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Une relance unique via S73 (sorties groupées) une fois la densité sociale minimale atteinte ; si échec, geler sans état d'âme.</w:t>
            </w:r>
          </w:p>
        </w:tc>
      </w:tr>
    </w:tbl>
    <w:p>
      <w:pPr>
        <w:spacing w:after="140" w:before="120" w:line="276"/>
      </w:pPr>
      <w:r>
        <w:rPr>
          <w:b/>
          <w:bCs/>
          <w:i w:val="false"/>
          <w:iCs w:val="false"/>
        </w:rPr>
        <w:t xml:space="preserve">Règle d'allocation qui découle de la matrice : </w:t>
      </w:r>
      <w:r>
        <w:rPr>
          <w:b w:val="false"/>
          <w:bCs w:val="false"/>
          <w:i w:val="false"/>
          <w:iCs w:val="false"/>
        </w:rPr>
        <w:t xml:space="preserve">chaque heure disponible va d'abord à remplir l'étoile (données utilisateurs), ensuite à monétiser la vache (S72), et à rien d'autre. Les dilemmes attendent des données, pas des features.</w:t>
      </w:r>
    </w:p>
    <w:p>
      <w:r>
        <w:br w:type="page"/>
      </w:r>
    </w:p>
    <w:p>
      <w:pPr>
        <w:pStyle w:val="Heading1"/>
        <w:spacing w:after="160" w:before="320"/>
      </w:pPr>
      <w:r>
        <w:t xml:space="preserve">6. Analyse marketing</w:t>
      </w:r>
    </w:p>
    <w:p>
      <w:pPr>
        <w:pStyle w:val="Heading2"/>
        <w:spacing w:after="120" w:before="260"/>
      </w:pPr>
      <w:r>
        <w:t xml:space="preserve">6.1 Segmentation, ciblage, positionnement (STP)</w:t>
      </w:r>
    </w:p>
    <w:p>
      <w:pPr>
        <w:spacing w:after="140" w:before="0" w:line="276"/>
      </w:pPr>
      <w:r>
        <w:rPr>
          <w:b/>
          <w:bCs/>
          <w:i w:val="false"/>
          <w:iCs w:val="false"/>
        </w:rPr>
        <w:t xml:space="preserve">Ciblage prioritaire : Marc (le régulier). </w:t>
      </w:r>
      <w:r>
        <w:rPr>
          <w:b w:val="false"/>
          <w:bCs w:val="false"/>
          <w:i w:val="false"/>
          <w:iCs w:val="false"/>
        </w:rPr>
        <w:t xml:space="preserve">C'est lui qui a le problème le plus douloureux (optimiser ses sessions sur SON secteur), le meilleur ARPU potentiel (Local à l'année) et le churn le plus faible. Théo est le moteur de contenu et de viralité (il poste, il partage, il classe) mais paiera peu et tard. Laurent est du volume SEO saisonnier à faible coût. On construit le produit pour Marc, le contenu pour Théo et Laurent.</w:t>
      </w:r>
    </w:p>
    <w:p>
      <w:pPr>
        <w:spacing w:after="140" w:before="0" w:line="276"/>
      </w:pPr>
      <w:r>
        <w:rPr>
          <w:b/>
          <w:bCs/>
          <w:i w:val="false"/>
          <w:iCs w:val="false"/>
        </w:rPr>
        <w:t xml:space="preserve">Positionnement : </w:t>
      </w:r>
      <w:r>
        <w:rPr>
          <w:b w:val="false"/>
          <w:bCs w:val="false"/>
          <w:i w:val="false"/>
          <w:iCs w:val="false"/>
        </w:rPr>
        <w:t xml:space="preserve">« le carnet qui apprend de TES prises ». Catégorie revendiquée : instrument de progression personnelle du pêcheur du bord, PAS un annuaire de spots de plus. Tout le marketing doit marteler la différence entre données génériques (identiques pour tous, ce que font tous les concurrents) et lecture personnalisée (unique à chacun, ce que nous seuls faisons).</w:t>
      </w:r>
    </w:p>
    <w:p>
      <w:pPr>
        <w:pStyle w:val="Heading2"/>
        <w:spacing w:after="120" w:before="260"/>
      </w:pPr>
      <w:r>
        <w:t xml:space="preserve">6.2 Mix marketing (4P)</w:t>
      </w:r>
    </w:p>
    <w:p>
      <w:pPr>
        <w:pStyle w:val="Heading3"/>
        <w:spacing w:after="100" w:before="200"/>
      </w:pPr>
      <w:r>
        <w:t xml:space="preserve">Produit : priorités d'amélioration orientées croissance</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903"/>
        <w:gridCol w:w="4062"/>
        <w:gridCol w:w="4062"/>
      </w:tblGrid>
      <w:tr>
        <w:trPr>
          <w:tblHeader/>
        </w:trPr>
        <w:tc>
          <w:tcPr>
            <w:tcW w:type="dxa" w:w="903"/>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Prio</w:t>
            </w:r>
          </w:p>
        </w:tc>
        <w:tc>
          <w:tcPr>
            <w:tcW w:type="dxa" w:w="4062"/>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Amélioration</w:t>
            </w:r>
          </w:p>
        </w:tc>
        <w:tc>
          <w:tcPr>
            <w:tcW w:type="dxa" w:w="4062"/>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Pourquoi</w:t>
            </w:r>
          </w:p>
        </w:tc>
      </w:tr>
      <w:tr>
        <w:tc>
          <w:tcPr>
            <w:tcW w:type="dxa" w:w="903"/>
            <w:tcMar>
              <w:top w:type="dxa" w:w="60"/>
              <w:left w:type="dxa" w:w="110"/>
              <w:bottom w:type="dxa" w:w="60"/>
              <w:right w:type="dxa" w:w="110"/>
            </w:tcMar>
            <w:vAlign w:val="center"/>
          </w:tcPr>
          <w:p>
            <w:pPr>
              <w:spacing w:after="40" w:before="40" w:line="240"/>
            </w:pPr>
            <w:r>
              <w:rPr>
                <w:b/>
                <w:bCs/>
                <w:color w:val="C94A3B"/>
                <w:sz w:val="19"/>
                <w:szCs w:val="19"/>
              </w:rPr>
              <w:t xml:space="preserve">P0</w:t>
            </w:r>
          </w:p>
        </w:tc>
        <w:tc>
          <w:tcPr>
            <w:tcW w:type="dxa" w:w="4062"/>
            <w:tcMar>
              <w:top w:type="dxa" w:w="60"/>
              <w:left w:type="dxa" w:w="110"/>
              <w:bottom w:type="dxa" w:w="60"/>
              <w:right w:type="dxa" w:w="110"/>
            </w:tcMar>
            <w:vAlign w:val="center"/>
          </w:tcPr>
          <w:p>
            <w:pPr>
              <w:spacing w:after="40" w:before="40" w:line="240"/>
            </w:pPr>
            <w:r>
              <w:rPr>
                <w:b w:val="false"/>
                <w:bCs w:val="false"/>
                <w:sz w:val="19"/>
                <w:szCs w:val="19"/>
              </w:rPr>
              <w:t xml:space="preserve">Valeur à froid dès l'onboarding : afficher immédiatement la fenêtre du jour, la marée et la météo du port choisi, AVANT toute prise loguée.</w:t>
            </w:r>
          </w:p>
        </w:tc>
        <w:tc>
          <w:tcPr>
            <w:tcW w:type="dxa" w:w="4062"/>
            <w:tcMar>
              <w:top w:type="dxa" w:w="60"/>
              <w:left w:type="dxa" w:w="110"/>
              <w:bottom w:type="dxa" w:w="60"/>
              <w:right w:type="dxa" w:w="110"/>
            </w:tcMar>
            <w:vAlign w:val="center"/>
          </w:tcPr>
          <w:p>
            <w:pPr>
              <w:spacing w:after="40" w:before="40" w:line="240"/>
            </w:pPr>
            <w:r>
              <w:rPr>
                <w:b w:val="false"/>
                <w:bCs w:val="false"/>
                <w:sz w:val="19"/>
                <w:szCs w:val="19"/>
              </w:rPr>
              <w:t xml:space="preserve">Le scoring perso est muet sans historique : c'est la faiblesse n°1 du funnel d'activation. L'utilisateur doit recevoir de la valeur dans les 60 premières secondes.</w:t>
            </w:r>
          </w:p>
        </w:tc>
      </w:tr>
      <w:tr>
        <w:tc>
          <w:tcPr>
            <w:tcW w:type="dxa" w:w="903"/>
            <w:shd w:fill="F6F1E6" w:val="clear"/>
            <w:tcMar>
              <w:top w:type="dxa" w:w="60"/>
              <w:left w:type="dxa" w:w="110"/>
              <w:bottom w:type="dxa" w:w="60"/>
              <w:right w:type="dxa" w:w="110"/>
            </w:tcMar>
            <w:vAlign w:val="center"/>
          </w:tcPr>
          <w:p>
            <w:pPr>
              <w:spacing w:after="40" w:before="40" w:line="240"/>
            </w:pPr>
            <w:r>
              <w:rPr>
                <w:b/>
                <w:bCs/>
                <w:color w:val="C94A3B"/>
                <w:sz w:val="19"/>
                <w:szCs w:val="19"/>
              </w:rPr>
              <w:t xml:space="preserve">P0</w:t>
            </w:r>
          </w:p>
        </w:tc>
        <w:tc>
          <w:tcPr>
            <w:tcW w:type="dxa" w:w="4062"/>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Instrumentation complète du funnel (signup, activation, trial, conversion) dans PostHog (S70).</w:t>
            </w:r>
          </w:p>
        </w:tc>
        <w:tc>
          <w:tcPr>
            <w:tcW w:type="dxa" w:w="4062"/>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On ne peut améliorer que ce qu'on mesure. Aujourd'hui l'amorçage est piloté à l'aveugle.</w:t>
            </w:r>
          </w:p>
        </w:tc>
      </w:tr>
      <w:tr>
        <w:tc>
          <w:tcPr>
            <w:tcW w:type="dxa" w:w="903"/>
            <w:tcMar>
              <w:top w:type="dxa" w:w="60"/>
              <w:left w:type="dxa" w:w="110"/>
              <w:bottom w:type="dxa" w:w="60"/>
              <w:right w:type="dxa" w:w="110"/>
            </w:tcMar>
            <w:vAlign w:val="center"/>
          </w:tcPr>
          <w:p>
            <w:pPr>
              <w:spacing w:after="40" w:before="40" w:line="240"/>
            </w:pPr>
            <w:r>
              <w:rPr>
                <w:b/>
                <w:bCs/>
                <w:color w:val="B8842A"/>
                <w:sz w:val="19"/>
                <w:szCs w:val="19"/>
              </w:rPr>
              <w:t xml:space="preserve">P1</w:t>
            </w:r>
          </w:p>
        </w:tc>
        <w:tc>
          <w:tcPr>
            <w:tcW w:type="dxa" w:w="4062"/>
            <w:tcMar>
              <w:top w:type="dxa" w:w="60"/>
              <w:left w:type="dxa" w:w="110"/>
              <w:bottom w:type="dxa" w:w="60"/>
              <w:right w:type="dxa" w:w="110"/>
            </w:tcMar>
            <w:vAlign w:val="center"/>
          </w:tcPr>
          <w:p>
            <w:pPr>
              <w:spacing w:after="40" w:before="40" w:line="240"/>
            </w:pPr>
            <w:r>
              <w:rPr>
                <w:b w:val="false"/>
                <w:bCs w:val="false"/>
                <w:sz w:val="19"/>
                <w:szCs w:val="19"/>
              </w:rPr>
              <w:t xml:space="preserve">Alertes par port (S72) : « conditions optimales demain matin à Port-la-Forêt ».</w:t>
            </w:r>
          </w:p>
        </w:tc>
        <w:tc>
          <w:tcPr>
            <w:tcW w:type="dxa" w:w="4062"/>
            <w:tcMar>
              <w:top w:type="dxa" w:w="60"/>
              <w:left w:type="dxa" w:w="110"/>
              <w:bottom w:type="dxa" w:w="60"/>
              <w:right w:type="dxa" w:w="110"/>
            </w:tcMar>
            <w:vAlign w:val="center"/>
          </w:tcPr>
          <w:p>
            <w:pPr>
              <w:spacing w:after="40" w:before="40" w:line="240"/>
            </w:pPr>
            <w:r>
              <w:rPr>
                <w:b w:val="false"/>
                <w:bCs w:val="false"/>
                <w:sz w:val="19"/>
                <w:szCs w:val="19"/>
              </w:rPr>
              <w:t xml:space="preserve">LA feature de conversion du tier Local : elle transforme la donnée en rendez-vous personnel récurrent.</w:t>
            </w:r>
          </w:p>
        </w:tc>
      </w:tr>
      <w:tr>
        <w:tc>
          <w:tcPr>
            <w:tcW w:type="dxa" w:w="903"/>
            <w:shd w:fill="F6F1E6" w:val="clear"/>
            <w:tcMar>
              <w:top w:type="dxa" w:w="60"/>
              <w:left w:type="dxa" w:w="110"/>
              <w:bottom w:type="dxa" w:w="60"/>
              <w:right w:type="dxa" w:w="110"/>
            </w:tcMar>
            <w:vAlign w:val="center"/>
          </w:tcPr>
          <w:p>
            <w:pPr>
              <w:spacing w:after="40" w:before="40" w:line="240"/>
            </w:pPr>
            <w:r>
              <w:rPr>
                <w:b/>
                <w:bCs/>
                <w:color w:val="B8842A"/>
                <w:sz w:val="19"/>
                <w:szCs w:val="19"/>
              </w:rPr>
              <w:t xml:space="preserve">P1</w:t>
            </w:r>
          </w:p>
        </w:tc>
        <w:tc>
          <w:tcPr>
            <w:tcW w:type="dxa" w:w="4062"/>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Partage de prise vers l'extérieur (image OG riche : espèce, taille, conditions, sans GPS).</w:t>
            </w:r>
          </w:p>
        </w:tc>
        <w:tc>
          <w:tcPr>
            <w:tcW w:type="dxa" w:w="4062"/>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Chaque prise partagée sur un groupe FB ou Insta devient une pub gratuite avec preuve sociale intégrée. Boucle virale organique.</w:t>
            </w:r>
          </w:p>
        </w:tc>
      </w:tr>
      <w:tr>
        <w:tc>
          <w:tcPr>
            <w:tcW w:type="dxa" w:w="903"/>
            <w:tcMar>
              <w:top w:type="dxa" w:w="60"/>
              <w:left w:type="dxa" w:w="110"/>
              <w:bottom w:type="dxa" w:w="60"/>
              <w:right w:type="dxa" w:w="110"/>
            </w:tcMar>
            <w:vAlign w:val="center"/>
          </w:tcPr>
          <w:p>
            <w:pPr>
              <w:spacing w:after="40" w:before="40" w:line="240"/>
            </w:pPr>
            <w:r>
              <w:rPr>
                <w:b/>
                <w:bCs/>
                <w:sz w:val="19"/>
                <w:szCs w:val="19"/>
              </w:rPr>
              <w:t xml:space="preserve">P2</w:t>
            </w:r>
          </w:p>
        </w:tc>
        <w:tc>
          <w:tcPr>
            <w:tcW w:type="dxa" w:w="4062"/>
            <w:tcMar>
              <w:top w:type="dxa" w:w="60"/>
              <w:left w:type="dxa" w:w="110"/>
              <w:bottom w:type="dxa" w:w="60"/>
              <w:right w:type="dxa" w:w="110"/>
            </w:tcMar>
            <w:vAlign w:val="center"/>
          </w:tcPr>
          <w:p>
            <w:pPr>
              <w:spacing w:after="40" w:before="40" w:line="240"/>
            </w:pPr>
            <w:r>
              <w:rPr>
                <w:b w:val="false"/>
                <w:bCs w:val="false"/>
                <w:sz w:val="19"/>
                <w:szCs w:val="19"/>
              </w:rPr>
              <w:t xml:space="preserve">Mode démo public (carnet exemple pré-rempli consultable sans compte).</w:t>
            </w:r>
          </w:p>
        </w:tc>
        <w:tc>
          <w:tcPr>
            <w:tcW w:type="dxa" w:w="4062"/>
            <w:tcMar>
              <w:top w:type="dxa" w:w="60"/>
              <w:left w:type="dxa" w:w="110"/>
              <w:bottom w:type="dxa" w:w="60"/>
              <w:right w:type="dxa" w:w="110"/>
            </w:tcMar>
            <w:vAlign w:val="center"/>
          </w:tcPr>
          <w:p>
            <w:pPr>
              <w:spacing w:after="40" w:before="40" w:line="240"/>
            </w:pPr>
            <w:r>
              <w:rPr>
                <w:b w:val="false"/>
                <w:bCs w:val="false"/>
                <w:sz w:val="19"/>
                <w:szCs w:val="19"/>
              </w:rPr>
              <w:t xml:space="preserve">Montrer le moment aha (« ton carnet te parle ») avant l'inscription, pour vendre la promesse à froid.</w:t>
            </w:r>
          </w:p>
        </w:tc>
      </w:tr>
    </w:tbl>
    <w:p>
      <w:pPr>
        <w:pStyle w:val="Heading3"/>
        <w:spacing w:after="100" w:before="200"/>
      </w:pPr>
      <w:r>
        <w:t xml:space="preserve">Prix</w:t>
      </w:r>
    </w:p>
    <w:p>
      <w:pPr>
        <w:pStyle w:val="ListParagraph"/>
        <w:numPr>
          <w:ilvl w:val="0"/>
          <w:numId w:val="2"/>
        </w:numPr>
        <w:spacing w:after="80" w:line="264"/>
      </w:pPr>
      <w:r>
        <w:rPr>
          <w:b/>
          <w:bCs/>
          <w:i w:val="false"/>
          <w:iCs w:val="false"/>
        </w:rPr>
        <w:t xml:space="preserve">Garder les 3 tiers actuels : </w:t>
      </w:r>
      <w:r>
        <w:rPr>
          <w:b w:val="false"/>
          <w:bCs w:val="false"/>
          <w:i w:val="false"/>
          <w:iCs w:val="false"/>
        </w:rPr>
        <w:t xml:space="preserve">0 / 4,90 / 9,90 €. Lisibles face aux 5 formules de Spot de Pêche et aux 6 paliers de FishFriender. Le gratuit généreux (carnet illimité + social) est la bonne réponse au « 100 % gratuit » de Fishing Grid.</w:t>
      </w:r>
    </w:p>
    <w:p>
      <w:pPr>
        <w:pStyle w:val="ListParagraph"/>
        <w:numPr>
          <w:ilvl w:val="0"/>
          <w:numId w:val="2"/>
        </w:numPr>
        <w:spacing w:after="80" w:line="264"/>
      </w:pPr>
      <w:r>
        <w:rPr>
          <w:b/>
          <w:bCs/>
          <w:i w:val="false"/>
          <w:iCs w:val="false"/>
        </w:rPr>
        <w:t xml:space="preserve">Pré-sélectionner l'annuel </w:t>
      </w:r>
      <w:r>
        <w:rPr>
          <w:b w:val="false"/>
          <w:bCs w:val="false"/>
          <w:i w:val="false"/>
          <w:iCs w:val="false"/>
        </w:rPr>
        <w:t xml:space="preserve">dans le checkout : les benchmarks montrent que 60 à 70 % des abonnés choisissent l'annuel quand il est mis en avant, ce qui améliore mécaniquement la LTV et lisse la saisonnalité.</w:t>
      </w:r>
    </w:p>
    <w:p>
      <w:pPr>
        <w:pStyle w:val="ListParagraph"/>
        <w:numPr>
          <w:ilvl w:val="0"/>
          <w:numId w:val="2"/>
        </w:numPr>
        <w:spacing w:after="80" w:line="264"/>
      </w:pPr>
      <w:r>
        <w:rPr>
          <w:b/>
          <w:bCs/>
          <w:i w:val="false"/>
          <w:iCs w:val="false"/>
        </w:rPr>
        <w:t xml:space="preserve">Tester un pass « Saison » </w:t>
      </w:r>
      <w:r>
        <w:rPr>
          <w:b w:val="false"/>
          <w:bCs w:val="false"/>
          <w:i w:val="false"/>
          <w:iCs w:val="false"/>
        </w:rPr>
        <w:t xml:space="preserve">(3 mois, ~12-15 €) pour Laurent le vacancier : capture une demande estivale qui ne s'abonnera jamais à l'année. À tester après le lancement public, pas avant.</w:t>
      </w:r>
    </w:p>
    <w:p>
      <w:pPr>
        <w:pStyle w:val="ListParagraph"/>
        <w:numPr>
          <w:ilvl w:val="0"/>
          <w:numId w:val="2"/>
        </w:numPr>
        <w:spacing w:after="80" w:line="264"/>
      </w:pPr>
      <w:r>
        <w:rPr>
          <w:b/>
          <w:bCs/>
          <w:i w:val="false"/>
          <w:iCs w:val="false"/>
        </w:rPr>
        <w:t xml:space="preserve">Fondateurs : </w:t>
      </w:r>
      <w:r>
        <w:rPr>
          <w:b w:val="false"/>
          <w:bCs w:val="false"/>
          <w:i w:val="false"/>
          <w:iCs w:val="false"/>
        </w:rPr>
        <w:t xml:space="preserve">abonnement offert via codes (S68, déjà en prod). C'est un investissement en données et en témoignages, pas un manque à gagner.</w:t>
      </w:r>
    </w:p>
    <w:p>
      <w:pPr>
        <w:pStyle w:val="Heading3"/>
        <w:spacing w:after="100" w:before="200"/>
      </w:pPr>
      <w:r>
        <w:t xml:space="preserve">Distribution (Place)</w:t>
      </w:r>
    </w:p>
    <w:p>
      <w:pPr>
        <w:spacing w:after="140" w:before="0" w:line="276"/>
      </w:pPr>
      <w:r>
        <w:t xml:space="preserve">Web + PWA installable aujourd'hui ; stores mobiles après le gate S74. Le canal propriétaire n°1 est le SEO programmatique (1 158 pages spots, 26 fiches espèces, guides). Aucun budget publicitaire tant que le funnel organique n'est pas mesuré et optimisé : au stade actuel, un euro de paid acquisition est un euro brûlé sans thermomètre.</w:t>
      </w:r>
    </w:p>
    <w:p>
      <w:pPr>
        <w:pStyle w:val="Heading3"/>
        <w:spacing w:after="100" w:before="200"/>
      </w:pPr>
      <w:r>
        <w:t xml:space="preserve">Communication (Promotion)</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986"/>
        <w:gridCol w:w="3971"/>
        <w:gridCol w:w="3069"/>
      </w:tblGrid>
      <w:tr>
        <w:trPr>
          <w:tblHeader/>
        </w:trPr>
        <w:tc>
          <w:tcPr>
            <w:tcW w:type="dxa" w:w="198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Canal</w:t>
            </w:r>
          </w:p>
        </w:tc>
        <w:tc>
          <w:tcPr>
            <w:tcW w:type="dxa" w:w="3971"/>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Action concrète</w:t>
            </w:r>
          </w:p>
        </w:tc>
        <w:tc>
          <w:tcPr>
            <w:tcW w:type="dxa" w:w="3069"/>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Owner / cadence</w:t>
            </w:r>
          </w:p>
        </w:tc>
      </w:tr>
      <w:tr>
        <w:tc>
          <w:tcPr>
            <w:tcW w:type="dxa" w:w="1986"/>
            <w:tcMar>
              <w:top w:type="dxa" w:w="60"/>
              <w:left w:type="dxa" w:w="110"/>
              <w:bottom w:type="dxa" w:w="60"/>
              <w:right w:type="dxa" w:w="110"/>
            </w:tcMar>
            <w:vAlign w:val="center"/>
          </w:tcPr>
          <w:p>
            <w:pPr>
              <w:spacing w:after="40" w:before="40" w:line="240"/>
            </w:pPr>
            <w:r>
              <w:rPr>
                <w:b w:val="false"/>
                <w:bCs w:val="false"/>
                <w:sz w:val="19"/>
                <w:szCs w:val="19"/>
              </w:rPr>
              <w:t xml:space="preserve">TikTok / Reels / Shorts</w:t>
            </w:r>
          </w:p>
        </w:tc>
        <w:tc>
          <w:tcPr>
            <w:tcW w:type="dxa" w:w="3971"/>
            <w:tcMar>
              <w:top w:type="dxa" w:w="60"/>
              <w:left w:type="dxa" w:w="110"/>
              <w:bottom w:type="dxa" w:w="60"/>
              <w:right w:type="dxa" w:w="110"/>
            </w:tcMar>
            <w:vAlign w:val="center"/>
          </w:tcPr>
          <w:p>
            <w:pPr>
              <w:spacing w:after="40" w:before="40" w:line="240"/>
            </w:pPr>
            <w:r>
              <w:rPr>
                <w:b w:val="false"/>
                <w:bCs w:val="false"/>
                <w:sz w:val="19"/>
                <w:szCs w:val="19"/>
              </w:rPr>
              <w:t xml:space="preserve">3 vidéos courtes/semaine via le skill vidéo interne : coefficients, fenêtres de marée, espèces, réglementation. CTA vers fiche spot ou fiche espèce gratuite.</w:t>
            </w:r>
          </w:p>
        </w:tc>
        <w:tc>
          <w:tcPr>
            <w:tcW w:type="dxa" w:w="3069"/>
            <w:tcMar>
              <w:top w:type="dxa" w:w="60"/>
              <w:left w:type="dxa" w:w="110"/>
              <w:bottom w:type="dxa" w:w="60"/>
              <w:right w:type="dxa" w:w="110"/>
            </w:tcMar>
            <w:vAlign w:val="center"/>
          </w:tcPr>
          <w:p>
            <w:pPr>
              <w:spacing w:after="40" w:before="40" w:line="240"/>
            </w:pPr>
            <w:r>
              <w:rPr>
                <w:b w:val="false"/>
                <w:bCs w:val="false"/>
                <w:sz w:val="19"/>
                <w:szCs w:val="19"/>
              </w:rPr>
              <w:t xml:space="preserve">César · 3/semaine</w:t>
            </w:r>
          </w:p>
        </w:tc>
      </w:tr>
      <w:tr>
        <w:tc>
          <w:tcPr>
            <w:tcW w:type="dxa" w:w="198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SEO éditorial</w:t>
            </w:r>
          </w:p>
        </w:tc>
        <w:tc>
          <w:tcPr>
            <w:tcW w:type="dxa" w:w="3971"/>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2 guides/mois (« pêcher le bar en Finistère », « où pêcher à Royan »), maillage vers pages spots et fiches espèces.</w:t>
            </w:r>
          </w:p>
        </w:tc>
        <w:tc>
          <w:tcPr>
            <w:tcW w:type="dxa" w:w="3069"/>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John + Claude · 2/mois</w:t>
            </w:r>
          </w:p>
        </w:tc>
      </w:tr>
      <w:tr>
        <w:tc>
          <w:tcPr>
            <w:tcW w:type="dxa" w:w="1986"/>
            <w:tcMar>
              <w:top w:type="dxa" w:w="60"/>
              <w:left w:type="dxa" w:w="110"/>
              <w:bottom w:type="dxa" w:w="60"/>
              <w:right w:type="dxa" w:w="110"/>
            </w:tcMar>
            <w:vAlign w:val="center"/>
          </w:tcPr>
          <w:p>
            <w:pPr>
              <w:spacing w:after="40" w:before="40" w:line="240"/>
            </w:pPr>
            <w:r>
              <w:rPr>
                <w:b w:val="false"/>
                <w:bCs w:val="false"/>
                <w:sz w:val="19"/>
                <w:szCs w:val="19"/>
              </w:rPr>
              <w:t xml:space="preserve">Groupes Facebook locaux</w:t>
            </w:r>
          </w:p>
        </w:tc>
        <w:tc>
          <w:tcPr>
            <w:tcW w:type="dxa" w:w="3971"/>
            <w:tcMar>
              <w:top w:type="dxa" w:w="60"/>
              <w:left w:type="dxa" w:w="110"/>
              <w:bottom w:type="dxa" w:w="60"/>
              <w:right w:type="dxa" w:w="110"/>
            </w:tcMar>
            <w:vAlign w:val="center"/>
          </w:tcPr>
          <w:p>
            <w:pPr>
              <w:spacing w:after="40" w:before="40" w:line="240"/>
            </w:pPr>
            <w:r>
              <w:rPr>
                <w:b w:val="false"/>
                <w:bCs w:val="false"/>
                <w:sz w:val="19"/>
                <w:szCs w:val="19"/>
              </w:rPr>
              <w:t xml:space="preserve">Présence utile (réponses marées/réglementation), jamais de spam. Partage des prises fondateurs avec lien.</w:t>
            </w:r>
          </w:p>
        </w:tc>
        <w:tc>
          <w:tcPr>
            <w:tcW w:type="dxa" w:w="3069"/>
            <w:tcMar>
              <w:top w:type="dxa" w:w="60"/>
              <w:left w:type="dxa" w:w="110"/>
              <w:bottom w:type="dxa" w:w="60"/>
              <w:right w:type="dxa" w:w="110"/>
            </w:tcMar>
            <w:vAlign w:val="center"/>
          </w:tcPr>
          <w:p>
            <w:pPr>
              <w:spacing w:after="40" w:before="40" w:line="240"/>
            </w:pPr>
            <w:r>
              <w:rPr>
                <w:b w:val="false"/>
                <w:bCs w:val="false"/>
                <w:sz w:val="19"/>
                <w:szCs w:val="19"/>
              </w:rPr>
              <w:t xml:space="preserve">César · quotidien léger</w:t>
            </w:r>
          </w:p>
        </w:tc>
      </w:tr>
      <w:tr>
        <w:tc>
          <w:tcPr>
            <w:tcW w:type="dxa" w:w="198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Partenariats locaux</w:t>
            </w:r>
          </w:p>
        </w:tc>
        <w:tc>
          <w:tcPr>
            <w:tcW w:type="dxa" w:w="3971"/>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Clubs et associations de pêche côtiers, magasins indépendants, guides de pêche : codes fondateurs en dotation.</w:t>
            </w:r>
          </w:p>
        </w:tc>
        <w:tc>
          <w:tcPr>
            <w:tcW w:type="dxa" w:w="3069"/>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César · 2 contacts/semaine</w:t>
            </w:r>
          </w:p>
        </w:tc>
      </w:tr>
      <w:tr>
        <w:tc>
          <w:tcPr>
            <w:tcW w:type="dxa" w:w="1986"/>
            <w:tcMar>
              <w:top w:type="dxa" w:w="60"/>
              <w:left w:type="dxa" w:w="110"/>
              <w:bottom w:type="dxa" w:w="60"/>
              <w:right w:type="dxa" w:w="110"/>
            </w:tcMar>
            <w:vAlign w:val="center"/>
          </w:tcPr>
          <w:p>
            <w:pPr>
              <w:spacing w:after="40" w:before="40" w:line="240"/>
            </w:pPr>
            <w:r>
              <w:rPr>
                <w:b w:val="false"/>
                <w:bCs w:val="false"/>
                <w:sz w:val="19"/>
                <w:szCs w:val="19"/>
              </w:rPr>
              <w:t xml:space="preserve">Presse spécialisée</w:t>
            </w:r>
          </w:p>
        </w:tc>
        <w:tc>
          <w:tcPr>
            <w:tcW w:type="dxa" w:w="3971"/>
            <w:tcMar>
              <w:top w:type="dxa" w:w="60"/>
              <w:left w:type="dxa" w:w="110"/>
              <w:bottom w:type="dxa" w:w="60"/>
              <w:right w:type="dxa" w:w="110"/>
            </w:tcMar>
            <w:vAlign w:val="center"/>
          </w:tcPr>
          <w:p>
            <w:pPr>
              <w:spacing w:after="40" w:before="40" w:line="240"/>
            </w:pPr>
            <w:r>
              <w:rPr>
                <w:b w:val="false"/>
                <w:bCs w:val="false"/>
                <w:sz w:val="19"/>
                <w:szCs w:val="19"/>
              </w:rPr>
              <w:t xml:space="preserve">Dossier de presse au lancement public uniquement (peche.com, magazines) : une seule cartouche, la garder pour le moment où le produit a des utilisateurs vivants.</w:t>
            </w:r>
          </w:p>
        </w:tc>
        <w:tc>
          <w:tcPr>
            <w:tcW w:type="dxa" w:w="3069"/>
            <w:tcMar>
              <w:top w:type="dxa" w:w="60"/>
              <w:left w:type="dxa" w:w="110"/>
              <w:bottom w:type="dxa" w:w="60"/>
              <w:right w:type="dxa" w:w="110"/>
            </w:tcMar>
            <w:vAlign w:val="center"/>
          </w:tcPr>
          <w:p>
            <w:pPr>
              <w:spacing w:after="40" w:before="40" w:line="240"/>
            </w:pPr>
            <w:r>
              <w:rPr>
                <w:b w:val="false"/>
                <w:bCs w:val="false"/>
                <w:sz w:val="19"/>
                <w:szCs w:val="19"/>
              </w:rPr>
              <w:t xml:space="preserve">John · au lancement</w:t>
            </w:r>
          </w:p>
        </w:tc>
      </w:tr>
    </w:tbl>
    <w:p>
      <w:pPr>
        <w:pStyle w:val="Heading3"/>
        <w:spacing w:after="100" w:before="200"/>
      </w:pPr>
      <w:r>
        <w:t xml:space="preserve">Marque</w:t>
      </w:r>
    </w:p>
    <w:p>
      <w:pPr>
        <w:spacing w:after="140" w:before="0" w:line="276"/>
      </w:pPr>
      <w:r>
        <w:t xml:space="preserve">La DA v2 « instrument de précision marine » et le tutoiement pêcheur sont des actifs différenciants : les concurrents ont des identités génériques. Troisième pilier de marque à cultiver : l'honnêteté des chiffres (annoncer 215 spots curés réels plutôt que 1 158 gonflés) ; sur un marché où tout le monde surpromet, la précision crédible est une position défendable.</w:t>
      </w:r>
    </w:p>
    <w:p>
      <w:r>
        <w:br w:type="page"/>
      </w:r>
    </w:p>
    <w:p>
      <w:pPr>
        <w:pStyle w:val="Heading1"/>
        <w:spacing w:after="160" w:before="320"/>
      </w:pPr>
      <w:r>
        <w:t xml:space="preserve">7. Analyse financière</w:t>
      </w:r>
    </w:p>
    <w:p>
      <w:pPr>
        <w:pStyle w:val="Heading2"/>
        <w:spacing w:after="120" w:before="260"/>
      </w:pPr>
      <w:r>
        <w:t xml:space="preserve">7.1 Structure de coûts actuelle (juillet 2026)</w:t>
      </w:r>
    </w:p>
    <w:p>
      <w:pPr>
        <w:spacing w:after="140" w:before="0" w:line="276"/>
      </w:pPr>
      <w:r>
        <w:t xml:space="preserve">Situation rare et précieuse : l'infrastructure tourne intégralement en free tier. Le seul coût monétaire réel est l'abonnement Claude (outil de développement). Hypothèse retenue dans tout le document : 200 €/mois, à ajuster selon ton plan réel.</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2708"/>
        <w:gridCol w:w="1986"/>
        <w:gridCol w:w="4332"/>
      </w:tblGrid>
      <w:tr>
        <w:trPr>
          <w:tblHeader/>
        </w:trPr>
        <w:tc>
          <w:tcPr>
            <w:tcW w:type="dxa" w:w="2708"/>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Poste</w:t>
            </w:r>
          </w:p>
        </w:tc>
        <w:tc>
          <w:tcPr>
            <w:tcW w:type="dxa" w:w="198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Coût actuel</w:t>
            </w:r>
          </w:p>
        </w:tc>
        <w:tc>
          <w:tcPr>
            <w:tcW w:type="dxa" w:w="4332"/>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Bascule payante prévisible</w:t>
            </w:r>
          </w:p>
        </w:tc>
      </w:tr>
      <w:tr>
        <w:tc>
          <w:tcPr>
            <w:tcW w:type="dxa" w:w="2708"/>
            <w:tcMar>
              <w:top w:type="dxa" w:w="60"/>
              <w:left w:type="dxa" w:w="110"/>
              <w:bottom w:type="dxa" w:w="60"/>
              <w:right w:type="dxa" w:w="110"/>
            </w:tcMar>
            <w:vAlign w:val="center"/>
          </w:tcPr>
          <w:p>
            <w:pPr>
              <w:spacing w:after="40" w:before="40" w:line="240"/>
            </w:pPr>
            <w:r>
              <w:rPr>
                <w:b w:val="false"/>
                <w:bCs w:val="false"/>
                <w:sz w:val="19"/>
                <w:szCs w:val="19"/>
              </w:rPr>
              <w:t xml:space="preserve">Vercel (hébergement)</w:t>
            </w:r>
          </w:p>
        </w:tc>
        <w:tc>
          <w:tcPr>
            <w:tcW w:type="dxa" w:w="1986"/>
            <w:tcMar>
              <w:top w:type="dxa" w:w="60"/>
              <w:left w:type="dxa" w:w="110"/>
              <w:bottom w:type="dxa" w:w="60"/>
              <w:right w:type="dxa" w:w="110"/>
            </w:tcMar>
            <w:vAlign w:val="center"/>
          </w:tcPr>
          <w:p>
            <w:pPr>
              <w:spacing w:after="40" w:before="40" w:line="240"/>
            </w:pPr>
            <w:r>
              <w:rPr>
                <w:b w:val="false"/>
                <w:bCs w:val="false"/>
                <w:sz w:val="19"/>
                <w:szCs w:val="19"/>
              </w:rPr>
              <w:t xml:space="preserve">0 € (Hobby)</w:t>
            </w:r>
          </w:p>
        </w:tc>
        <w:tc>
          <w:tcPr>
            <w:tcW w:type="dxa" w:w="4332"/>
            <w:tcMar>
              <w:top w:type="dxa" w:w="60"/>
              <w:left w:type="dxa" w:w="110"/>
              <w:bottom w:type="dxa" w:w="60"/>
              <w:right w:type="dxa" w:w="110"/>
            </w:tcMar>
            <w:vAlign w:val="center"/>
          </w:tcPr>
          <w:p>
            <w:pPr>
              <w:spacing w:after="40" w:before="40" w:line="240"/>
            </w:pPr>
            <w:r>
              <w:rPr>
                <w:b w:val="false"/>
                <w:bCs w:val="false"/>
                <w:sz w:val="19"/>
                <w:szCs w:val="19"/>
              </w:rPr>
              <w:t xml:space="preserve">Pro ~20 $/mois : au-delà des limites Hobby (bande passante, crons)</w:t>
            </w:r>
          </w:p>
        </w:tc>
      </w:tr>
      <w:tr>
        <w:tc>
          <w:tcPr>
            <w:tcW w:type="dxa" w:w="270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Supabase (BDD, auth, storage)</w:t>
            </w:r>
          </w:p>
        </w:tc>
        <w:tc>
          <w:tcPr>
            <w:tcW w:type="dxa" w:w="198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0 € (Free)</w:t>
            </w:r>
          </w:p>
        </w:tc>
        <w:tc>
          <w:tcPr>
            <w:tcW w:type="dxa" w:w="4332"/>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Pro ~25 $/mois : probablement le premier à basculer (500 Mo BDD, 1 Go storage photos)</w:t>
            </w:r>
          </w:p>
        </w:tc>
      </w:tr>
      <w:tr>
        <w:tc>
          <w:tcPr>
            <w:tcW w:type="dxa" w:w="2708"/>
            <w:tcMar>
              <w:top w:type="dxa" w:w="60"/>
              <w:left w:type="dxa" w:w="110"/>
              <w:bottom w:type="dxa" w:w="60"/>
              <w:right w:type="dxa" w:w="110"/>
            </w:tcMar>
            <w:vAlign w:val="center"/>
          </w:tcPr>
          <w:p>
            <w:pPr>
              <w:spacing w:after="40" w:before="40" w:line="240"/>
            </w:pPr>
            <w:r>
              <w:rPr>
                <w:b w:val="false"/>
                <w:bCs w:val="false"/>
                <w:sz w:val="19"/>
                <w:szCs w:val="19"/>
              </w:rPr>
              <w:t xml:space="preserve">MapTiler (tuiles carte)</w:t>
            </w:r>
          </w:p>
        </w:tc>
        <w:tc>
          <w:tcPr>
            <w:tcW w:type="dxa" w:w="1986"/>
            <w:tcMar>
              <w:top w:type="dxa" w:w="60"/>
              <w:left w:type="dxa" w:w="110"/>
              <w:bottom w:type="dxa" w:w="60"/>
              <w:right w:type="dxa" w:w="110"/>
            </w:tcMar>
            <w:vAlign w:val="center"/>
          </w:tcPr>
          <w:p>
            <w:pPr>
              <w:spacing w:after="40" w:before="40" w:line="240"/>
            </w:pPr>
            <w:r>
              <w:rPr>
                <w:b w:val="false"/>
                <w:bCs w:val="false"/>
                <w:sz w:val="19"/>
                <w:szCs w:val="19"/>
              </w:rPr>
              <w:t xml:space="preserve">0 € (Free)</w:t>
            </w:r>
          </w:p>
        </w:tc>
        <w:tc>
          <w:tcPr>
            <w:tcW w:type="dxa" w:w="4332"/>
            <w:tcMar>
              <w:top w:type="dxa" w:w="60"/>
              <w:left w:type="dxa" w:w="110"/>
              <w:bottom w:type="dxa" w:w="60"/>
              <w:right w:type="dxa" w:w="110"/>
            </w:tcMar>
            <w:vAlign w:val="center"/>
          </w:tcPr>
          <w:p>
            <w:pPr>
              <w:spacing w:after="40" w:before="40" w:line="240"/>
            </w:pPr>
            <w:r>
              <w:rPr>
                <w:b w:val="false"/>
                <w:bCs w:val="false"/>
                <w:sz w:val="19"/>
                <w:szCs w:val="19"/>
              </w:rPr>
              <w:t xml:space="preserve">~25 $/mois au-delà de 100 K tuiles/mois (≈ quelques milliers de visiteurs carte)</w:t>
            </w:r>
          </w:p>
        </w:tc>
      </w:tr>
      <w:tr>
        <w:tc>
          <w:tcPr>
            <w:tcW w:type="dxa" w:w="270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Resend (emails)</w:t>
            </w:r>
          </w:p>
        </w:tc>
        <w:tc>
          <w:tcPr>
            <w:tcW w:type="dxa" w:w="198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0 € (3 000 mails/mois)</w:t>
            </w:r>
          </w:p>
        </w:tc>
        <w:tc>
          <w:tcPr>
            <w:tcW w:type="dxa" w:w="4332"/>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20 $/mois au-delà</w:t>
            </w:r>
          </w:p>
        </w:tc>
      </w:tr>
      <w:tr>
        <w:tc>
          <w:tcPr>
            <w:tcW w:type="dxa" w:w="2708"/>
            <w:tcMar>
              <w:top w:type="dxa" w:w="60"/>
              <w:left w:type="dxa" w:w="110"/>
              <w:bottom w:type="dxa" w:w="60"/>
              <w:right w:type="dxa" w:w="110"/>
            </w:tcMar>
            <w:vAlign w:val="center"/>
          </w:tcPr>
          <w:p>
            <w:pPr>
              <w:spacing w:after="40" w:before="40" w:line="240"/>
            </w:pPr>
            <w:r>
              <w:rPr>
                <w:b w:val="false"/>
                <w:bCs w:val="false"/>
                <w:sz w:val="19"/>
                <w:szCs w:val="19"/>
              </w:rPr>
              <w:t xml:space="preserve">Sentry / PostHog</w:t>
            </w:r>
          </w:p>
        </w:tc>
        <w:tc>
          <w:tcPr>
            <w:tcW w:type="dxa" w:w="1986"/>
            <w:tcMar>
              <w:top w:type="dxa" w:w="60"/>
              <w:left w:type="dxa" w:w="110"/>
              <w:bottom w:type="dxa" w:w="60"/>
              <w:right w:type="dxa" w:w="110"/>
            </w:tcMar>
            <w:vAlign w:val="center"/>
          </w:tcPr>
          <w:p>
            <w:pPr>
              <w:spacing w:after="40" w:before="40" w:line="240"/>
            </w:pPr>
            <w:r>
              <w:rPr>
                <w:b w:val="false"/>
                <w:bCs w:val="false"/>
                <w:sz w:val="19"/>
                <w:szCs w:val="19"/>
              </w:rPr>
              <w:t xml:space="preserve">0 € (Free)</w:t>
            </w:r>
          </w:p>
        </w:tc>
        <w:tc>
          <w:tcPr>
            <w:tcW w:type="dxa" w:w="4332"/>
            <w:tcMar>
              <w:top w:type="dxa" w:w="60"/>
              <w:left w:type="dxa" w:w="110"/>
              <w:bottom w:type="dxa" w:w="60"/>
              <w:right w:type="dxa" w:w="110"/>
            </w:tcMar>
            <w:vAlign w:val="center"/>
          </w:tcPr>
          <w:p>
            <w:pPr>
              <w:spacing w:after="40" w:before="40" w:line="240"/>
            </w:pPr>
            <w:r>
              <w:rPr>
                <w:b w:val="false"/>
                <w:bCs w:val="false"/>
                <w:sz w:val="19"/>
                <w:szCs w:val="19"/>
              </w:rPr>
              <w:t xml:space="preserve">~26 $/mois (Sentry) ; PostHog free tier très généreux</w:t>
            </w:r>
          </w:p>
        </w:tc>
      </w:tr>
      <w:tr>
        <w:tc>
          <w:tcPr>
            <w:tcW w:type="dxa" w:w="270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Domaine + divers</w:t>
            </w:r>
          </w:p>
        </w:tc>
        <w:tc>
          <w:tcPr>
            <w:tcW w:type="dxa" w:w="198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~15 €/an</w:t>
            </w:r>
          </w:p>
        </w:tc>
        <w:tc>
          <w:tcPr>
            <w:tcW w:type="dxa" w:w="4332"/>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stable</w:t>
            </w:r>
          </w:p>
        </w:tc>
      </w:tr>
      <w:tr>
        <w:tc>
          <w:tcPr>
            <w:tcW w:type="dxa" w:w="2708"/>
            <w:tcMar>
              <w:top w:type="dxa" w:w="60"/>
              <w:left w:type="dxa" w:w="110"/>
              <w:bottom w:type="dxa" w:w="60"/>
              <w:right w:type="dxa" w:w="110"/>
            </w:tcMar>
            <w:vAlign w:val="center"/>
          </w:tcPr>
          <w:p>
            <w:pPr>
              <w:spacing w:after="40" w:before="40" w:line="240"/>
            </w:pPr>
            <w:r>
              <w:rPr>
                <w:b/>
                <w:bCs/>
                <w:sz w:val="19"/>
                <w:szCs w:val="19"/>
              </w:rPr>
              <w:t xml:space="preserve">Claude (dev)</w:t>
            </w:r>
          </w:p>
        </w:tc>
        <w:tc>
          <w:tcPr>
            <w:tcW w:type="dxa" w:w="1986"/>
            <w:tcMar>
              <w:top w:type="dxa" w:w="60"/>
              <w:left w:type="dxa" w:w="110"/>
              <w:bottom w:type="dxa" w:w="60"/>
              <w:right w:type="dxa" w:w="110"/>
            </w:tcMar>
            <w:vAlign w:val="center"/>
          </w:tcPr>
          <w:p>
            <w:pPr>
              <w:spacing w:after="40" w:before="40" w:line="240"/>
            </w:pPr>
            <w:r>
              <w:rPr>
                <w:b/>
                <w:bCs/>
                <w:sz w:val="19"/>
                <w:szCs w:val="19"/>
              </w:rPr>
              <w:t xml:space="preserve">≈ 200 €/mois (hypothèse)</w:t>
            </w:r>
          </w:p>
        </w:tc>
        <w:tc>
          <w:tcPr>
            <w:tcW w:type="dxa" w:w="4332"/>
            <w:tcMar>
              <w:top w:type="dxa" w:w="60"/>
              <w:left w:type="dxa" w:w="110"/>
              <w:bottom w:type="dxa" w:w="60"/>
              <w:right w:type="dxa" w:w="110"/>
            </w:tcMar>
            <w:vAlign w:val="center"/>
          </w:tcPr>
          <w:p>
            <w:pPr>
              <w:spacing w:after="40" w:before="40" w:line="240"/>
            </w:pPr>
            <w:r>
              <w:rPr>
                <w:b w:val="false"/>
                <w:bCs w:val="false"/>
                <w:sz w:val="19"/>
                <w:szCs w:val="19"/>
              </w:rPr>
              <w:t xml:space="preserve">Seul vrai coût actuel ; c'est un coût de développement, pas d'exploitation</w:t>
            </w:r>
          </w:p>
        </w:tc>
      </w:tr>
      <w:tr>
        <w:tc>
          <w:tcPr>
            <w:tcW w:type="dxa" w:w="2708"/>
            <w:shd w:fill="F6F1E6" w:val="clear"/>
            <w:tcMar>
              <w:top w:type="dxa" w:w="60"/>
              <w:left w:type="dxa" w:w="110"/>
              <w:bottom w:type="dxa" w:w="60"/>
              <w:right w:type="dxa" w:w="110"/>
            </w:tcMar>
            <w:vAlign w:val="center"/>
          </w:tcPr>
          <w:p>
            <w:pPr>
              <w:spacing w:after="40" w:before="40" w:line="240"/>
            </w:pPr>
            <w:r>
              <w:rPr>
                <w:b/>
                <w:bCs/>
                <w:sz w:val="19"/>
                <w:szCs w:val="19"/>
              </w:rPr>
              <w:t xml:space="preserve">TOTAL actuel</w:t>
            </w:r>
          </w:p>
        </w:tc>
        <w:tc>
          <w:tcPr>
            <w:tcW w:type="dxa" w:w="1986"/>
            <w:shd w:fill="F6F1E6" w:val="clear"/>
            <w:tcMar>
              <w:top w:type="dxa" w:w="60"/>
              <w:left w:type="dxa" w:w="110"/>
              <w:bottom w:type="dxa" w:w="60"/>
              <w:right w:type="dxa" w:w="110"/>
            </w:tcMar>
            <w:vAlign w:val="center"/>
          </w:tcPr>
          <w:p>
            <w:pPr>
              <w:spacing w:after="40" w:before="40" w:line="240"/>
            </w:pPr>
            <w:r>
              <w:rPr>
                <w:b/>
                <w:bCs/>
                <w:color w:val="0A2F3D"/>
                <w:sz w:val="19"/>
                <w:szCs w:val="19"/>
              </w:rPr>
              <w:t xml:space="preserve">≈ 200 €/mois</w:t>
            </w:r>
          </w:p>
        </w:tc>
        <w:tc>
          <w:tcPr>
            <w:tcW w:type="dxa" w:w="4332"/>
            <w:shd w:fill="F6F1E6" w:val="clear"/>
            <w:tcMar>
              <w:top w:type="dxa" w:w="60"/>
              <w:left w:type="dxa" w:w="110"/>
              <w:bottom w:type="dxa" w:w="60"/>
              <w:right w:type="dxa" w:w="110"/>
            </w:tcMar>
            <w:vAlign w:val="center"/>
          </w:tcPr>
          <w:p>
            <w:pPr>
              <w:spacing w:after="40" w:before="40" w:line="240"/>
            </w:pPr>
            <w:r>
              <w:rPr>
                <w:b w:val="false"/>
                <w:bCs w:val="false"/>
                <w:color w:val="5E6E77"/>
                <w:sz w:val="19"/>
                <w:szCs w:val="19"/>
              </w:rPr>
              <w:t xml:space="preserve">≈ 360 €/mois à l'échelle 5-20 K utilisateurs (tous paliers passés + marge divers)</w:t>
            </w:r>
          </w:p>
        </w:tc>
      </w:tr>
    </w:tbl>
    <w:p>
      <w:pPr>
        <w:pStyle w:val="Heading2"/>
        <w:spacing w:after="120" w:before="260"/>
      </w:pPr>
      <w:r>
        <w:t xml:space="preserve">7.2 Unit economics</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3610"/>
        <w:gridCol w:w="2166"/>
        <w:gridCol w:w="3249"/>
      </w:tblGrid>
      <w:tr>
        <w:trPr>
          <w:tblHeader/>
        </w:trPr>
        <w:tc>
          <w:tcPr>
            <w:tcW w:type="dxa" w:w="3610"/>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Métrique</w:t>
            </w:r>
          </w:p>
        </w:tc>
        <w:tc>
          <w:tcPr>
            <w:tcW w:type="dxa" w:w="216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Valeur</w:t>
            </w:r>
          </w:p>
        </w:tc>
        <w:tc>
          <w:tcPr>
            <w:tcW w:type="dxa" w:w="3249"/>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Hypothèses</w:t>
            </w:r>
          </w:p>
        </w:tc>
      </w:tr>
      <w:tr>
        <w:tc>
          <w:tcPr>
            <w:tcW w:type="dxa" w:w="3610"/>
            <w:tcMar>
              <w:top w:type="dxa" w:w="60"/>
              <w:left w:type="dxa" w:w="110"/>
              <w:bottom w:type="dxa" w:w="60"/>
              <w:right w:type="dxa" w:w="110"/>
            </w:tcMar>
            <w:vAlign w:val="center"/>
          </w:tcPr>
          <w:p>
            <w:pPr>
              <w:spacing w:after="40" w:before="40" w:line="240"/>
            </w:pPr>
            <w:r>
              <w:rPr>
                <w:b w:val="false"/>
                <w:bCs w:val="false"/>
                <w:sz w:val="19"/>
                <w:szCs w:val="19"/>
              </w:rPr>
              <w:t xml:space="preserve">ARPU mensuel (TTC)</w:t>
            </w:r>
          </w:p>
        </w:tc>
        <w:tc>
          <w:tcPr>
            <w:tcW w:type="dxa" w:w="2166"/>
            <w:tcMar>
              <w:top w:type="dxa" w:w="60"/>
              <w:left w:type="dxa" w:w="110"/>
              <w:bottom w:type="dxa" w:w="60"/>
              <w:right w:type="dxa" w:w="110"/>
            </w:tcMar>
            <w:vAlign w:val="center"/>
          </w:tcPr>
          <w:p>
            <w:pPr>
              <w:spacing w:after="40" w:before="40" w:line="240"/>
            </w:pPr>
            <w:r>
              <w:rPr>
                <w:b/>
                <w:bCs/>
                <w:sz w:val="19"/>
                <w:szCs w:val="19"/>
              </w:rPr>
              <w:t xml:space="preserve">5,31 €</w:t>
            </w:r>
          </w:p>
        </w:tc>
        <w:tc>
          <w:tcPr>
            <w:tcW w:type="dxa" w:w="3249"/>
            <w:tcMar>
              <w:top w:type="dxa" w:w="60"/>
              <w:left w:type="dxa" w:w="110"/>
              <w:bottom w:type="dxa" w:w="60"/>
              <w:right w:type="dxa" w:w="110"/>
            </w:tcMar>
            <w:vAlign w:val="center"/>
          </w:tcPr>
          <w:p>
            <w:pPr>
              <w:spacing w:after="40" w:before="40" w:line="240"/>
            </w:pPr>
            <w:r>
              <w:rPr>
                <w:b w:val="false"/>
                <w:bCs w:val="false"/>
                <w:sz w:val="19"/>
                <w:szCs w:val="19"/>
              </w:rPr>
              <w:t xml:space="preserve">Mix 80 % Local / 20 % Itinérant ; 60 % de plans annuels (49 € et 99 €)</w:t>
            </w:r>
          </w:p>
        </w:tc>
      </w:tr>
      <w:tr>
        <w:tc>
          <w:tcPr>
            <w:tcW w:type="dxa" w:w="3610"/>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ARPU HT</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4,43 €</w:t>
            </w:r>
          </w:p>
        </w:tc>
        <w:tc>
          <w:tcPr>
            <w:tcW w:type="dxa" w:w="3249"/>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TVA 20 % incluse dans les prix (Stripe Tax)</w:t>
            </w:r>
          </w:p>
        </w:tc>
      </w:tr>
      <w:tr>
        <w:tc>
          <w:tcPr>
            <w:tcW w:type="dxa" w:w="3610"/>
            <w:tcMar>
              <w:top w:type="dxa" w:w="60"/>
              <w:left w:type="dxa" w:w="110"/>
              <w:bottom w:type="dxa" w:w="60"/>
              <w:right w:type="dxa" w:w="110"/>
            </w:tcMar>
            <w:vAlign w:val="center"/>
          </w:tcPr>
          <w:p>
            <w:pPr>
              <w:spacing w:after="40" w:before="40" w:line="240"/>
            </w:pPr>
            <w:r>
              <w:rPr>
                <w:b w:val="false"/>
                <w:bCs w:val="false"/>
                <w:sz w:val="19"/>
                <w:szCs w:val="19"/>
              </w:rPr>
              <w:t xml:space="preserve">ARPU net vendeur</w:t>
            </w:r>
          </w:p>
        </w:tc>
        <w:tc>
          <w:tcPr>
            <w:tcW w:type="dxa" w:w="2166"/>
            <w:tcMar>
              <w:top w:type="dxa" w:w="60"/>
              <w:left w:type="dxa" w:w="110"/>
              <w:bottom w:type="dxa" w:w="60"/>
              <w:right w:type="dxa" w:w="110"/>
            </w:tcMar>
            <w:vAlign w:val="center"/>
          </w:tcPr>
          <w:p>
            <w:pPr>
              <w:spacing w:after="40" w:before="40" w:line="240"/>
            </w:pPr>
            <w:r>
              <w:rPr>
                <w:b/>
                <w:bCs/>
                <w:sz w:val="19"/>
                <w:szCs w:val="19"/>
              </w:rPr>
              <w:t xml:space="preserve">≈ 4,10 €</w:t>
            </w:r>
          </w:p>
        </w:tc>
        <w:tc>
          <w:tcPr>
            <w:tcW w:type="dxa" w:w="3249"/>
            <w:tcMar>
              <w:top w:type="dxa" w:w="60"/>
              <w:left w:type="dxa" w:w="110"/>
              <w:bottom w:type="dxa" w:w="60"/>
              <w:right w:type="dxa" w:w="110"/>
            </w:tcMar>
            <w:vAlign w:val="center"/>
          </w:tcPr>
          <w:p>
            <w:pPr>
              <w:spacing w:after="40" w:before="40" w:line="240"/>
            </w:pPr>
            <w:r>
              <w:rPr>
                <w:b w:val="false"/>
                <w:bCs w:val="false"/>
                <w:sz w:val="19"/>
                <w:szCs w:val="19"/>
              </w:rPr>
              <w:t xml:space="preserve">Après frais Stripe (~1,5 % + 0,25 € par transaction, dilués sur l'annuel)</w:t>
            </w:r>
          </w:p>
        </w:tc>
      </w:tr>
      <w:tr>
        <w:tc>
          <w:tcPr>
            <w:tcW w:type="dxa" w:w="3610"/>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Churn mensuel blended</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6 à 7 %</w:t>
            </w:r>
          </w:p>
        </w:tc>
        <w:tc>
          <w:tcPr>
            <w:tcW w:type="dxa" w:w="3249"/>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10 %/mois sur les mensuels (saisonnalité pêche), ~45 % de renouvellement annuel ; meilleur que la médiane consumer (13 %) grâce au poids de l'annuel</w:t>
            </w:r>
          </w:p>
        </w:tc>
      </w:tr>
      <w:tr>
        <w:tc>
          <w:tcPr>
            <w:tcW w:type="dxa" w:w="3610"/>
            <w:tcMar>
              <w:top w:type="dxa" w:w="60"/>
              <w:left w:type="dxa" w:w="110"/>
              <w:bottom w:type="dxa" w:w="60"/>
              <w:right w:type="dxa" w:w="110"/>
            </w:tcMar>
            <w:vAlign w:val="center"/>
          </w:tcPr>
          <w:p>
            <w:pPr>
              <w:spacing w:after="40" w:before="40" w:line="240"/>
            </w:pPr>
            <w:r>
              <w:rPr>
                <w:b w:val="false"/>
                <w:bCs w:val="false"/>
                <w:sz w:val="19"/>
                <w:szCs w:val="19"/>
              </w:rPr>
              <w:t xml:space="preserve">LTV nette par abonné</w:t>
            </w:r>
          </w:p>
        </w:tc>
        <w:tc>
          <w:tcPr>
            <w:tcW w:type="dxa" w:w="2166"/>
            <w:tcMar>
              <w:top w:type="dxa" w:w="60"/>
              <w:left w:type="dxa" w:w="110"/>
              <w:bottom w:type="dxa" w:w="60"/>
              <w:right w:type="dxa" w:w="110"/>
            </w:tcMar>
            <w:vAlign w:val="center"/>
          </w:tcPr>
          <w:p>
            <w:pPr>
              <w:spacing w:after="40" w:before="40" w:line="240"/>
            </w:pPr>
            <w:r>
              <w:rPr>
                <w:b/>
                <w:bCs/>
                <w:sz w:val="19"/>
                <w:szCs w:val="19"/>
              </w:rPr>
              <w:t xml:space="preserve">55 à 85 €</w:t>
            </w:r>
          </w:p>
        </w:tc>
        <w:tc>
          <w:tcPr>
            <w:tcW w:type="dxa" w:w="3249"/>
            <w:tcMar>
              <w:top w:type="dxa" w:w="60"/>
              <w:left w:type="dxa" w:w="110"/>
              <w:bottom w:type="dxa" w:w="60"/>
              <w:right w:type="dxa" w:w="110"/>
            </w:tcMar>
            <w:vAlign w:val="center"/>
          </w:tcPr>
          <w:p>
            <w:pPr>
              <w:spacing w:after="40" w:before="40" w:line="240"/>
            </w:pPr>
            <w:r>
              <w:rPr>
                <w:b w:val="false"/>
                <w:bCs w:val="false"/>
                <w:sz w:val="19"/>
                <w:szCs w:val="19"/>
              </w:rPr>
              <w:t xml:space="preserve">ARPU net / churn effectif ; s'améliore avec chaque point d'annuel en plus</w:t>
            </w:r>
          </w:p>
        </w:tc>
      </w:tr>
      <w:tr>
        <w:tc>
          <w:tcPr>
            <w:tcW w:type="dxa" w:w="3610"/>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CAC cible</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 0-2 € organique</w:t>
            </w:r>
          </w:p>
        </w:tc>
        <w:tc>
          <w:tcPr>
            <w:tcW w:type="dxa" w:w="3249"/>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SEO + réseaux + fondateurs. Plafond absolu si paid un jour : 15-20 € (LTV/CAC ≥ 3)</w:t>
            </w:r>
          </w:p>
        </w:tc>
      </w:tr>
      <w:tr>
        <w:tc>
          <w:tcPr>
            <w:tcW w:type="dxa" w:w="3610"/>
            <w:tcMar>
              <w:top w:type="dxa" w:w="60"/>
              <w:left w:type="dxa" w:w="110"/>
              <w:bottom w:type="dxa" w:w="60"/>
              <w:right w:type="dxa" w:w="110"/>
            </w:tcMar>
            <w:vAlign w:val="center"/>
          </w:tcPr>
          <w:p>
            <w:pPr>
              <w:spacing w:after="40" w:before="40" w:line="240"/>
            </w:pPr>
            <w:r>
              <w:rPr>
                <w:b/>
                <w:bCs/>
                <w:sz w:val="19"/>
                <w:szCs w:val="19"/>
              </w:rPr>
              <w:t xml:space="preserve">Point mort monétaire</w:t>
            </w:r>
          </w:p>
        </w:tc>
        <w:tc>
          <w:tcPr>
            <w:tcW w:type="dxa" w:w="2166"/>
            <w:tcMar>
              <w:top w:type="dxa" w:w="60"/>
              <w:left w:type="dxa" w:w="110"/>
              <w:bottom w:type="dxa" w:w="60"/>
              <w:right w:type="dxa" w:w="110"/>
            </w:tcMar>
            <w:vAlign w:val="center"/>
          </w:tcPr>
          <w:p>
            <w:pPr>
              <w:spacing w:after="40" w:before="40" w:line="240"/>
            </w:pPr>
            <w:r>
              <w:rPr>
                <w:b/>
                <w:bCs/>
                <w:color w:val="C94A3B"/>
                <w:sz w:val="19"/>
                <w:szCs w:val="19"/>
              </w:rPr>
              <w:t xml:space="preserve">≈ 85-90 abonnés payants</w:t>
            </w:r>
          </w:p>
        </w:tc>
        <w:tc>
          <w:tcPr>
            <w:tcW w:type="dxa" w:w="3249"/>
            <w:tcMar>
              <w:top w:type="dxa" w:w="60"/>
              <w:left w:type="dxa" w:w="110"/>
              <w:bottom w:type="dxa" w:w="60"/>
              <w:right w:type="dxa" w:w="110"/>
            </w:tcMar>
            <w:vAlign w:val="center"/>
          </w:tcPr>
          <w:p>
            <w:pPr>
              <w:spacing w:after="40" w:before="40" w:line="240"/>
            </w:pPr>
            <w:r>
              <w:rPr>
                <w:b w:val="false"/>
                <w:bCs w:val="false"/>
                <w:sz w:val="19"/>
                <w:szCs w:val="19"/>
              </w:rPr>
              <w:t xml:space="preserve">Coûts pleins à l'échelle (~360 €/mois) / ARPU net (4,10 €). Soit ~0,01 % du marché en fourchette basse.</w:t>
            </w:r>
          </w:p>
        </w:tc>
      </w:tr>
    </w:tbl>
    <w:p>
      <w:pPr>
        <w:pStyle w:val="Heading2"/>
        <w:spacing w:after="120" w:before="260"/>
      </w:pPr>
      <w:r>
        <w:t xml:space="preserve">7.3 Scénarios à 12 mois (après ouverture publique)</w:t>
      </w:r>
    </w:p>
    <w:p>
      <w:pPr>
        <w:spacing w:after="160" w:before="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200" w:before="0" w:line="276"/>
        <w:jc w:val="center"/>
      </w:pPr>
      <w:r>
        <w:rPr>
          <w:b w:val="false"/>
          <w:bCs w:val="false"/>
          <w:i/>
          <w:iCs/>
          <w:color w:val="5E6E77"/>
          <w:sz w:val="18"/>
          <w:szCs w:val="18"/>
        </w:rPr>
        <w:t xml:space="preserve">Figure 2 : trajectoires de MRR selon trois scénarios. La ligne pointillée marque le point mort.</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895"/>
        <w:gridCol w:w="1805"/>
        <w:gridCol w:w="1805"/>
        <w:gridCol w:w="1805"/>
        <w:gridCol w:w="1715"/>
      </w:tblGrid>
      <w:tr>
        <w:trPr>
          <w:tblHeader/>
        </w:trPr>
        <w:tc>
          <w:tcPr>
            <w:tcW w:type="dxa" w:w="189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Scénario</w:t>
            </w:r>
          </w:p>
        </w:tc>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Inscrits à M12</w:t>
            </w:r>
          </w:p>
        </w:tc>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Taux payant</w:t>
            </w:r>
          </w:p>
        </w:tc>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MRR à M12 (TTC)</w:t>
            </w:r>
          </w:p>
        </w:tc>
        <w:tc>
          <w:tcPr>
            <w:tcW w:type="dxa" w:w="171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Résultat mensuel net</w:t>
            </w:r>
          </w:p>
        </w:tc>
      </w:tr>
      <w:tr>
        <w:tc>
          <w:tcPr>
            <w:tcW w:type="dxa" w:w="1895"/>
            <w:tcMar>
              <w:top w:type="dxa" w:w="60"/>
              <w:left w:type="dxa" w:w="110"/>
              <w:bottom w:type="dxa" w:w="60"/>
              <w:right w:type="dxa" w:w="110"/>
            </w:tcMar>
            <w:vAlign w:val="center"/>
          </w:tcPr>
          <w:p>
            <w:pPr>
              <w:spacing w:after="40" w:before="40" w:line="240"/>
            </w:pPr>
            <w:r>
              <w:rPr>
                <w:b w:val="false"/>
                <w:bCs w:val="false"/>
                <w:sz w:val="19"/>
                <w:szCs w:val="19"/>
              </w:rPr>
              <w:t xml:space="preserve">Pessimiste</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2 000</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2 %</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40 abonnés · 212 €</w:t>
            </w:r>
          </w:p>
        </w:tc>
        <w:tc>
          <w:tcPr>
            <w:tcW w:type="dxa" w:w="1715"/>
            <w:tcMar>
              <w:top w:type="dxa" w:w="60"/>
              <w:left w:type="dxa" w:w="110"/>
              <w:bottom w:type="dxa" w:w="60"/>
              <w:right w:type="dxa" w:w="110"/>
            </w:tcMar>
            <w:vAlign w:val="center"/>
          </w:tcPr>
          <w:p>
            <w:pPr>
              <w:spacing w:after="40" w:before="40" w:line="240"/>
            </w:pPr>
            <w:r>
              <w:rPr>
                <w:b w:val="false"/>
                <w:bCs w:val="false"/>
                <w:color w:val="C94A3B"/>
                <w:sz w:val="19"/>
                <w:szCs w:val="19"/>
              </w:rPr>
              <w:t xml:space="preserve">≈ −80 €/mois</w:t>
            </w:r>
          </w:p>
        </w:tc>
      </w:tr>
      <w:tr>
        <w:tc>
          <w:tcPr>
            <w:tcW w:type="dxa" w:w="1895"/>
            <w:shd w:fill="F6F1E6" w:val="clear"/>
            <w:tcMar>
              <w:top w:type="dxa" w:w="60"/>
              <w:left w:type="dxa" w:w="110"/>
              <w:bottom w:type="dxa" w:w="60"/>
              <w:right w:type="dxa" w:w="110"/>
            </w:tcMar>
            <w:vAlign w:val="center"/>
          </w:tcPr>
          <w:p>
            <w:pPr>
              <w:spacing w:after="40" w:before="40" w:line="240"/>
            </w:pPr>
            <w:r>
              <w:rPr>
                <w:b/>
                <w:bCs/>
                <w:sz w:val="19"/>
                <w:szCs w:val="19"/>
              </w:rPr>
              <w:t xml:space="preserve">Réaliste</w:t>
            </w:r>
          </w:p>
        </w:tc>
        <w:tc>
          <w:tcPr>
            <w:tcW w:type="dxa" w:w="1805"/>
            <w:shd w:fill="F6F1E6" w:val="clear"/>
            <w:tcMar>
              <w:top w:type="dxa" w:w="60"/>
              <w:left w:type="dxa" w:w="110"/>
              <w:bottom w:type="dxa" w:w="60"/>
              <w:right w:type="dxa" w:w="110"/>
            </w:tcMar>
            <w:vAlign w:val="center"/>
          </w:tcPr>
          <w:p>
            <w:pPr>
              <w:spacing w:after="40" w:before="40" w:line="240"/>
            </w:pPr>
            <w:r>
              <w:rPr>
                <w:b/>
                <w:bCs/>
                <w:sz w:val="19"/>
                <w:szCs w:val="19"/>
              </w:rPr>
              <w:t xml:space="preserve">8 000</w:t>
            </w:r>
          </w:p>
        </w:tc>
        <w:tc>
          <w:tcPr>
            <w:tcW w:type="dxa" w:w="1805"/>
            <w:shd w:fill="F6F1E6" w:val="clear"/>
            <w:tcMar>
              <w:top w:type="dxa" w:w="60"/>
              <w:left w:type="dxa" w:w="110"/>
              <w:bottom w:type="dxa" w:w="60"/>
              <w:right w:type="dxa" w:w="110"/>
            </w:tcMar>
            <w:vAlign w:val="center"/>
          </w:tcPr>
          <w:p>
            <w:pPr>
              <w:spacing w:after="40" w:before="40" w:line="240"/>
            </w:pPr>
            <w:r>
              <w:rPr>
                <w:b/>
                <w:bCs/>
                <w:sz w:val="19"/>
                <w:szCs w:val="19"/>
              </w:rPr>
              <w:t xml:space="preserve">3 %</w:t>
            </w:r>
          </w:p>
        </w:tc>
        <w:tc>
          <w:tcPr>
            <w:tcW w:type="dxa" w:w="1805"/>
            <w:shd w:fill="F6F1E6" w:val="clear"/>
            <w:tcMar>
              <w:top w:type="dxa" w:w="60"/>
              <w:left w:type="dxa" w:w="110"/>
              <w:bottom w:type="dxa" w:w="60"/>
              <w:right w:type="dxa" w:w="110"/>
            </w:tcMar>
            <w:vAlign w:val="center"/>
          </w:tcPr>
          <w:p>
            <w:pPr>
              <w:spacing w:after="40" w:before="40" w:line="240"/>
            </w:pPr>
            <w:r>
              <w:rPr>
                <w:b/>
                <w:bCs/>
                <w:sz w:val="19"/>
                <w:szCs w:val="19"/>
              </w:rPr>
              <w:t xml:space="preserve">240 abonnés · 1 274 €</w:t>
            </w:r>
          </w:p>
        </w:tc>
        <w:tc>
          <w:tcPr>
            <w:tcW w:type="dxa" w:w="1715"/>
            <w:shd w:fill="F6F1E6" w:val="clear"/>
            <w:tcMar>
              <w:top w:type="dxa" w:w="60"/>
              <w:left w:type="dxa" w:w="110"/>
              <w:bottom w:type="dxa" w:w="60"/>
              <w:right w:type="dxa" w:w="110"/>
            </w:tcMar>
            <w:vAlign w:val="center"/>
          </w:tcPr>
          <w:p>
            <w:pPr>
              <w:spacing w:after="40" w:before="40" w:line="240"/>
            </w:pPr>
            <w:r>
              <w:rPr>
                <w:b/>
                <w:bCs/>
                <w:color w:val="0E9888"/>
                <w:sz w:val="19"/>
                <w:szCs w:val="19"/>
              </w:rPr>
              <w:t xml:space="preserve">≈ +650 €/mois</w:t>
            </w:r>
          </w:p>
        </w:tc>
      </w:tr>
      <w:tr>
        <w:tc>
          <w:tcPr>
            <w:tcW w:type="dxa" w:w="1895"/>
            <w:tcMar>
              <w:top w:type="dxa" w:w="60"/>
              <w:left w:type="dxa" w:w="110"/>
              <w:bottom w:type="dxa" w:w="60"/>
              <w:right w:type="dxa" w:w="110"/>
            </w:tcMar>
            <w:vAlign w:val="center"/>
          </w:tcPr>
          <w:p>
            <w:pPr>
              <w:spacing w:after="40" w:before="40" w:line="240"/>
            </w:pPr>
            <w:r>
              <w:rPr>
                <w:b w:val="false"/>
                <w:bCs w:val="false"/>
                <w:sz w:val="19"/>
                <w:szCs w:val="19"/>
              </w:rPr>
              <w:t xml:space="preserve">Ambitieux</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25 000</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4 %</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1 000 abonnés · 5 310 €</w:t>
            </w:r>
          </w:p>
        </w:tc>
        <w:tc>
          <w:tcPr>
            <w:tcW w:type="dxa" w:w="1715"/>
            <w:tcMar>
              <w:top w:type="dxa" w:w="60"/>
              <w:left w:type="dxa" w:w="110"/>
              <w:bottom w:type="dxa" w:w="60"/>
              <w:right w:type="dxa" w:w="110"/>
            </w:tcMar>
            <w:vAlign w:val="center"/>
          </w:tcPr>
          <w:p>
            <w:pPr>
              <w:spacing w:after="40" w:before="40" w:line="240"/>
            </w:pPr>
            <w:r>
              <w:rPr>
                <w:b w:val="false"/>
                <w:bCs w:val="false"/>
                <w:color w:val="0E9888"/>
                <w:sz w:val="19"/>
                <w:szCs w:val="19"/>
              </w:rPr>
              <w:t xml:space="preserve">≈ +3 600 €/mois</w:t>
            </w:r>
          </w:p>
        </w:tc>
      </w:tr>
    </w:tbl>
    <w:p>
      <w:pPr>
        <w:spacing w:after="140" w:before="0" w:line="276"/>
      </w:pPr>
      <w:r>
        <w:rPr>
          <w:b/>
          <w:bCs/>
          <w:i w:val="false"/>
          <w:iCs w:val="false"/>
        </w:rPr>
        <w:t xml:space="preserve">Lecture honnête : </w:t>
      </w:r>
      <w:r>
        <w:rPr>
          <w:b w:val="false"/>
          <w:bCs w:val="false"/>
          <w:i w:val="false"/>
          <w:iCs w:val="false"/>
        </w:rPr>
        <w:t xml:space="preserve">même le scénario pessimiste est financièrement indolore (burn &lt; 100 €/mois) ; il serait en revanche un signal produit/canal exigeant un pivot de distribution. Le scénario réaliste couvre tous les coûts et dégage ~650 €/mois ; l'ambitieux approche 43 K€/an nets, de quoi financer la phase mobile sans levée. Les taux (2-5 % de conversion payante) sont alignés sur les benchmarks freemium consumer, et l'essai avec CB convertit à 50-60 % selon les données du marché.</w:t>
      </w:r>
    </w:p>
    <w:p>
      <w:pPr>
        <w:pStyle w:val="Heading2"/>
        <w:spacing w:after="120" w:before="260"/>
      </w:pPr>
      <w:r>
        <w:t xml:space="preserve">7.4 Risques financiers et parades</w:t>
      </w:r>
    </w:p>
    <w:p>
      <w:pPr>
        <w:pStyle w:val="ListParagraph"/>
        <w:numPr>
          <w:ilvl w:val="0"/>
          <w:numId w:val="2"/>
        </w:numPr>
        <w:spacing w:after="80" w:line="264"/>
      </w:pPr>
      <w:r>
        <w:rPr>
          <w:b/>
          <w:bCs/>
          <w:i w:val="false"/>
          <w:iCs w:val="false"/>
        </w:rPr>
        <w:t xml:space="preserve">Saisonnalité : </w:t>
      </w:r>
      <w:r>
        <w:rPr>
          <w:b w:val="false"/>
          <w:bCs w:val="false"/>
          <w:i w:val="false"/>
          <w:iCs w:val="false"/>
        </w:rPr>
        <w:t xml:space="preserve">creux de MRR attendu de novembre à février. Parade : pousser l'annuel (pré-sélection), défis et saisons hivernales (sar, calamar hors périmètre v1 mais contenu possible), récaps annuels type « rétrospective de ta saison ».</w:t>
      </w:r>
    </w:p>
    <w:p>
      <w:pPr>
        <w:pStyle w:val="ListParagraph"/>
        <w:numPr>
          <w:ilvl w:val="0"/>
          <w:numId w:val="2"/>
        </w:numPr>
        <w:spacing w:after="80" w:line="264"/>
      </w:pPr>
      <w:r>
        <w:rPr>
          <w:b/>
          <w:bCs/>
          <w:i w:val="false"/>
          <w:iCs w:val="false"/>
        </w:rPr>
        <w:t xml:space="preserve">Dépendance aux free tiers : </w:t>
      </w:r>
      <w:r>
        <w:rPr>
          <w:b w:val="false"/>
          <w:bCs w:val="false"/>
          <w:i w:val="false"/>
          <w:iCs w:val="false"/>
        </w:rPr>
        <w:t xml:space="preserve">un changement de politique (Open-Meteo, MapTiler) peut multiplier les coûts par 2 ou 3. Parade : le point mort resterait sous 200 abonnés ; plans B identifiés (SHOM, tuiles auto-hébergées).</w:t>
      </w:r>
    </w:p>
    <w:p>
      <w:pPr>
        <w:pStyle w:val="ListParagraph"/>
        <w:numPr>
          <w:ilvl w:val="0"/>
          <w:numId w:val="2"/>
        </w:numPr>
        <w:spacing w:after="80" w:line="264"/>
      </w:pPr>
      <w:r>
        <w:rPr>
          <w:b/>
          <w:bCs/>
          <w:i w:val="false"/>
          <w:iCs w:val="false"/>
        </w:rPr>
        <w:t xml:space="preserve">Garantie remboursé : </w:t>
      </w:r>
      <w:r>
        <w:rPr>
          <w:b w:val="false"/>
          <w:bCs w:val="false"/>
          <w:i w:val="false"/>
          <w:iCs w:val="false"/>
        </w:rPr>
        <w:t xml:space="preserve">provisionner mentalement ~5 % de remboursements les premiers mois ; c'est le prix de la réassurance à la conversion.</w:t>
      </w:r>
    </w:p>
    <w:p>
      <w:pPr>
        <w:pStyle w:val="ListParagraph"/>
        <w:numPr>
          <w:ilvl w:val="0"/>
          <w:numId w:val="2"/>
        </w:numPr>
        <w:spacing w:after="80" w:line="264"/>
      </w:pPr>
      <w:r>
        <w:rPr>
          <w:b/>
          <w:bCs/>
          <w:i w:val="false"/>
          <w:iCs w:val="false"/>
        </w:rPr>
        <w:t xml:space="preserve">Coût d'opportunité fondateurs : </w:t>
      </w:r>
      <w:r>
        <w:rPr>
          <w:b w:val="false"/>
          <w:bCs w:val="false"/>
          <w:i w:val="false"/>
          <w:iCs w:val="false"/>
        </w:rPr>
        <w:t xml:space="preserve">le vrai poste de dépense du projet est ton temps et celui de César. La discipline d'allocation (§5) est une décision financière autant que produit.</w:t>
      </w:r>
    </w:p>
    <w:p>
      <w:r>
        <w:br w:type="page"/>
      </w:r>
    </w:p>
    <w:p>
      <w:pPr>
        <w:pStyle w:val="Heading1"/>
        <w:spacing w:after="160" w:before="320"/>
      </w:pPr>
      <w:r>
        <w:t xml:space="preserve">8. Tunnel marketing</w:t>
      </w:r>
    </w:p>
    <w:p>
      <w:pPr>
        <w:spacing w:after="140" w:before="0" w:line="276"/>
      </w:pPr>
      <w:r>
        <w:t xml:space="preserve">Le tunnel est piloté avec le cadre AARRR, décliné ensuite en contenus TOFU/MOFU/BOFU. Chaque étape a une métrique cible et un statut d'instrumentation : la règle est qu'aucune étape ne reste sans thermomètre après le sprint 70.</w:t>
      </w:r>
    </w:p>
    <w:p>
      <w:pPr>
        <w:spacing w:after="160" w:before="12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14625"/>
                    </a:xfrm>
                    <a:prstGeom prst="rect">
                      <a:avLst/>
                    </a:prstGeom>
                  </pic:spPr>
                </pic:pic>
              </a:graphicData>
            </a:graphic>
          </wp:inline>
        </w:drawing>
      </w:r>
    </w:p>
    <w:p>
      <w:pPr>
        <w:spacing w:after="200" w:before="0" w:line="276"/>
        <w:jc w:val="center"/>
      </w:pPr>
      <w:r>
        <w:rPr>
          <w:b w:val="false"/>
          <w:bCs w:val="false"/>
          <w:i/>
          <w:iCs/>
          <w:color w:val="5E6E77"/>
          <w:sz w:val="18"/>
          <w:szCs w:val="18"/>
        </w:rPr>
        <w:t xml:space="preserve">Figure 3 : tunnel mensuel type en régime établi (hypothèses du scénario réaliste).</w:t>
      </w:r>
    </w:p>
    <w:p>
      <w:pPr>
        <w:pStyle w:val="Heading2"/>
        <w:spacing w:after="120" w:before="260"/>
      </w:pPr>
      <w:r>
        <w:t xml:space="preserve">8.1 Cadre AARRR : métriques et leviers</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264"/>
        <w:gridCol w:w="2166"/>
        <w:gridCol w:w="1444"/>
        <w:gridCol w:w="2618"/>
        <w:gridCol w:w="1534"/>
      </w:tblGrid>
      <w:tr>
        <w:trPr>
          <w:tblHeader/>
        </w:trPr>
        <w:tc>
          <w:tcPr>
            <w:tcW w:type="dxa" w:w="126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Étape</w:t>
            </w:r>
          </w:p>
        </w:tc>
        <w:tc>
          <w:tcPr>
            <w:tcW w:type="dxa" w:w="2166"/>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Définition</w:t>
            </w:r>
          </w:p>
        </w:tc>
        <w:tc>
          <w:tcPr>
            <w:tcW w:type="dxa" w:w="144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Cible</w:t>
            </w:r>
          </w:p>
        </w:tc>
        <w:tc>
          <w:tcPr>
            <w:tcW w:type="dxa" w:w="2618"/>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Levier principal</w:t>
            </w:r>
          </w:p>
        </w:tc>
        <w:tc>
          <w:tcPr>
            <w:tcW w:type="dxa" w:w="153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Instrumentation</w:t>
            </w:r>
          </w:p>
        </w:tc>
      </w:tr>
      <w:tr>
        <w:tc>
          <w:tcPr>
            <w:tcW w:type="dxa" w:w="1264"/>
            <w:tcMar>
              <w:top w:type="dxa" w:w="60"/>
              <w:left w:type="dxa" w:w="110"/>
              <w:bottom w:type="dxa" w:w="60"/>
              <w:right w:type="dxa" w:w="110"/>
            </w:tcMar>
            <w:vAlign w:val="center"/>
          </w:tcPr>
          <w:p>
            <w:pPr>
              <w:spacing w:after="40" w:before="40" w:line="240"/>
            </w:pPr>
            <w:r>
              <w:rPr>
                <w:b w:val="false"/>
                <w:bCs w:val="false"/>
                <w:sz w:val="19"/>
                <w:szCs w:val="19"/>
              </w:rPr>
              <w:t xml:space="preserve">Awareness</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Impressions SEO + vues vidéos + reach groupes FB</w:t>
            </w:r>
          </w:p>
        </w:tc>
        <w:tc>
          <w:tcPr>
            <w:tcW w:type="dxa" w:w="1444"/>
            <w:tcMar>
              <w:top w:type="dxa" w:w="60"/>
              <w:left w:type="dxa" w:w="110"/>
              <w:bottom w:type="dxa" w:w="60"/>
              <w:right w:type="dxa" w:w="110"/>
            </w:tcMar>
            <w:vAlign w:val="center"/>
          </w:tcPr>
          <w:p>
            <w:pPr>
              <w:spacing w:after="40" w:before="40" w:line="240"/>
            </w:pPr>
            <w:r>
              <w:rPr>
                <w:b w:val="false"/>
                <w:bCs w:val="false"/>
                <w:sz w:val="19"/>
                <w:szCs w:val="19"/>
              </w:rPr>
              <w:t xml:space="preserve">10 K visites/mois à M12</w:t>
            </w:r>
          </w:p>
        </w:tc>
        <w:tc>
          <w:tcPr>
            <w:tcW w:type="dxa" w:w="2618"/>
            <w:tcMar>
              <w:top w:type="dxa" w:w="60"/>
              <w:left w:type="dxa" w:w="110"/>
              <w:bottom w:type="dxa" w:w="60"/>
              <w:right w:type="dxa" w:w="110"/>
            </w:tcMar>
            <w:vAlign w:val="center"/>
          </w:tcPr>
          <w:p>
            <w:pPr>
              <w:spacing w:after="40" w:before="40" w:line="240"/>
            </w:pPr>
            <w:r>
              <w:rPr>
                <w:b w:val="false"/>
                <w:bCs w:val="false"/>
                <w:sz w:val="19"/>
                <w:szCs w:val="19"/>
              </w:rPr>
              <w:t xml:space="preserve">SEO programmatique (1 158 pages), 3 vidéos courtes/semaine, présence groupes locaux</w:t>
            </w:r>
          </w:p>
        </w:tc>
        <w:tc>
          <w:tcPr>
            <w:tcW w:type="dxa" w:w="1534"/>
            <w:tcMar>
              <w:top w:type="dxa" w:w="60"/>
              <w:left w:type="dxa" w:w="110"/>
              <w:bottom w:type="dxa" w:w="60"/>
              <w:right w:type="dxa" w:w="110"/>
            </w:tcMar>
            <w:vAlign w:val="center"/>
          </w:tcPr>
          <w:p>
            <w:pPr>
              <w:spacing w:after="40" w:before="40" w:line="240"/>
            </w:pPr>
            <w:r>
              <w:rPr>
                <w:b w:val="false"/>
                <w:bCs w:val="false"/>
                <w:color w:val="0E9888"/>
                <w:sz w:val="19"/>
                <w:szCs w:val="19"/>
              </w:rPr>
              <w:t xml:space="preserve">Search Console + PostHog : OK</w:t>
            </w:r>
          </w:p>
        </w:tc>
      </w:tr>
      <w:tr>
        <w:tc>
          <w:tcPr>
            <w:tcW w:type="dxa" w:w="126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Acquisition</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Visiteur → compte créé</w:t>
            </w:r>
          </w:p>
        </w:tc>
        <w:tc>
          <w:tcPr>
            <w:tcW w:type="dxa" w:w="144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3-5 %</w:t>
            </w:r>
          </w:p>
        </w:tc>
        <w:tc>
          <w:tcPr>
            <w:tcW w:type="dxa" w:w="261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Landing honnête, CTA « ton carnet gratuit », preuve sociale fondateurs</w:t>
            </w:r>
          </w:p>
        </w:tc>
        <w:tc>
          <w:tcPr>
            <w:tcW w:type="dxa" w:w="1534"/>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Event signup manquant : fix S70</w:t>
            </w:r>
          </w:p>
        </w:tc>
      </w:tr>
      <w:tr>
        <w:tc>
          <w:tcPr>
            <w:tcW w:type="dxa" w:w="1264"/>
            <w:tcMar>
              <w:top w:type="dxa" w:w="60"/>
              <w:left w:type="dxa" w:w="110"/>
              <w:bottom w:type="dxa" w:w="60"/>
              <w:right w:type="dxa" w:w="110"/>
            </w:tcMar>
            <w:vAlign w:val="center"/>
          </w:tcPr>
          <w:p>
            <w:pPr>
              <w:spacing w:after="40" w:before="40" w:line="240"/>
            </w:pPr>
            <w:r>
              <w:rPr>
                <w:b w:val="false"/>
                <w:bCs w:val="false"/>
                <w:sz w:val="19"/>
                <w:szCs w:val="19"/>
              </w:rPr>
              <w:t xml:space="preserve">Activation</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Inscrit → 1re prise loguée ≤ 7 jours</w:t>
            </w:r>
          </w:p>
        </w:tc>
        <w:tc>
          <w:tcPr>
            <w:tcW w:type="dxa" w:w="1444"/>
            <w:tcMar>
              <w:top w:type="dxa" w:w="60"/>
              <w:left w:type="dxa" w:w="110"/>
              <w:bottom w:type="dxa" w:w="60"/>
              <w:right w:type="dxa" w:w="110"/>
            </w:tcMar>
            <w:vAlign w:val="center"/>
          </w:tcPr>
          <w:p>
            <w:pPr>
              <w:spacing w:after="40" w:before="40" w:line="240"/>
            </w:pPr>
            <w:r>
              <w:rPr>
                <w:b w:val="false"/>
                <w:bCs w:val="false"/>
                <w:sz w:val="19"/>
                <w:szCs w:val="19"/>
              </w:rPr>
              <w:t xml:space="preserve">≥ 40 %</w:t>
            </w:r>
          </w:p>
        </w:tc>
        <w:tc>
          <w:tcPr>
            <w:tcW w:type="dxa" w:w="2618"/>
            <w:tcMar>
              <w:top w:type="dxa" w:w="60"/>
              <w:left w:type="dxa" w:w="110"/>
              <w:bottom w:type="dxa" w:w="60"/>
              <w:right w:type="dxa" w:w="110"/>
            </w:tcMar>
            <w:vAlign w:val="center"/>
          </w:tcPr>
          <w:p>
            <w:pPr>
              <w:spacing w:after="40" w:before="40" w:line="240"/>
            </w:pPr>
            <w:r>
              <w:rPr>
                <w:b w:val="false"/>
                <w:bCs w:val="false"/>
                <w:sz w:val="19"/>
                <w:szCs w:val="19"/>
              </w:rPr>
              <w:t xml:space="preserve">Valeur à froid immédiate (fenêtre du jour), log guidé première prise, notification J+1 si carnet vide</w:t>
            </w:r>
          </w:p>
        </w:tc>
        <w:tc>
          <w:tcPr>
            <w:tcW w:type="dxa" w:w="1534"/>
            <w:tcMar>
              <w:top w:type="dxa" w:w="60"/>
              <w:left w:type="dxa" w:w="110"/>
              <w:bottom w:type="dxa" w:w="60"/>
              <w:right w:type="dxa" w:w="110"/>
            </w:tcMar>
            <w:vAlign w:val="center"/>
          </w:tcPr>
          <w:p>
            <w:pPr>
              <w:spacing w:after="40" w:before="40" w:line="240"/>
            </w:pPr>
            <w:r>
              <w:rPr>
                <w:b w:val="false"/>
                <w:bCs w:val="false"/>
                <w:color w:val="C94A3B"/>
                <w:sz w:val="19"/>
                <w:szCs w:val="19"/>
              </w:rPr>
              <w:t xml:space="preserve">À instrumenter</w:t>
            </w:r>
          </w:p>
        </w:tc>
      </w:tr>
      <w:tr>
        <w:tc>
          <w:tcPr>
            <w:tcW w:type="dxa" w:w="126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Rétention</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Actif semaine 4</w:t>
            </w:r>
          </w:p>
        </w:tc>
        <w:tc>
          <w:tcPr>
            <w:tcW w:type="dxa" w:w="144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20-30 %</w:t>
            </w:r>
          </w:p>
        </w:tc>
        <w:tc>
          <w:tcPr>
            <w:tcW w:type="dxa" w:w="261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Alertes fenêtres optimales, récap hebdo, streaks, défis, classements départementaux</w:t>
            </w:r>
          </w:p>
        </w:tc>
        <w:tc>
          <w:tcPr>
            <w:tcW w:type="dxa" w:w="1534"/>
            <w:shd w:fill="F6F1E6" w:val="clear"/>
            <w:tcMar>
              <w:top w:type="dxa" w:w="60"/>
              <w:left w:type="dxa" w:w="110"/>
              <w:bottom w:type="dxa" w:w="60"/>
              <w:right w:type="dxa" w:w="110"/>
            </w:tcMar>
            <w:vAlign w:val="center"/>
          </w:tcPr>
          <w:p>
            <w:pPr>
              <w:spacing w:after="40" w:before="40" w:line="240"/>
            </w:pPr>
            <w:r>
              <w:rPr>
                <w:b w:val="false"/>
                <w:bCs w:val="false"/>
                <w:color w:val="B8842A"/>
                <w:sz w:val="19"/>
                <w:szCs w:val="19"/>
              </w:rPr>
              <w:t xml:space="preserve">Partiel (PostHog)</w:t>
            </w:r>
          </w:p>
        </w:tc>
      </w:tr>
      <w:tr>
        <w:tc>
          <w:tcPr>
            <w:tcW w:type="dxa" w:w="1264"/>
            <w:tcMar>
              <w:top w:type="dxa" w:w="60"/>
              <w:left w:type="dxa" w:w="110"/>
              <w:bottom w:type="dxa" w:w="60"/>
              <w:right w:type="dxa" w:w="110"/>
            </w:tcMar>
            <w:vAlign w:val="center"/>
          </w:tcPr>
          <w:p>
            <w:pPr>
              <w:spacing w:after="40" w:before="40" w:line="240"/>
            </w:pPr>
            <w:r>
              <w:rPr>
                <w:b w:val="false"/>
                <w:bCs w:val="false"/>
                <w:sz w:val="19"/>
                <w:szCs w:val="19"/>
              </w:rPr>
              <w:t xml:space="preserve">Revenue</w:t>
            </w:r>
          </w:p>
        </w:tc>
        <w:tc>
          <w:tcPr>
            <w:tcW w:type="dxa" w:w="2166"/>
            <w:tcMar>
              <w:top w:type="dxa" w:w="60"/>
              <w:left w:type="dxa" w:w="110"/>
              <w:bottom w:type="dxa" w:w="60"/>
              <w:right w:type="dxa" w:w="110"/>
            </w:tcMar>
            <w:vAlign w:val="center"/>
          </w:tcPr>
          <w:p>
            <w:pPr>
              <w:spacing w:after="40" w:before="40" w:line="240"/>
            </w:pPr>
            <w:r>
              <w:rPr>
                <w:b w:val="false"/>
                <w:bCs w:val="false"/>
                <w:sz w:val="19"/>
                <w:szCs w:val="19"/>
              </w:rPr>
              <w:t xml:space="preserve">Actif → abonné payant</w:t>
            </w:r>
          </w:p>
        </w:tc>
        <w:tc>
          <w:tcPr>
            <w:tcW w:type="dxa" w:w="1444"/>
            <w:tcMar>
              <w:top w:type="dxa" w:w="60"/>
              <w:left w:type="dxa" w:w="110"/>
              <w:bottom w:type="dxa" w:w="60"/>
              <w:right w:type="dxa" w:w="110"/>
            </w:tcMar>
            <w:vAlign w:val="center"/>
          </w:tcPr>
          <w:p>
            <w:pPr>
              <w:spacing w:after="40" w:before="40" w:line="240"/>
            </w:pPr>
            <w:r>
              <w:rPr>
                <w:b w:val="false"/>
                <w:bCs w:val="false"/>
                <w:sz w:val="19"/>
                <w:szCs w:val="19"/>
              </w:rPr>
              <w:t xml:space="preserve">2-5 % · essai→payant 50-60 %</w:t>
            </w:r>
          </w:p>
        </w:tc>
        <w:tc>
          <w:tcPr>
            <w:tcW w:type="dxa" w:w="2618"/>
            <w:tcMar>
              <w:top w:type="dxa" w:w="60"/>
              <w:left w:type="dxa" w:w="110"/>
              <w:bottom w:type="dxa" w:w="60"/>
              <w:right w:type="dxa" w:w="110"/>
            </w:tcMar>
            <w:vAlign w:val="center"/>
          </w:tcPr>
          <w:p>
            <w:pPr>
              <w:spacing w:after="40" w:before="40" w:line="240"/>
            </w:pPr>
            <w:r>
              <w:rPr>
                <w:b w:val="false"/>
                <w:bCs w:val="false"/>
                <w:sz w:val="19"/>
                <w:szCs w:val="19"/>
              </w:rPr>
              <w:t xml:space="preserve">Paywall contextuel (spot flouté, alerte port), essai 7 j, annuel pré-sélectionné</w:t>
            </w:r>
          </w:p>
        </w:tc>
        <w:tc>
          <w:tcPr>
            <w:tcW w:type="dxa" w:w="1534"/>
            <w:tcMar>
              <w:top w:type="dxa" w:w="60"/>
              <w:left w:type="dxa" w:w="110"/>
              <w:bottom w:type="dxa" w:w="60"/>
              <w:right w:type="dxa" w:w="110"/>
            </w:tcMar>
            <w:vAlign w:val="center"/>
          </w:tcPr>
          <w:p>
            <w:pPr>
              <w:spacing w:after="40" w:before="40" w:line="240"/>
            </w:pPr>
            <w:r>
              <w:rPr>
                <w:b w:val="false"/>
                <w:bCs w:val="false"/>
                <w:color w:val="B8842A"/>
                <w:sz w:val="19"/>
                <w:szCs w:val="19"/>
              </w:rPr>
              <w:t xml:space="preserve">Stripe OK, funnel à relier</w:t>
            </w:r>
          </w:p>
        </w:tc>
      </w:tr>
      <w:tr>
        <w:tc>
          <w:tcPr>
            <w:tcW w:type="dxa" w:w="126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Referral</w:t>
            </w:r>
          </w:p>
        </w:tc>
        <w:tc>
          <w:tcPr>
            <w:tcW w:type="dxa" w:w="2166"/>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Parrainages + partages de prises</w:t>
            </w:r>
          </w:p>
        </w:tc>
        <w:tc>
          <w:tcPr>
            <w:tcW w:type="dxa" w:w="144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K ≥ 0,2</w:t>
            </w:r>
          </w:p>
        </w:tc>
        <w:tc>
          <w:tcPr>
            <w:tcW w:type="dxa" w:w="2618"/>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Codes fondateurs, programme parrain/filleul (+1 mois offert chacun), partage OG de prise</w:t>
            </w:r>
          </w:p>
        </w:tc>
        <w:tc>
          <w:tcPr>
            <w:tcW w:type="dxa" w:w="1534"/>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À construire</w:t>
            </w:r>
          </w:p>
        </w:tc>
      </w:tr>
    </w:tbl>
    <w:p>
      <w:pPr>
        <w:pStyle w:val="Heading2"/>
        <w:spacing w:after="120" w:before="260"/>
      </w:pPr>
      <w:r>
        <w:t xml:space="preserve">8.2 Contenus par étage (TOFU / MOFU / BOFU)</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264"/>
        <w:gridCol w:w="3610"/>
        <w:gridCol w:w="2347"/>
        <w:gridCol w:w="1805"/>
      </w:tblGrid>
      <w:tr>
        <w:trPr>
          <w:tblHeader/>
        </w:trPr>
        <w:tc>
          <w:tcPr>
            <w:tcW w:type="dxa" w:w="126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Étage</w:t>
            </w:r>
          </w:p>
        </w:tc>
        <w:tc>
          <w:tcPr>
            <w:tcW w:type="dxa" w:w="3610"/>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Contenus</w:t>
            </w:r>
          </w:p>
        </w:tc>
        <w:tc>
          <w:tcPr>
            <w:tcW w:type="dxa" w:w="2347"/>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Canal</w:t>
            </w:r>
          </w:p>
        </w:tc>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CTA</w:t>
            </w:r>
          </w:p>
        </w:tc>
      </w:tr>
      <w:tr>
        <w:tc>
          <w:tcPr>
            <w:tcW w:type="dxa" w:w="1264"/>
            <w:tcMar>
              <w:top w:type="dxa" w:w="60"/>
              <w:left w:type="dxa" w:w="110"/>
              <w:bottom w:type="dxa" w:w="60"/>
              <w:right w:type="dxa" w:w="110"/>
            </w:tcMar>
            <w:vAlign w:val="center"/>
          </w:tcPr>
          <w:p>
            <w:pPr>
              <w:spacing w:after="40" w:before="40" w:line="240"/>
            </w:pPr>
            <w:r>
              <w:rPr>
                <w:b w:val="false"/>
                <w:bCs w:val="false"/>
                <w:sz w:val="19"/>
                <w:szCs w:val="19"/>
              </w:rPr>
              <w:t xml:space="preserve">TOFU (découverte)</w:t>
            </w:r>
          </w:p>
        </w:tc>
        <w:tc>
          <w:tcPr>
            <w:tcW w:type="dxa" w:w="3610"/>
            <w:tcMar>
              <w:top w:type="dxa" w:w="60"/>
              <w:left w:type="dxa" w:w="110"/>
              <w:bottom w:type="dxa" w:w="60"/>
              <w:right w:type="dxa" w:w="110"/>
            </w:tcMar>
            <w:vAlign w:val="center"/>
          </w:tcPr>
          <w:p>
            <w:pPr>
              <w:spacing w:after="40" w:before="40" w:line="240"/>
            </w:pPr>
            <w:r>
              <w:rPr>
                <w:b w:val="false"/>
                <w:bCs w:val="false"/>
                <w:sz w:val="19"/>
                <w:szCs w:val="19"/>
              </w:rPr>
              <w:t xml:space="preserve">Vidéos courtes (coefficients, marées, « pourquoi tu bredouilles »), fiches espèces, guides « où pêcher à X »</w:t>
            </w:r>
          </w:p>
        </w:tc>
        <w:tc>
          <w:tcPr>
            <w:tcW w:type="dxa" w:w="2347"/>
            <w:tcMar>
              <w:top w:type="dxa" w:w="60"/>
              <w:left w:type="dxa" w:w="110"/>
              <w:bottom w:type="dxa" w:w="60"/>
              <w:right w:type="dxa" w:w="110"/>
            </w:tcMar>
            <w:vAlign w:val="center"/>
          </w:tcPr>
          <w:p>
            <w:pPr>
              <w:spacing w:after="40" w:before="40" w:line="240"/>
            </w:pPr>
            <w:r>
              <w:rPr>
                <w:b w:val="false"/>
                <w:bCs w:val="false"/>
                <w:sz w:val="19"/>
                <w:szCs w:val="19"/>
              </w:rPr>
              <w:t xml:space="preserve">TikTok/Reels/Shorts, SEO</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Consulter une fiche spot ou espèce (gratuit, sans compte)</w:t>
            </w:r>
          </w:p>
        </w:tc>
      </w:tr>
      <w:tr>
        <w:tc>
          <w:tcPr>
            <w:tcW w:type="dxa" w:w="126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MOFU (considération)</w:t>
            </w:r>
          </w:p>
        </w:tc>
        <w:tc>
          <w:tcPr>
            <w:tcW w:type="dxa" w:w="3610"/>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Pages spots avec marée/météo du port, newsletter « ta fenêtre du week-end », comparatif honnête vs alternatives</w:t>
            </w:r>
          </w:p>
        </w:tc>
        <w:tc>
          <w:tcPr>
            <w:tcW w:type="dxa" w:w="234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SEO, email, retargeting organique (posts)</w:t>
            </w:r>
          </w:p>
        </w:tc>
        <w:tc>
          <w:tcPr>
            <w:tcW w:type="dxa" w:w="1805"/>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Créer un compte gratuit + loguer sa 1re prise</w:t>
            </w:r>
          </w:p>
        </w:tc>
      </w:tr>
      <w:tr>
        <w:tc>
          <w:tcPr>
            <w:tcW w:type="dxa" w:w="1264"/>
            <w:tcMar>
              <w:top w:type="dxa" w:w="60"/>
              <w:left w:type="dxa" w:w="110"/>
              <w:bottom w:type="dxa" w:w="60"/>
              <w:right w:type="dxa" w:w="110"/>
            </w:tcMar>
            <w:vAlign w:val="center"/>
          </w:tcPr>
          <w:p>
            <w:pPr>
              <w:spacing w:after="40" w:before="40" w:line="240"/>
            </w:pPr>
            <w:r>
              <w:rPr>
                <w:b w:val="false"/>
                <w:bCs w:val="false"/>
                <w:sz w:val="19"/>
                <w:szCs w:val="19"/>
              </w:rPr>
              <w:t xml:space="preserve">BOFU (décision)</w:t>
            </w:r>
          </w:p>
        </w:tc>
        <w:tc>
          <w:tcPr>
            <w:tcW w:type="dxa" w:w="3610"/>
            <w:tcMar>
              <w:top w:type="dxa" w:w="60"/>
              <w:left w:type="dxa" w:w="110"/>
              <w:bottom w:type="dxa" w:w="60"/>
              <w:right w:type="dxa" w:w="110"/>
            </w:tcMar>
            <w:vAlign w:val="center"/>
          </w:tcPr>
          <w:p>
            <w:pPr>
              <w:spacing w:after="40" w:before="40" w:line="240"/>
            </w:pPr>
            <w:r>
              <w:rPr>
                <w:b w:val="false"/>
                <w:bCs w:val="false"/>
                <w:sz w:val="19"/>
                <w:szCs w:val="19"/>
              </w:rPr>
              <w:t xml:space="preserve">Alertes par port, démonstration du scoring perso sur SES prises, témoignages fondateurs réels, garantie remboursé</w:t>
            </w:r>
          </w:p>
        </w:tc>
        <w:tc>
          <w:tcPr>
            <w:tcW w:type="dxa" w:w="2347"/>
            <w:tcMar>
              <w:top w:type="dxa" w:w="60"/>
              <w:left w:type="dxa" w:w="110"/>
              <w:bottom w:type="dxa" w:w="60"/>
              <w:right w:type="dxa" w:w="110"/>
            </w:tcMar>
            <w:vAlign w:val="center"/>
          </w:tcPr>
          <w:p>
            <w:pPr>
              <w:spacing w:after="40" w:before="40" w:line="240"/>
            </w:pPr>
            <w:r>
              <w:rPr>
                <w:b w:val="false"/>
                <w:bCs w:val="false"/>
                <w:sz w:val="19"/>
                <w:szCs w:val="19"/>
              </w:rPr>
              <w:t xml:space="preserve">In-app, email</w:t>
            </w:r>
          </w:p>
        </w:tc>
        <w:tc>
          <w:tcPr>
            <w:tcW w:type="dxa" w:w="1805"/>
            <w:tcMar>
              <w:top w:type="dxa" w:w="60"/>
              <w:left w:type="dxa" w:w="110"/>
              <w:bottom w:type="dxa" w:w="60"/>
              <w:right w:type="dxa" w:w="110"/>
            </w:tcMar>
            <w:vAlign w:val="center"/>
          </w:tcPr>
          <w:p>
            <w:pPr>
              <w:spacing w:after="40" w:before="40" w:line="240"/>
            </w:pPr>
            <w:r>
              <w:rPr>
                <w:b w:val="false"/>
                <w:bCs w:val="false"/>
                <w:sz w:val="19"/>
                <w:szCs w:val="19"/>
              </w:rPr>
              <w:t xml:space="preserve">Essai 7 jours → Local (annuel pré-sélectionné)</w:t>
            </w:r>
          </w:p>
        </w:tc>
      </w:tr>
    </w:tbl>
    <w:p>
      <w:pPr>
        <w:spacing w:after="140" w:before="100" w:line="276"/>
      </w:pPr>
      <w:r>
        <w:rPr>
          <w:b/>
          <w:bCs/>
          <w:i w:val="false"/>
          <w:iCs w:val="false"/>
        </w:rPr>
        <w:t xml:space="preserve">Principe directeur : </w:t>
      </w:r>
      <w:r>
        <w:rPr>
          <w:b w:val="false"/>
          <w:bCs w:val="false"/>
          <w:i w:val="false"/>
          <w:iCs w:val="false"/>
        </w:rPr>
        <w:t xml:space="preserve">le gratuit (carnet, social, fiches) fait le marketing ; le payant (précision, alertes, multi-départements) fait le revenu. Ne jamais paywaller un contenu d'acquisition.</w:t>
      </w:r>
    </w:p>
    <w:p>
      <w:r>
        <w:br w:type="page"/>
      </w:r>
    </w:p>
    <w:p>
      <w:pPr>
        <w:pStyle w:val="Heading1"/>
        <w:spacing w:after="160" w:before="320"/>
      </w:pPr>
      <w:r>
        <w:t xml:space="preserve">9. Tunnel de vente</w:t>
      </w:r>
    </w:p>
    <w:p>
      <w:pPr>
        <w:spacing w:after="140" w:before="0" w:line="276"/>
      </w:pPr>
      <w:r>
        <w:t xml:space="preserve">Parcours complet du visiteur à l'abonné fidèle, avec les frictions identifiées et leur correctif. Les taux cibles sont ceux du tunnel type (figure 3).</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805"/>
        <w:gridCol w:w="2347"/>
        <w:gridCol w:w="2437"/>
        <w:gridCol w:w="2437"/>
      </w:tblGrid>
      <w:tr>
        <w:trPr>
          <w:tblHeader/>
        </w:trPr>
        <w:tc>
          <w:tcPr>
            <w:tcW w:type="dxa" w:w="1805"/>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Étape</w:t>
            </w:r>
          </w:p>
        </w:tc>
        <w:tc>
          <w:tcPr>
            <w:tcW w:type="dxa" w:w="2347"/>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Objectif</w:t>
            </w:r>
          </w:p>
        </w:tc>
        <w:tc>
          <w:tcPr>
            <w:tcW w:type="dxa" w:w="2437"/>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Friction actuelle</w:t>
            </w:r>
          </w:p>
        </w:tc>
        <w:tc>
          <w:tcPr>
            <w:tcW w:type="dxa" w:w="2437"/>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Correctif</w:t>
            </w:r>
          </w:p>
        </w:tc>
      </w:tr>
      <w:tr>
        <w:tc>
          <w:tcPr>
            <w:tcW w:type="dxa" w:w="1805"/>
            <w:tcMar>
              <w:top w:type="dxa" w:w="60"/>
              <w:left w:type="dxa" w:w="110"/>
              <w:bottom w:type="dxa" w:w="60"/>
              <w:right w:type="dxa" w:w="110"/>
            </w:tcMar>
            <w:vAlign w:val="center"/>
          </w:tcPr>
          <w:p>
            <w:pPr>
              <w:spacing w:after="40" w:before="40" w:line="240"/>
            </w:pPr>
            <w:r>
              <w:rPr>
                <w:b/>
                <w:bCs/>
                <w:sz w:val="19"/>
                <w:szCs w:val="19"/>
              </w:rPr>
              <w:t xml:space="preserve">1. Landing / page spot (SEO)</w:t>
            </w:r>
          </w:p>
        </w:tc>
        <w:tc>
          <w:tcPr>
            <w:tcW w:type="dxa" w:w="2347"/>
            <w:tcMar>
              <w:top w:type="dxa" w:w="60"/>
              <w:left w:type="dxa" w:w="110"/>
              <w:bottom w:type="dxa" w:w="60"/>
              <w:right w:type="dxa" w:w="110"/>
            </w:tcMar>
            <w:vAlign w:val="center"/>
          </w:tcPr>
          <w:p>
            <w:pPr>
              <w:spacing w:after="40" w:before="40" w:line="240"/>
            </w:pPr>
            <w:r>
              <w:rPr>
                <w:b w:val="false"/>
                <w:bCs w:val="false"/>
                <w:sz w:val="19"/>
                <w:szCs w:val="19"/>
              </w:rPr>
              <w:t xml:space="preserve">Faire percevoir la promesse « carnet qui apprend » en 5 secondes</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Trafic quasi nul ; copies « 157 spots » périmées (215 réels)</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S70 : copies corrigées ; cadence contenu ; OG images propres (timeout à fixer)</w:t>
            </w:r>
          </w:p>
        </w:tc>
      </w:tr>
      <w:tr>
        <w:tc>
          <w:tcPr>
            <w:tcW w:type="dxa" w:w="1805"/>
            <w:shd w:fill="F6F1E6" w:val="clear"/>
            <w:tcMar>
              <w:top w:type="dxa" w:w="60"/>
              <w:left w:type="dxa" w:w="110"/>
              <w:bottom w:type="dxa" w:w="60"/>
              <w:right w:type="dxa" w:w="110"/>
            </w:tcMar>
            <w:vAlign w:val="center"/>
          </w:tcPr>
          <w:p>
            <w:pPr>
              <w:spacing w:after="40" w:before="40" w:line="240"/>
            </w:pPr>
            <w:r>
              <w:rPr>
                <w:b/>
                <w:bCs/>
                <w:sz w:val="19"/>
                <w:szCs w:val="19"/>
              </w:rPr>
              <w:t xml:space="preserve">2. Inscription</w:t>
            </w:r>
          </w:p>
        </w:tc>
        <w:tc>
          <w:tcPr>
            <w:tcW w:type="dxa" w:w="234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3-5 % des visiteurs</w:t>
            </w:r>
          </w:p>
        </w:tc>
        <w:tc>
          <w:tcPr>
            <w:tcW w:type="dxa" w:w="2437"/>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INVITE_ONLY ferme le funnel au public</w:t>
            </w:r>
          </w:p>
        </w:tc>
        <w:tc>
          <w:tcPr>
            <w:tcW w:type="dxa" w:w="243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Assumé jusqu'à 20 fondateurs actifs, puis ouverture publique (décision de lancement, pas de code)</w:t>
            </w:r>
          </w:p>
        </w:tc>
      </w:tr>
      <w:tr>
        <w:tc>
          <w:tcPr>
            <w:tcW w:type="dxa" w:w="1805"/>
            <w:tcMar>
              <w:top w:type="dxa" w:w="60"/>
              <w:left w:type="dxa" w:w="110"/>
              <w:bottom w:type="dxa" w:w="60"/>
              <w:right w:type="dxa" w:w="110"/>
            </w:tcMar>
            <w:vAlign w:val="center"/>
          </w:tcPr>
          <w:p>
            <w:pPr>
              <w:spacing w:after="40" w:before="40" w:line="240"/>
            </w:pPr>
            <w:r>
              <w:rPr>
                <w:b/>
                <w:bCs/>
                <w:sz w:val="19"/>
                <w:szCs w:val="19"/>
              </w:rPr>
              <w:t xml:space="preserve">3. Onboarding (6 étapes)</w:t>
            </w:r>
          </w:p>
        </w:tc>
        <w:tc>
          <w:tcPr>
            <w:tcW w:type="dxa" w:w="2347"/>
            <w:tcMar>
              <w:top w:type="dxa" w:w="60"/>
              <w:left w:type="dxa" w:w="110"/>
              <w:bottom w:type="dxa" w:w="60"/>
              <w:right w:type="dxa" w:w="110"/>
            </w:tcMar>
            <w:vAlign w:val="center"/>
          </w:tcPr>
          <w:p>
            <w:pPr>
              <w:spacing w:after="40" w:before="40" w:line="240"/>
            </w:pPr>
            <w:r>
              <w:rPr>
                <w:b w:val="false"/>
                <w:bCs w:val="false"/>
                <w:sz w:val="19"/>
                <w:szCs w:val="19"/>
              </w:rPr>
              <w:t xml:space="preserve">Complétion &gt; 85 %, port principal capturé</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Aucune valeur montrée pendant l'effort de saisie</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Afficher dès l'étape port/département la fenêtre du jour : l'utilisateur gagne quelque chose AVANT la fin</w:t>
            </w:r>
          </w:p>
        </w:tc>
      </w:tr>
      <w:tr>
        <w:tc>
          <w:tcPr>
            <w:tcW w:type="dxa" w:w="1805"/>
            <w:shd w:fill="F6F1E6" w:val="clear"/>
            <w:tcMar>
              <w:top w:type="dxa" w:w="60"/>
              <w:left w:type="dxa" w:w="110"/>
              <w:bottom w:type="dxa" w:w="60"/>
              <w:right w:type="dxa" w:w="110"/>
            </w:tcMar>
            <w:vAlign w:val="center"/>
          </w:tcPr>
          <w:p>
            <w:pPr>
              <w:spacing w:after="40" w:before="40" w:line="240"/>
            </w:pPr>
            <w:r>
              <w:rPr>
                <w:b/>
                <w:bCs/>
                <w:sz w:val="19"/>
                <w:szCs w:val="19"/>
              </w:rPr>
              <w:t xml:space="preserve">4. Activation : 1re prise ≤ 7 j</w:t>
            </w:r>
          </w:p>
        </w:tc>
        <w:tc>
          <w:tcPr>
            <w:tcW w:type="dxa" w:w="234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 40 % des inscrits</w:t>
            </w:r>
          </w:p>
        </w:tc>
        <w:tc>
          <w:tcPr>
            <w:tcW w:type="dxa" w:w="2437"/>
            <w:shd w:fill="F6F1E6" w:val="clear"/>
            <w:tcMar>
              <w:top w:type="dxa" w:w="60"/>
              <w:left w:type="dxa" w:w="110"/>
              <w:bottom w:type="dxa" w:w="60"/>
              <w:right w:type="dxa" w:w="110"/>
            </w:tcMar>
            <w:vAlign w:val="center"/>
          </w:tcPr>
          <w:p>
            <w:pPr>
              <w:spacing w:after="40" w:before="40" w:line="240"/>
            </w:pPr>
            <w:r>
              <w:rPr>
                <w:b w:val="false"/>
                <w:bCs w:val="false"/>
                <w:color w:val="C94A3B"/>
                <w:sz w:val="19"/>
                <w:szCs w:val="19"/>
              </w:rPr>
              <w:t xml:space="preserve">Scoring muet à froid : la promesse centrale n'est pas vérifiable</w:t>
            </w:r>
          </w:p>
        </w:tc>
        <w:tc>
          <w:tcPr>
            <w:tcW w:type="dxa" w:w="243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Valeur à froid (P0 §6.2) + log guidé + notification J+1 + le log de la bredouille compte aussi</w:t>
            </w:r>
          </w:p>
        </w:tc>
      </w:tr>
      <w:tr>
        <w:tc>
          <w:tcPr>
            <w:tcW w:type="dxa" w:w="1805"/>
            <w:tcMar>
              <w:top w:type="dxa" w:w="60"/>
              <w:left w:type="dxa" w:w="110"/>
              <w:bottom w:type="dxa" w:w="60"/>
              <w:right w:type="dxa" w:w="110"/>
            </w:tcMar>
            <w:vAlign w:val="center"/>
          </w:tcPr>
          <w:p>
            <w:pPr>
              <w:spacing w:after="40" w:before="40" w:line="240"/>
            </w:pPr>
            <w:r>
              <w:rPr>
                <w:b/>
                <w:bCs/>
                <w:sz w:val="19"/>
                <w:szCs w:val="19"/>
              </w:rPr>
              <w:t xml:space="preserve">5. Moment aha</w:t>
            </w:r>
          </w:p>
        </w:tc>
        <w:tc>
          <w:tcPr>
            <w:tcW w:type="dxa" w:w="2347"/>
            <w:tcMar>
              <w:top w:type="dxa" w:w="60"/>
              <w:left w:type="dxa" w:w="110"/>
              <w:bottom w:type="dxa" w:w="60"/>
              <w:right w:type="dxa" w:w="110"/>
            </w:tcMar>
            <w:vAlign w:val="center"/>
          </w:tcPr>
          <w:p>
            <w:pPr>
              <w:spacing w:after="40" w:before="40" w:line="240"/>
            </w:pPr>
            <w:r>
              <w:rPr>
                <w:b w:val="false"/>
                <w:bCs w:val="false"/>
                <w:sz w:val="19"/>
                <w:szCs w:val="19"/>
              </w:rPr>
              <w:t xml:space="preserve">≈ 5 prises : le carnet commence à parler</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Rien ne dit à l'utilisateur qu'il approche du déclic</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Barre de progression explicite : « encore 2 prises et ton carnet te parle »</w:t>
            </w:r>
          </w:p>
        </w:tc>
      </w:tr>
      <w:tr>
        <w:tc>
          <w:tcPr>
            <w:tcW w:type="dxa" w:w="1805"/>
            <w:shd w:fill="F6F1E6" w:val="clear"/>
            <w:tcMar>
              <w:top w:type="dxa" w:w="60"/>
              <w:left w:type="dxa" w:w="110"/>
              <w:bottom w:type="dxa" w:w="60"/>
              <w:right w:type="dxa" w:w="110"/>
            </w:tcMar>
            <w:vAlign w:val="center"/>
          </w:tcPr>
          <w:p>
            <w:pPr>
              <w:spacing w:after="40" w:before="40" w:line="240"/>
            </w:pPr>
            <w:r>
              <w:rPr>
                <w:b/>
                <w:bCs/>
                <w:sz w:val="19"/>
                <w:szCs w:val="19"/>
              </w:rPr>
              <w:t xml:space="preserve">6. Déclencheur paywall</w:t>
            </w:r>
          </w:p>
        </w:tc>
        <w:tc>
          <w:tcPr>
            <w:tcW w:type="dxa" w:w="234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Contextuel, jamais une page tarifs froide</w:t>
            </w:r>
          </w:p>
        </w:tc>
        <w:tc>
          <w:tcPr>
            <w:tcW w:type="dxa" w:w="243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Paywall générique</w:t>
            </w:r>
          </w:p>
        </w:tc>
        <w:tc>
          <w:tcPr>
            <w:tcW w:type="dxa" w:w="243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Déclencher au clic sur spot flouté, à l'alerte port (S72), aux stats avancées ; toujours prévisualiser ce qui se débloque</w:t>
            </w:r>
          </w:p>
        </w:tc>
      </w:tr>
      <w:tr>
        <w:tc>
          <w:tcPr>
            <w:tcW w:type="dxa" w:w="1805"/>
            <w:tcMar>
              <w:top w:type="dxa" w:w="60"/>
              <w:left w:type="dxa" w:w="110"/>
              <w:bottom w:type="dxa" w:w="60"/>
              <w:right w:type="dxa" w:w="110"/>
            </w:tcMar>
            <w:vAlign w:val="center"/>
          </w:tcPr>
          <w:p>
            <w:pPr>
              <w:spacing w:after="40" w:before="40" w:line="240"/>
            </w:pPr>
            <w:r>
              <w:rPr>
                <w:b/>
                <w:bCs/>
                <w:sz w:val="19"/>
                <w:szCs w:val="19"/>
              </w:rPr>
              <w:t xml:space="preserve">7. Essai 7 j (CB)</w:t>
            </w:r>
          </w:p>
        </w:tc>
        <w:tc>
          <w:tcPr>
            <w:tcW w:type="dxa" w:w="2347"/>
            <w:tcMar>
              <w:top w:type="dxa" w:w="60"/>
              <w:left w:type="dxa" w:w="110"/>
              <w:bottom w:type="dxa" w:w="60"/>
              <w:right w:type="dxa" w:w="110"/>
            </w:tcMar>
            <w:vAlign w:val="center"/>
          </w:tcPr>
          <w:p>
            <w:pPr>
              <w:spacing w:after="40" w:before="40" w:line="240"/>
            </w:pPr>
            <w:r>
              <w:rPr>
                <w:b w:val="false"/>
                <w:bCs w:val="false"/>
                <w:sz w:val="19"/>
                <w:szCs w:val="19"/>
              </w:rPr>
              <w:t xml:space="preserve">15 % des activés entrent en essai</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CB = friction assumée (qualifie les leads, 50-60 % convertissent ensuite)</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Mesurer le drop à la saisie CB ; ne tester « essai sans CB » que si l'entrée en essai reste &lt; 5 % des actifs</w:t>
            </w:r>
          </w:p>
        </w:tc>
      </w:tr>
      <w:tr>
        <w:tc>
          <w:tcPr>
            <w:tcW w:type="dxa" w:w="1805"/>
            <w:shd w:fill="F6F1E6" w:val="clear"/>
            <w:tcMar>
              <w:top w:type="dxa" w:w="60"/>
              <w:left w:type="dxa" w:w="110"/>
              <w:bottom w:type="dxa" w:w="60"/>
              <w:right w:type="dxa" w:w="110"/>
            </w:tcMar>
            <w:vAlign w:val="center"/>
          </w:tcPr>
          <w:p>
            <w:pPr>
              <w:spacing w:after="40" w:before="40" w:line="240"/>
            </w:pPr>
            <w:r>
              <w:rPr>
                <w:b/>
                <w:bCs/>
                <w:sz w:val="19"/>
                <w:szCs w:val="19"/>
              </w:rPr>
              <w:t xml:space="preserve">8. Conversion payante</w:t>
            </w:r>
          </w:p>
        </w:tc>
        <w:tc>
          <w:tcPr>
            <w:tcW w:type="dxa" w:w="234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50-60 % des essais</w:t>
            </w:r>
          </w:p>
        </w:tc>
        <w:tc>
          <w:tcPr>
            <w:tcW w:type="dxa" w:w="243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35 % des annuels annulent le 1er mois (benchmark)</w:t>
            </w:r>
          </w:p>
        </w:tc>
        <w:tc>
          <w:tcPr>
            <w:tcW w:type="dxa" w:w="243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Emails de valeur pendant l'essai (jour 2 : ton 1er insight ; jour 5 : rappel honnête avant facturation) ; garantie remboursé visible</w:t>
            </w:r>
          </w:p>
        </w:tc>
      </w:tr>
      <w:tr>
        <w:tc>
          <w:tcPr>
            <w:tcW w:type="dxa" w:w="1805"/>
            <w:tcMar>
              <w:top w:type="dxa" w:w="60"/>
              <w:left w:type="dxa" w:w="110"/>
              <w:bottom w:type="dxa" w:w="60"/>
              <w:right w:type="dxa" w:w="110"/>
            </w:tcMar>
            <w:vAlign w:val="center"/>
          </w:tcPr>
          <w:p>
            <w:pPr>
              <w:spacing w:after="40" w:before="40" w:line="240"/>
            </w:pPr>
            <w:r>
              <w:rPr>
                <w:b/>
                <w:bCs/>
                <w:sz w:val="19"/>
                <w:szCs w:val="19"/>
              </w:rPr>
              <w:t xml:space="preserve">9. Rétention / upsell</w:t>
            </w:r>
          </w:p>
        </w:tc>
        <w:tc>
          <w:tcPr>
            <w:tcW w:type="dxa" w:w="2347"/>
            <w:tcMar>
              <w:top w:type="dxa" w:w="60"/>
              <w:left w:type="dxa" w:w="110"/>
              <w:bottom w:type="dxa" w:w="60"/>
              <w:right w:type="dxa" w:w="110"/>
            </w:tcMar>
            <w:vAlign w:val="center"/>
          </w:tcPr>
          <w:p>
            <w:pPr>
              <w:spacing w:after="40" w:before="40" w:line="240"/>
            </w:pPr>
            <w:r>
              <w:rPr>
                <w:b w:val="false"/>
                <w:bCs w:val="false"/>
                <w:sz w:val="19"/>
                <w:szCs w:val="19"/>
              </w:rPr>
              <w:t xml:space="preserve">Churn mensuel &lt; 8 % ; upsell Itinérant</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Saisonnalité hivernale</w:t>
            </w:r>
          </w:p>
        </w:tc>
        <w:tc>
          <w:tcPr>
            <w:tcW w:type="dxa" w:w="2437"/>
            <w:tcMar>
              <w:top w:type="dxa" w:w="60"/>
              <w:left w:type="dxa" w:w="110"/>
              <w:bottom w:type="dxa" w:w="60"/>
              <w:right w:type="dxa" w:w="110"/>
            </w:tcMar>
            <w:vAlign w:val="center"/>
          </w:tcPr>
          <w:p>
            <w:pPr>
              <w:spacing w:after="40" w:before="40" w:line="240"/>
            </w:pPr>
            <w:r>
              <w:rPr>
                <w:b w:val="false"/>
                <w:bCs w:val="false"/>
                <w:sz w:val="19"/>
                <w:szCs w:val="19"/>
              </w:rPr>
              <w:t xml:space="preserve">Annuel pré-sélectionné ; déclencheur upsell naturel : consultation d'un 2e département (vacances) ; rétrospective annuelle</w:t>
            </w:r>
          </w:p>
        </w:tc>
      </w:tr>
    </w:tbl>
    <w:p>
      <w:pPr>
        <w:spacing w:after="140" w:before="120" w:line="276"/>
      </w:pPr>
      <w:r>
        <w:rPr>
          <w:b/>
          <w:bCs/>
          <w:i w:val="false"/>
          <w:iCs w:val="false"/>
        </w:rPr>
        <w:t xml:space="preserve">Le point de bascule du tunnel est l'étape 4 : </w:t>
      </w:r>
      <w:r>
        <w:rPr>
          <w:b w:val="false"/>
          <w:bCs w:val="false"/>
          <w:i w:val="false"/>
          <w:iCs w:val="false"/>
        </w:rPr>
        <w:t xml:space="preserve">un inscrit qui logue une prise dans la semaine a une probabilité de conversion et de rétention sans commune mesure avec les autres. Toute l'énergie produit disponible doit converger vers ce moment.</w:t>
      </w:r>
    </w:p>
    <w:p>
      <w:r>
        <w:br w:type="page"/>
      </w:r>
    </w:p>
    <w:p>
      <w:pPr>
        <w:pStyle w:val="Heading1"/>
        <w:spacing w:after="160" w:before="320"/>
      </w:pPr>
      <w:r>
        <w:t xml:space="preserve">10. Plan d'action 90 jours (mi-juillet → mi-octobre 2026)</w:t>
      </w:r>
    </w:p>
    <w:p>
      <w:pPr>
        <w:spacing w:after="140" w:before="0" w:line="276"/>
      </w:pPr>
      <w:r>
        <w:t xml:space="preserve">La saison estivale est le pic annuel de pratique : chaque semaine compte. Règle de conduite : aucun nouveau chantier produit hors S70/S72/S73 tant que les KPI d'amorçage ne sont pas verts.</w:t>
      </w:r>
    </w:p>
    <w:tbl>
      <w:tblPr>
        <w:tblW w:type="dxa" w:w="9026"/>
        <w:tblBorders>
          <w:top w:val="single" w:color="AEB9BF" w:sz="4"/>
          <w:left w:val="single" w:color="AEB9BF" w:sz="4"/>
          <w:bottom w:val="single" w:color="AEB9BF" w:sz="4"/>
          <w:right w:val="single" w:color="AEB9BF" w:sz="4"/>
          <w:insideH w:val="single" w:color="C9D2D6" w:sz="2"/>
          <w:insideV w:val="single" w:color="C9D2D6" w:sz="2"/>
        </w:tblBorders>
      </w:tblPr>
      <w:tblGrid>
        <w:gridCol w:w="1444"/>
        <w:gridCol w:w="3791"/>
        <w:gridCol w:w="1264"/>
        <w:gridCol w:w="2527"/>
      </w:tblGrid>
      <w:tr>
        <w:trPr>
          <w:tblHeader/>
        </w:trPr>
        <w:tc>
          <w:tcPr>
            <w:tcW w:type="dxa" w:w="144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Période</w:t>
            </w:r>
          </w:p>
        </w:tc>
        <w:tc>
          <w:tcPr>
            <w:tcW w:type="dxa" w:w="3791"/>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Actions</w:t>
            </w:r>
          </w:p>
        </w:tc>
        <w:tc>
          <w:tcPr>
            <w:tcW w:type="dxa" w:w="1264"/>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Owner</w:t>
            </w:r>
          </w:p>
        </w:tc>
        <w:tc>
          <w:tcPr>
            <w:tcW w:type="dxa" w:w="2527"/>
            <w:shd w:fill="0A2F3D" w:val="clear"/>
            <w:tcMar>
              <w:top w:type="dxa" w:w="60"/>
              <w:left w:type="dxa" w:w="110"/>
              <w:bottom w:type="dxa" w:w="60"/>
              <w:right w:type="dxa" w:w="110"/>
            </w:tcMar>
            <w:vAlign w:val="center"/>
          </w:tcPr>
          <w:p>
            <w:pPr>
              <w:spacing w:after="40" w:before="40" w:line="240"/>
            </w:pPr>
            <w:r>
              <w:rPr>
                <w:b/>
                <w:bCs/>
                <w:color w:val="FFFFFF"/>
                <w:sz w:val="19"/>
                <w:szCs w:val="19"/>
              </w:rPr>
              <w:t xml:space="preserve">KPI de sortie</w:t>
            </w:r>
          </w:p>
        </w:tc>
      </w:tr>
      <w:tr>
        <w:tc>
          <w:tcPr>
            <w:tcW w:type="dxa" w:w="1444"/>
            <w:tcMar>
              <w:top w:type="dxa" w:w="60"/>
              <w:left w:type="dxa" w:w="110"/>
              <w:bottom w:type="dxa" w:w="60"/>
              <w:right w:type="dxa" w:w="110"/>
            </w:tcMar>
            <w:vAlign w:val="center"/>
          </w:tcPr>
          <w:p>
            <w:pPr>
              <w:spacing w:after="40" w:before="40" w:line="240"/>
            </w:pPr>
            <w:r>
              <w:rPr>
                <w:b/>
                <w:bCs/>
                <w:sz w:val="19"/>
                <w:szCs w:val="19"/>
              </w:rPr>
              <w:t xml:space="preserve">Semaines 1-2</w:t>
            </w:r>
          </w:p>
        </w:tc>
        <w:tc>
          <w:tcPr>
            <w:tcW w:type="dxa" w:w="3791"/>
            <w:tcMar>
              <w:top w:type="dxa" w:w="60"/>
              <w:left w:type="dxa" w:w="110"/>
              <w:bottom w:type="dxa" w:w="60"/>
              <w:right w:type="dxa" w:w="110"/>
            </w:tcMar>
            <w:vAlign w:val="center"/>
          </w:tcPr>
          <w:p>
            <w:pPr>
              <w:spacing w:after="40" w:before="40" w:line="240"/>
            </w:pPr>
            <w:r>
              <w:rPr>
                <w:b w:val="false"/>
                <w:bCs w:val="false"/>
                <w:sz w:val="19"/>
                <w:szCs w:val="19"/>
              </w:rPr>
              <w:t xml:space="preserve">Finir S70 (event signup PostHog, copies 215 spots, CSP, hydratation). Minter et distribuer 30 codes fondateurs ciblés (pêcheurs actifs des groupes FB/Insta locaux, clubs).</w:t>
            </w:r>
          </w:p>
        </w:tc>
        <w:tc>
          <w:tcPr>
            <w:tcW w:type="dxa" w:w="1264"/>
            <w:tcMar>
              <w:top w:type="dxa" w:w="60"/>
              <w:left w:type="dxa" w:w="110"/>
              <w:bottom w:type="dxa" w:w="60"/>
              <w:right w:type="dxa" w:w="110"/>
            </w:tcMar>
            <w:vAlign w:val="center"/>
          </w:tcPr>
          <w:p>
            <w:pPr>
              <w:spacing w:after="40" w:before="40" w:line="240"/>
            </w:pPr>
            <w:r>
              <w:rPr>
                <w:b w:val="false"/>
                <w:bCs w:val="false"/>
                <w:sz w:val="19"/>
                <w:szCs w:val="19"/>
              </w:rPr>
              <w:t xml:space="preserve">John · César</w:t>
            </w:r>
          </w:p>
        </w:tc>
        <w:tc>
          <w:tcPr>
            <w:tcW w:type="dxa" w:w="2527"/>
            <w:tcMar>
              <w:top w:type="dxa" w:w="60"/>
              <w:left w:type="dxa" w:w="110"/>
              <w:bottom w:type="dxa" w:w="60"/>
              <w:right w:type="dxa" w:w="110"/>
            </w:tcMar>
            <w:vAlign w:val="center"/>
          </w:tcPr>
          <w:p>
            <w:pPr>
              <w:spacing w:after="40" w:before="40" w:line="240"/>
            </w:pPr>
            <w:r>
              <w:rPr>
                <w:b w:val="false"/>
                <w:bCs w:val="false"/>
                <w:sz w:val="19"/>
                <w:szCs w:val="19"/>
              </w:rPr>
              <w:t xml:space="preserve">Event signup live ; 10 fondateurs inscrits</w:t>
            </w:r>
          </w:p>
        </w:tc>
      </w:tr>
      <w:tr>
        <w:tc>
          <w:tcPr>
            <w:tcW w:type="dxa" w:w="1444"/>
            <w:shd w:fill="F6F1E6" w:val="clear"/>
            <w:tcMar>
              <w:top w:type="dxa" w:w="60"/>
              <w:left w:type="dxa" w:w="110"/>
              <w:bottom w:type="dxa" w:w="60"/>
              <w:right w:type="dxa" w:w="110"/>
            </w:tcMar>
            <w:vAlign w:val="center"/>
          </w:tcPr>
          <w:p>
            <w:pPr>
              <w:spacing w:after="40" w:before="40" w:line="240"/>
            </w:pPr>
            <w:r>
              <w:rPr>
                <w:b/>
                <w:bCs/>
                <w:sz w:val="19"/>
                <w:szCs w:val="19"/>
              </w:rPr>
              <w:t xml:space="preserve">Semaines 3-6</w:t>
            </w:r>
          </w:p>
        </w:tc>
        <w:tc>
          <w:tcPr>
            <w:tcW w:type="dxa" w:w="3791"/>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S72 alertes par port. Cadence contenu : 3 vidéos courtes/semaine + 2 guides SEO/mois. Animer les défis d'été ; publier le 1er classement départemental.</w:t>
            </w:r>
          </w:p>
        </w:tc>
        <w:tc>
          <w:tcPr>
            <w:tcW w:type="dxa" w:w="1264"/>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John · César</w:t>
            </w:r>
          </w:p>
        </w:tc>
        <w:tc>
          <w:tcPr>
            <w:tcW w:type="dxa" w:w="2527"/>
            <w:shd w:fill="F6F1E6" w:val="clear"/>
            <w:tcMar>
              <w:top w:type="dxa" w:w="60"/>
              <w:left w:type="dxa" w:w="110"/>
              <w:bottom w:type="dxa" w:w="60"/>
              <w:right w:type="dxa" w:w="110"/>
            </w:tcMar>
            <w:vAlign w:val="center"/>
          </w:tcPr>
          <w:p>
            <w:pPr>
              <w:spacing w:after="40" w:before="40" w:line="240"/>
            </w:pPr>
            <w:r>
              <w:rPr>
                <w:b w:val="false"/>
                <w:bCs w:val="false"/>
                <w:sz w:val="19"/>
                <w:szCs w:val="19"/>
              </w:rPr>
              <w:t xml:space="preserve">20 fondateurs actifs ; 100 prises loguées ; rétention W4 &gt; 20 %</w:t>
            </w:r>
          </w:p>
        </w:tc>
      </w:tr>
      <w:tr>
        <w:tc>
          <w:tcPr>
            <w:tcW w:type="dxa" w:w="1444"/>
            <w:tcMar>
              <w:top w:type="dxa" w:w="60"/>
              <w:left w:type="dxa" w:w="110"/>
              <w:bottom w:type="dxa" w:w="60"/>
              <w:right w:type="dxa" w:w="110"/>
            </w:tcMar>
            <w:vAlign w:val="center"/>
          </w:tcPr>
          <w:p>
            <w:pPr>
              <w:spacing w:after="40" w:before="40" w:line="240"/>
            </w:pPr>
            <w:r>
              <w:rPr>
                <w:b/>
                <w:bCs/>
                <w:sz w:val="19"/>
                <w:szCs w:val="19"/>
              </w:rPr>
              <w:t xml:space="preserve">Semaines 7-12</w:t>
            </w:r>
          </w:p>
        </w:tc>
        <w:tc>
          <w:tcPr>
            <w:tcW w:type="dxa" w:w="3791"/>
            <w:tcMar>
              <w:top w:type="dxa" w:w="60"/>
              <w:left w:type="dxa" w:w="110"/>
              <w:bottom w:type="dxa" w:w="60"/>
              <w:right w:type="dxa" w:w="110"/>
            </w:tcMar>
            <w:vAlign w:val="center"/>
          </w:tcPr>
          <w:p>
            <w:pPr>
              <w:spacing w:after="40" w:before="40" w:line="240"/>
            </w:pPr>
            <w:r>
              <w:rPr>
                <w:b w:val="false"/>
                <w:bCs w:val="false"/>
                <w:sz w:val="19"/>
                <w:szCs w:val="19"/>
              </w:rPr>
              <w:t xml:space="preserve">Ouverture publique (retrait INVITE_ONLY) si le gate est atteint. Campagne « saison du bar » (pic d'activité de l'espèce reine à l'automne). S73 sorties groupées. Dossier de presse. Décision gate mobile S74 sur données réelles.</w:t>
            </w:r>
          </w:p>
        </w:tc>
        <w:tc>
          <w:tcPr>
            <w:tcW w:type="dxa" w:w="1264"/>
            <w:tcMar>
              <w:top w:type="dxa" w:w="60"/>
              <w:left w:type="dxa" w:w="110"/>
              <w:bottom w:type="dxa" w:w="60"/>
              <w:right w:type="dxa" w:w="110"/>
            </w:tcMar>
            <w:vAlign w:val="center"/>
          </w:tcPr>
          <w:p>
            <w:pPr>
              <w:spacing w:after="40" w:before="40" w:line="240"/>
            </w:pPr>
            <w:r>
              <w:rPr>
                <w:b w:val="false"/>
                <w:bCs w:val="false"/>
                <w:sz w:val="19"/>
                <w:szCs w:val="19"/>
              </w:rPr>
              <w:t xml:space="preserve">John · César</w:t>
            </w:r>
          </w:p>
        </w:tc>
        <w:tc>
          <w:tcPr>
            <w:tcW w:type="dxa" w:w="2527"/>
            <w:tcMar>
              <w:top w:type="dxa" w:w="60"/>
              <w:left w:type="dxa" w:w="110"/>
              <w:bottom w:type="dxa" w:w="60"/>
              <w:right w:type="dxa" w:w="110"/>
            </w:tcMar>
            <w:vAlign w:val="center"/>
          </w:tcPr>
          <w:p>
            <w:pPr>
              <w:spacing w:after="40" w:before="40" w:line="240"/>
            </w:pPr>
            <w:r>
              <w:rPr>
                <w:b w:val="false"/>
                <w:bCs w:val="false"/>
                <w:sz w:val="19"/>
                <w:szCs w:val="19"/>
              </w:rPr>
              <w:t xml:space="preserve">500 inscrits ; 10-25 payants ; funnel complet mesuré de bout en bout</w:t>
            </w:r>
          </w:p>
        </w:tc>
      </w:tr>
    </w:tbl>
    <w:p>
      <w:pPr>
        <w:spacing w:after="140" w:before="120" w:line="276"/>
      </w:pPr>
      <w:r>
        <w:rPr>
          <w:b/>
          <w:bCs/>
          <w:i w:val="false"/>
          <w:iCs w:val="false"/>
        </w:rPr>
        <w:t xml:space="preserve">Si un seul KPI devait être suivi : </w:t>
      </w:r>
      <w:r>
        <w:rPr>
          <w:b w:val="false"/>
          <w:bCs w:val="false"/>
          <w:i w:val="false"/>
          <w:iCs w:val="false"/>
        </w:rPr>
        <w:t xml:space="preserve">le nombre de prises loguées par semaine. C'est l'indicateur avancé de tout le reste : il nourrit le moat (scoring), la preuve sociale (fil, classements), le contenu (partages) et la conversion (moment aha).</w:t>
      </w:r>
    </w:p>
    <w:p>
      <w:pPr>
        <w:pStyle w:val="Heading1"/>
        <w:spacing w:after="160" w:before="320"/>
      </w:pPr>
      <w:r>
        <w:t xml:space="preserve">11. Sources et limites</w:t>
      </w:r>
    </w:p>
    <w:p>
      <w:pPr>
        <w:spacing w:after="140" w:before="0" w:line="276"/>
      </w:pPr>
      <w:r>
        <w:rPr>
          <w:b/>
          <w:bCs/>
          <w:i w:val="false"/>
          <w:iCs w:val="false"/>
        </w:rPr>
        <w:t xml:space="preserve">Limites : </w:t>
      </w:r>
      <w:r>
        <w:rPr>
          <w:b w:val="false"/>
          <w:bCs w:val="false"/>
          <w:i w:val="false"/>
          <w:iCs w:val="false"/>
        </w:rPr>
        <w:t xml:space="preserve">les chiffres de marché FR reposent sur des enquêtes espacées (Ifremer/BVA, GIFAP) aux méthodologies différentes : raisonner en fourchettes. Les benchmarks de conversion et de churn proviennent d'études globales (RevenueCat, First Page Sage) non spécifiques à la pêche ni à la France. Les scénarios financiers sont des ordres de grandeur pour décider, pas des prévisions.</w:t>
      </w:r>
    </w:p>
    <w:p>
      <w:pPr>
        <w:pStyle w:val="ListParagraph"/>
        <w:numPr>
          <w:ilvl w:val="0"/>
          <w:numId w:val="2"/>
        </w:numPr>
        <w:spacing w:after="80" w:line="264"/>
      </w:pPr>
      <w:r>
        <w:rPr>
          <w:b w:val="false"/>
          <w:bCs w:val="false"/>
          <w:i w:val="false"/>
          <w:iCs w:val="false"/>
          <w:sz w:val="19"/>
          <w:szCs w:val="19"/>
        </w:rPr>
        <w:t xml:space="preserve">Ifremer / SIH, pêche de loisir en mer (enquêtes de cadrage ; carnet digitalisé FishFriender 2025-2027) : sih.ifremer.fr/Peche-de-loisir</w:t>
      </w:r>
    </w:p>
    <w:p>
      <w:pPr>
        <w:pStyle w:val="ListParagraph"/>
        <w:numPr>
          <w:ilvl w:val="0"/>
          <w:numId w:val="2"/>
        </w:numPr>
        <w:spacing w:after="80" w:line="264"/>
      </w:pPr>
      <w:r>
        <w:rPr>
          <w:b w:val="false"/>
          <w:bCs w:val="false"/>
          <w:i w:val="false"/>
          <w:iCs w:val="false"/>
          <w:sz w:val="19"/>
          <w:szCs w:val="19"/>
        </w:rPr>
        <w:t xml:space="preserve">Ifremer / BVA, enquête pêche récréative en mer (1,32 M de pêcheurs en mer) : archimer.ifremer.fr</w:t>
      </w:r>
    </w:p>
    <w:p>
      <w:pPr>
        <w:pStyle w:val="ListParagraph"/>
        <w:numPr>
          <w:ilvl w:val="0"/>
          <w:numId w:val="2"/>
        </w:numPr>
        <w:spacing w:after="80" w:line="264"/>
      </w:pPr>
      <w:r>
        <w:rPr>
          <w:b w:val="false"/>
          <w:bCs w:val="false"/>
          <w:i w:val="false"/>
          <w:iCs w:val="false"/>
          <w:sz w:val="19"/>
          <w:szCs w:val="19"/>
        </w:rPr>
        <w:t xml:space="preserve">FNPF, étude du poids économique de la pêche de loisir (~2 Md€, 462 M€ de matériel, panier ~700 €) : federationpeche.fr</w:t>
      </w:r>
    </w:p>
    <w:p>
      <w:pPr>
        <w:pStyle w:val="ListParagraph"/>
        <w:numPr>
          <w:ilvl w:val="0"/>
          <w:numId w:val="2"/>
        </w:numPr>
        <w:spacing w:after="80" w:line="264"/>
      </w:pPr>
      <w:r>
        <w:rPr>
          <w:b w:val="false"/>
          <w:bCs w:val="false"/>
          <w:i w:val="false"/>
          <w:iCs w:val="false"/>
          <w:sz w:val="19"/>
          <w:szCs w:val="19"/>
        </w:rPr>
        <w:t xml:space="preserve">Businesscoot, Le marché de la pêche loisir, France (03/2025) : businesscoot.com</w:t>
      </w:r>
    </w:p>
    <w:p>
      <w:pPr>
        <w:pStyle w:val="ListParagraph"/>
        <w:numPr>
          <w:ilvl w:val="0"/>
          <w:numId w:val="2"/>
        </w:numPr>
        <w:spacing w:after="80" w:line="264"/>
      </w:pPr>
      <w:r>
        <w:rPr>
          <w:b w:val="false"/>
          <w:bCs w:val="false"/>
          <w:i w:val="false"/>
          <w:iCs w:val="false"/>
          <w:sz w:val="19"/>
          <w:szCs w:val="19"/>
        </w:rPr>
        <w:t xml:space="preserve">Coherent Market Insights / Business Research Insights, Fishing App Market (~190 M$, CAGR 10-12 %, Fishbrain ~22 %) : coherentmarketinsights.com</w:t>
      </w:r>
    </w:p>
    <w:p>
      <w:pPr>
        <w:pStyle w:val="ListParagraph"/>
        <w:numPr>
          <w:ilvl w:val="0"/>
          <w:numId w:val="2"/>
        </w:numPr>
        <w:spacing w:after="80" w:line="264"/>
      </w:pPr>
      <w:r>
        <w:rPr>
          <w:b w:val="false"/>
          <w:bCs w:val="false"/>
          <w:i w:val="false"/>
          <w:iCs w:val="false"/>
          <w:sz w:val="19"/>
          <w:szCs w:val="19"/>
        </w:rPr>
        <w:t xml:space="preserve">RevenueCat, State of Subscription Apps 2025-2026 (essai→payant 50-60 %, churn mensuel ~13 %, annuel pré-sélectionné 60-70 %) : revenuecat.com</w:t>
      </w:r>
    </w:p>
    <w:p>
      <w:pPr>
        <w:pStyle w:val="ListParagraph"/>
        <w:numPr>
          <w:ilvl w:val="0"/>
          <w:numId w:val="2"/>
        </w:numPr>
        <w:spacing w:after="80" w:line="264"/>
      </w:pPr>
      <w:r>
        <w:rPr>
          <w:b w:val="false"/>
          <w:bCs w:val="false"/>
          <w:i w:val="false"/>
          <w:iCs w:val="false"/>
          <w:sz w:val="19"/>
          <w:szCs w:val="19"/>
        </w:rPr>
        <w:t xml:space="preserve">First Page Sage, SaaS Freemium Conversion Rates 2026 (2-5 % consumer) : firstpagesage.com</w:t>
      </w:r>
    </w:p>
    <w:p>
      <w:pPr>
        <w:pStyle w:val="ListParagraph"/>
        <w:numPr>
          <w:ilvl w:val="0"/>
          <w:numId w:val="2"/>
        </w:numPr>
        <w:spacing w:after="80" w:line="264"/>
      </w:pPr>
      <w:r>
        <w:rPr>
          <w:b w:val="false"/>
          <w:bCs w:val="false"/>
          <w:i w:val="false"/>
          <w:iCs w:val="false"/>
          <w:sz w:val="19"/>
          <w:szCs w:val="19"/>
        </w:rPr>
        <w:t xml:space="preserve">Docs internes projet : CLAUDE.md (état au 02/07/2026), docs/audits/AUDIT-2026-07-02.md, docs/concurrents/fishing-grid.md, roadmap post-audit.</w:t>
      </w:r>
    </w:p>
    <w:sectPr>
      <w:footerReference w:type="default" r:id="rId7"/>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E77"/>
        <w:sz w:val="16"/>
        <w:szCs w:val="16"/>
      </w:rPr>
      <w:t xml:space="preserve">Carnet de Pêche · Analyse stratégique · Juillet 2026 · Confidentiel · p. </w:t>
    </w:r>
    <w:r>
      <w:rPr>
        <w:color w:val="5E6E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4141C"/>
      <w:sz w:val="32"/>
      <w:szCs w:val="32"/>
    </w:rPr>
  </w:style>
  <w:style w:type="paragraph" w:styleId="Heading2">
    <w:name w:val="Heading 2"/>
    <w:basedOn w:val="Normal"/>
    <w:next w:val="Normal"/>
    <w:qFormat/>
    <w:pPr>
      <w:spacing w:after="120" w:before="260"/>
    </w:pPr>
    <w:rPr>
      <w:rFonts w:ascii="Calibri" w:cs="Calibri" w:eastAsia="Calibri" w:hAnsi="Calibri"/>
      <w:b/>
      <w:bCs/>
      <w:color w:val="0A2F3D"/>
      <w:sz w:val="26"/>
      <w:szCs w:val="26"/>
    </w:rPr>
  </w:style>
  <w:style w:type="paragraph" w:styleId="Heading3">
    <w:name w:val="Heading 3"/>
    <w:basedOn w:val="Normal"/>
    <w:next w:val="Normal"/>
    <w:qFormat/>
    <w:pPr>
      <w:spacing w:after="100" w:before="200"/>
    </w:pPr>
    <w:rPr>
      <w:rFonts w:ascii="Calibri" w:cs="Calibri" w:eastAsia="Calibri" w:hAnsi="Calibri"/>
      <w:b/>
      <w:bCs/>
      <w:color w:val="B8842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9a8306dca8670be1646895a7fb8821543e06f8.png"/><Relationship Id="rId9" Type="http://schemas.openxmlformats.org/officeDocument/2006/relationships/image" Target="media/1c3dd615ef5b8ad828c11369cd41f4fcc2e0fe85.png"/><Relationship Id="rId10" Type="http://schemas.openxmlformats.org/officeDocument/2006/relationships/image" Target="media/b4382ffe4abe0b05c03aa94b1e771501e3ab6b4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stratégique complète : Carnet de Pêche</dc:title>
  <dc:creator>Carnet de Pêche</dc:creator>
  <cp:lastModifiedBy>Un-named</cp:lastModifiedBy>
  <cp:revision>1</cp:revision>
  <dcterms:created xsi:type="dcterms:W3CDTF">2026-07-11T07:56:45.469Z</dcterms:created>
  <dcterms:modified xsi:type="dcterms:W3CDTF">2026-07-11T07:56:45.470Z</dcterms:modified>
</cp:coreProperties>
</file>

<file path=docProps/custom.xml><?xml version="1.0" encoding="utf-8"?>
<Properties xmlns="http://schemas.openxmlformats.org/officeDocument/2006/custom-properties" xmlns:vt="http://schemas.openxmlformats.org/officeDocument/2006/docPropsVTypes"/>
</file>