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673100</wp:posOffset>
            </wp:positionV>
            <wp:extent cx="177800" cy="317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723900</wp:posOffset>
            </wp:positionV>
            <wp:extent cx="342900" cy="1397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673100</wp:posOffset>
            </wp:positionV>
            <wp:extent cx="876300" cy="31794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17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5670550</wp:posOffset>
            </wp:positionH>
            <wp:positionV relativeFrom="page">
              <wp:posOffset>742950</wp:posOffset>
            </wp:positionV>
            <wp:extent cx="654050" cy="159445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1594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5829300</wp:posOffset>
            </wp:positionH>
            <wp:positionV relativeFrom="page">
              <wp:posOffset>736600</wp:posOffset>
            </wp:positionV>
            <wp:extent cx="342900" cy="165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736600</wp:posOffset>
            </wp:positionV>
            <wp:extent cx="139700" cy="1524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4210050</wp:posOffset>
            </wp:positionV>
            <wp:extent cx="3810000" cy="2545257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52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4203700</wp:posOffset>
            </wp:positionV>
            <wp:extent cx="3810000" cy="25527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52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4.00000000000006" w:type="dxa"/>
      </w:tblPr>
      <w:tblGrid>
        <w:gridCol w:w="9957"/>
      </w:tblGrid>
      <w:tr>
        <w:trPr>
          <w:trHeight w:hRule="exact" w:val="11400"/>
        </w:trPr>
        <w:tc>
          <w:tcPr>
            <w:tcW w:type="dxa" w:w="8412"/>
            <w:tcBorders>
              <w:start w:sz="8.0" w:val="single" w:color="#CCCCCC"/>
              <w:top w:sz="8.0" w:val="single" w:color="#CCCCCC"/>
              <w:end w:sz="8.0" w:val="single" w:color="#CCCCCC"/>
              <w:bottom w:sz="8.0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5.99999999999994" w:type="dxa"/>
            </w:tblPr>
            <w:tblGrid>
              <w:gridCol w:w="2804"/>
              <w:gridCol w:w="2804"/>
              <w:gridCol w:w="2804"/>
            </w:tblGrid>
            <w:tr>
              <w:trPr>
                <w:trHeight w:hRule="exact" w:val="564"/>
              </w:trPr>
              <w:tc>
                <w:tcPr>
                  <w:tcW w:type="dxa" w:w="3640"/>
                  <w:tcBorders>
                    <w:bottom w:sz="4.0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60" w:after="0"/>
                    <w:ind w:left="320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673100" cy="12700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3100" cy="1270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3620"/>
                  <w:tcBorders>
                    <w:bottom w:sz="4.0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0" w:after="0"/>
                    <w:ind w:left="0" w:right="60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7500" cy="5080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43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590550" cy="15875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550" cy="158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740"/>
                  <w:tcBorders>
                    <w:bottom w:sz="4.0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60" w:after="0"/>
                    <w:ind w:left="0" w:right="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77800" cy="10160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800" cy="1016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33" w:lineRule="auto" w:before="208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2"/>
              </w:rPr>
              <w:t>Eğitim Adı:</w:t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 xml:space="preserve"> aüpwofeığopıghdfsjkaplfkjnfkdsşjkblnjfrghjnfzjdıgnlfjognlkg</w:t>
            </w:r>
          </w:p>
          <w:p>
            <w:pPr>
              <w:autoSpaceDN w:val="0"/>
              <w:autoSpaceDE w:val="0"/>
              <w:widowControl/>
              <w:spacing w:line="233" w:lineRule="auto" w:before="106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2"/>
              </w:rPr>
              <w:t>Eğitmen Adı:</w:t>
            </w:r>
          </w:p>
          <w:p>
            <w:pPr>
              <w:autoSpaceDN w:val="0"/>
              <w:autoSpaceDE w:val="0"/>
              <w:widowControl/>
              <w:spacing w:line="233" w:lineRule="auto" w:before="6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2"/>
              </w:rPr>
              <w:t>pkgopjropjgoprjgopjrgopjraüpwofeığopıghdfsjkaplfkjnfkdsşjkblnjfrghjnfzjdıgnlfjognlkgaüpwofeığopıghdfsjkaplfkjnfkdsşjkblnjfrghjnfzjdıgnlfjognlkgaüpwofeığopıghd</w:t>
            </w:r>
          </w:p>
          <w:p>
            <w:pPr>
              <w:autoSpaceDN w:val="0"/>
              <w:autoSpaceDE w:val="0"/>
              <w:widowControl/>
              <w:spacing w:line="233" w:lineRule="auto" w:before="56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2"/>
              </w:rPr>
              <w:t>Eğitim Süresi: Temel Seviye</w:t>
            </w:r>
          </w:p>
          <w:p>
            <w:pPr>
              <w:autoSpaceDN w:val="0"/>
              <w:autoSpaceDE w:val="0"/>
              <w:widowControl/>
              <w:spacing w:line="233" w:lineRule="auto" w:before="56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2"/>
              </w:rPr>
              <w:t>ID: 08316b38</w:t>
            </w:r>
          </w:p>
          <w:p>
            <w:pPr>
              <w:autoSpaceDN w:val="0"/>
              <w:autoSpaceDE w:val="0"/>
              <w:widowControl/>
              <w:spacing w:line="396" w:lineRule="auto" w:before="208" w:after="0"/>
              <w:ind w:left="196" w:right="14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4"/>
              </w:rPr>
              <w:t xml:space="preserve">Eğitim Özeti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Eğitimde öncelikle sözleşmenin Türk hukuku kapsamında niteliği ve nasıl kurulduğu hakkında temel bilgilerin öğrenilmesi amaçlanmıştır. Sözleşmenin</w:t>
            </w:r>
          </w:p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niteliği ve nasıl kurulduğu anlatıldıktan sonra kapsamlı bir sözleşme hazırlamak için sözleşmede yer alması gereken unsurlara değinilmiştir. Anlatılmış</w:t>
            </w:r>
          </w:p>
          <w:p>
            <w:pPr>
              <w:autoSpaceDN w:val="0"/>
              <w:autoSpaceDE w:val="0"/>
              <w:widowControl/>
              <w:spacing w:line="233" w:lineRule="auto" w:before="6" w:after="0"/>
              <w:ind w:left="19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olan bilgiler, teoride kalmaması açısında uygulamada en çok karşılaşılan sözleşmelerden; Adi Ortaklık Sözleşmesi, Gizlilik Sözleşmesi ve Yazılım</w:t>
            </w:r>
          </w:p>
          <w:p>
            <w:pPr>
              <w:autoSpaceDN w:val="0"/>
              <w:autoSpaceDE w:val="0"/>
              <w:widowControl/>
              <w:spacing w:line="233" w:lineRule="auto" w:before="6" w:after="0"/>
              <w:ind w:left="19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Sözleşmesi örneklendirilerek akılda kalıcı bir eğitim verilmiştir. Av. Keremcan Zaim tarafından anlatılan bu eğitimde başarılı bir sözleşmenin nasıl</w:t>
            </w:r>
          </w:p>
          <w:p>
            <w:pPr>
              <w:autoSpaceDN w:val="0"/>
              <w:autoSpaceDE w:val="0"/>
              <w:widowControl/>
              <w:spacing w:line="233" w:lineRule="auto" w:before="6" w:after="0"/>
              <w:ind w:left="19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hazırlanması gerektiği uygulamalı bir biçimde işlenmiştir.</w:t>
            </w:r>
          </w:p>
          <w:p>
            <w:pPr>
              <w:autoSpaceDN w:val="0"/>
              <w:autoSpaceDE w:val="0"/>
              <w:widowControl/>
              <w:spacing w:line="396" w:lineRule="auto" w:before="208" w:after="0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4"/>
              </w:rPr>
              <w:t xml:space="preserve">Hedef Kitle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aüpwofeığopıghdfsjkaplfkjnfkdsşjkblnjfrghjnfzjdıgnlfjognlkgaüpwofeığopıghdfsjkaplfkjnfkdsşjkblnjfrghjnfzjdıgnlfjognlkgaüpwofeığopıghdfsjkaplfkjnfkdsşjkblnjfrghjnfzjdıgnlfjognlkgaü</w:t>
            </w:r>
          </w:p>
          <w:p>
            <w:pPr>
              <w:autoSpaceDN w:val="0"/>
              <w:autoSpaceDE w:val="0"/>
              <w:widowControl/>
              <w:spacing w:line="396" w:lineRule="auto" w:before="208" w:after="0"/>
              <w:ind w:left="196" w:right="561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4"/>
              </w:rPr>
              <w:t xml:space="preserve">Değerlendirme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Bu eğitimin değerlendirme süreci iki aşamalıdır.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40" w:lineRule="auto" w:before="126" w:after="0"/>
              <w:ind w:left="4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00" cy="381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Video eğitimleri en az %80 oranında izlemeli.</w:t>
            </w:r>
          </w:p>
          <w:p>
            <w:pPr>
              <w:autoSpaceDN w:val="0"/>
              <w:tabs>
                <w:tab w:pos="596" w:val="left"/>
              </w:tabs>
              <w:autoSpaceDE w:val="0"/>
              <w:widowControl/>
              <w:spacing w:line="240" w:lineRule="auto" w:before="6" w:after="0"/>
              <w:ind w:left="45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00" cy="38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Sınav başarı oranı en az %70 olmalıdır.</w:t>
            </w:r>
          </w:p>
          <w:p>
            <w:pPr>
              <w:autoSpaceDN w:val="0"/>
              <w:autoSpaceDE w:val="0"/>
              <w:widowControl/>
              <w:spacing w:line="396" w:lineRule="auto" w:before="208" w:after="0"/>
              <w:ind w:left="196" w:right="633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4"/>
              </w:rPr>
              <w:t xml:space="preserve">Sertifika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Sertifika Türü: Katılım Sertifikası.</w:t>
            </w:r>
          </w:p>
          <w:p>
            <w:pPr>
              <w:autoSpaceDN w:val="0"/>
              <w:autoSpaceDE w:val="0"/>
              <w:widowControl/>
              <w:spacing w:line="396" w:lineRule="auto" w:before="4358" w:after="204"/>
              <w:ind w:left="1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4"/>
              </w:rPr>
              <w:t xml:space="preserve">Kaynak Dökümanlar 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000000"/>
                <w:sz w:val="12"/>
              </w:rPr>
              <w:t>aüpwofeığopıghdfsjkaplfkjnfkdsşjkblnjfrghjnfzjdıgnlfjognlkgaüpwofeığopıghdfsjkaplfkjnfkdsşjkblnjfrghjnfzjdıgnlfjognlkgaüpwofeığopıghdfsjkaplfkjnfkdsşjkblnjfrghjnfzjdıgnlfjognlkgaü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5.99999999999994" w:type="dxa"/>
            </w:tblPr>
            <w:tblGrid>
              <w:gridCol w:w="4206"/>
              <w:gridCol w:w="4206"/>
            </w:tblGrid>
            <w:tr>
              <w:trPr>
                <w:trHeight w:hRule="exact" w:val="422"/>
              </w:trPr>
              <w:tc>
                <w:tcPr>
                  <w:tcW w:type="dxa" w:w="5640"/>
                  <w:tcBorders>
                    <w:top w:sz="4.0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232" w:after="0"/>
                    <w:ind w:left="0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000000"/>
                      <w:sz w:val="12"/>
                    </w:rPr>
                    <w:t>Bilgi Teknolojileri ve İletişim Kurumu, Eskişehir Yolu 10.Km, No: 276, 06530 Çankaya/Ankara</w:t>
                  </w:r>
                </w:p>
              </w:tc>
              <w:tc>
                <w:tcPr>
                  <w:tcW w:type="dxa" w:w="2360"/>
                  <w:tcBorders>
                    <w:top w:sz="4.0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34" w:lineRule="exact" w:before="242" w:after="0"/>
                    <w:ind w:left="0" w:right="0" w:firstLine="0"/>
                    <w:jc w:val="right"/>
                  </w:pPr>
                  <w:r>
                    <w:rPr>
                      <w:rFonts w:ascii="helv" w:hAnsi="helv" w:eastAsia="helv"/>
                      <w:b w:val="0"/>
                      <w:i w:val="0"/>
                      <w:color w:val="000000"/>
                      <w:sz w:val="12"/>
                    </w:rPr>
                    <w:t>📧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0000ED"/>
                      <w:sz w:val="12"/>
                      <w:u w:val="single"/>
                    </w:rPr>
                    <w:hyperlink r:id="rId14" w:history="1">
                      <w:r>
                        <w:rPr>
                          <w:rStyle w:val="Hyperlink"/>
                        </w:rPr>
                        <w:t>destek@btkakademi.gov.tr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899" w:h="16838"/>
      <w:pgMar w:top="422" w:right="502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mailto:destek@btkakademi.gov.tr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