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11030"/>
      </w:tblGrid>
      <w:tr>
        <w:trPr>
          <w:trHeight w:hRule="exact" w:val="14580"/>
        </w:trPr>
        <w:tc>
          <w:tcPr>
            <w:tcW w:type="dxa" w:w="10998"/>
            <w:tcBorders>
              <w:start w:sz="5.599999999999966" w:val="single" w:color="#CCCCCC"/>
              <w:top w:sz="5.599999999999966" w:val="single" w:color="#CCCCCC"/>
              <w:end w:sz="4.800000000000182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64.00000000000006" w:type="dxa"/>
            </w:tblPr>
            <w:tblGrid>
              <w:gridCol w:w="3666"/>
              <w:gridCol w:w="3666"/>
              <w:gridCol w:w="3666"/>
            </w:tblGrid>
            <w:tr>
              <w:trPr>
                <w:trHeight w:hRule="exact" w:val="850"/>
              </w:trPr>
              <w:tc>
                <w:tcPr>
                  <w:tcW w:type="dxa" w:w="4710"/>
                  <w:tcBorders>
                    <w:bottom w:sz="4.7999999999999545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145539" cy="41529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5539" cy="41529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4260"/>
                  <w:tcBorders>
                    <w:bottom w:sz="4.7999999999999545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30" w:after="0"/>
                    <w:ind w:left="0" w:right="118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72160" cy="207009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2160" cy="2070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490"/>
                  <w:tcBorders>
                    <w:bottom w:sz="4.7999999999999545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30" w:after="0"/>
                    <w:ind w:left="144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854710" cy="207009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4710" cy="2070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0" w:lineRule="exact" w:before="270" w:after="0"/>
              <w:ind w:left="264" w:right="0" w:firstLine="0"/>
              <w:jc w:val="left"/>
            </w:pPr>
            <w:r>
              <w:rPr>
                <w:w w:val="96.9432320466306"/>
                <w:rFonts w:ascii="helv" w:hAnsi="helv" w:eastAsia="helv"/>
                <w:b w:val="0"/>
                <w:i w:val="0"/>
                <w:color w:val="000000"/>
                <w:sz w:val="16"/>
              </w:rPr>
              <w:t>Eğitmen Adı: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Hakan Can ALTUNAY</w:t>
            </w:r>
          </w:p>
          <w:p>
            <w:pPr>
              <w:autoSpaceDN w:val="0"/>
              <w:autoSpaceDE w:val="0"/>
              <w:widowControl/>
              <w:spacing w:line="180" w:lineRule="exact" w:before="68" w:after="0"/>
              <w:ind w:left="264" w:right="0" w:firstLine="0"/>
              <w:jc w:val="left"/>
            </w:pPr>
            <w:r>
              <w:rPr>
                <w:w w:val="97.09602750066784"/>
                <w:rFonts w:ascii="helv" w:hAnsi="helv" w:eastAsia="helv"/>
                <w:b w:val="0"/>
                <w:i w:val="0"/>
                <w:color w:val="000000"/>
                <w:sz w:val="16"/>
              </w:rPr>
              <w:t>Eğitimin Adı: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Zararlı Yazılım Analizi</w:t>
            </w:r>
          </w:p>
          <w:p>
            <w:pPr>
              <w:autoSpaceDN w:val="0"/>
              <w:autoSpaceDE w:val="0"/>
              <w:widowControl/>
              <w:spacing w:line="178" w:lineRule="exact" w:before="70" w:after="0"/>
              <w:ind w:left="264" w:right="0" w:firstLine="0"/>
              <w:jc w:val="left"/>
            </w:pPr>
            <w:r>
              <w:rPr>
                <w:w w:val="98.07352423667908"/>
                <w:rFonts w:ascii="helv" w:hAnsi="helv" w:eastAsia="helv"/>
                <w:b w:val="0"/>
                <w:i w:val="0"/>
                <w:color w:val="000000"/>
                <w:sz w:val="16"/>
              </w:rPr>
              <w:t>Eğitimin Süresi: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3 Saat 24 Dakika</w:t>
            </w:r>
          </w:p>
          <w:p>
            <w:pPr>
              <w:autoSpaceDN w:val="0"/>
              <w:autoSpaceDE w:val="0"/>
              <w:widowControl/>
              <w:spacing w:line="180" w:lineRule="exact" w:before="70" w:after="0"/>
              <w:ind w:left="264" w:right="0" w:firstLine="0"/>
              <w:jc w:val="left"/>
            </w:pPr>
            <w:r>
              <w:rPr>
                <w:w w:val="97.9008648687625"/>
                <w:rFonts w:ascii="helv" w:hAnsi="helv" w:eastAsia="helv"/>
                <w:b w:val="0"/>
                <w:i w:val="0"/>
                <w:color w:val="000000"/>
                <w:sz w:val="16"/>
              </w:rPr>
              <w:t>Eğitim Kodu: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456</w:t>
            </w:r>
          </w:p>
          <w:p>
            <w:pPr>
              <w:autoSpaceDN w:val="0"/>
              <w:autoSpaceDE w:val="0"/>
              <w:widowControl/>
              <w:spacing w:line="180" w:lineRule="exact" w:before="296" w:after="0"/>
              <w:ind w:left="264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18"/>
              </w:rPr>
              <w:t>Eğitim Amacı</w:t>
            </w:r>
          </w:p>
          <w:p>
            <w:pPr>
              <w:autoSpaceDN w:val="0"/>
              <w:autoSpaceDE w:val="0"/>
              <w:widowControl/>
              <w:spacing w:line="245" w:lineRule="auto" w:before="258" w:after="0"/>
              <w:ind w:left="786" w:right="1008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Bu eğitimin amacı, öğrenenlerin zararlı yazılım hakkında bilgi edinmelerini ve zararlı yazılım analizi bilgi ve becerisini kazanmalarını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sağlamaktır.</w:t>
            </w:r>
          </w:p>
          <w:p>
            <w:pPr>
              <w:autoSpaceDN w:val="0"/>
              <w:autoSpaceDE w:val="0"/>
              <w:widowControl/>
              <w:spacing w:line="182" w:lineRule="exact" w:before="282" w:after="0"/>
              <w:ind w:left="264" w:right="0" w:firstLine="0"/>
              <w:jc w:val="left"/>
            </w:pPr>
            <w:r>
              <w:rPr>
                <w:w w:val="101.62853046968192"/>
                <w:rFonts w:ascii="helv" w:hAnsi="helv" w:eastAsia="helv"/>
                <w:b w:val="0"/>
                <w:i w:val="0"/>
                <w:color w:val="000000"/>
                <w:sz w:val="18"/>
              </w:rPr>
              <w:t>Eğitim Özeti</w:t>
            </w:r>
          </w:p>
          <w:p>
            <w:pPr>
              <w:autoSpaceDN w:val="0"/>
              <w:autoSpaceDE w:val="0"/>
              <w:widowControl/>
              <w:spacing w:line="245" w:lineRule="auto" w:before="276" w:after="0"/>
              <w:ind w:left="786" w:right="144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Bu eğitimde, zararlı yazılım analizi sürecine dair temel kavramlardan başlayarak, statik ve dinamik analiz yöntemleri, tersine mühendislik, 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bellek ve işlemci bazında analiz konuları yer almaktadır. Katılımcılara, zararlı yazılımların tespit ve analiz edilmesinde kullanılan çeşitli teknikler, 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engelleme yöntemleri ve gizleme stratejileri öğretilir. Ayrıca, web kaynaklı zararlı yazılımlar ve zararlı dokümanların incelenmesi, bellek dökümü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analizi ve ileri düzey zararlı yazılım analizine dair kapsamlı bilgiler sunulur. Bu eğitim, zararlı yazılım analizi konusunda derinlemesine bilgi 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edinmek isteyenler için oldukça kapsamlı bir kaynak sunmaktadır.</w:t>
            </w:r>
          </w:p>
          <w:p>
            <w:pPr>
              <w:autoSpaceDN w:val="0"/>
              <w:autoSpaceDE w:val="0"/>
              <w:widowControl/>
              <w:spacing w:line="184" w:lineRule="exact" w:before="282" w:after="0"/>
              <w:ind w:left="264" w:right="0" w:firstLine="0"/>
              <w:jc w:val="left"/>
            </w:pPr>
            <w:r>
              <w:rPr>
                <w:w w:val="101.5470597887318"/>
                <w:rFonts w:ascii="helv" w:hAnsi="helv" w:eastAsia="helv"/>
                <w:b w:val="0"/>
                <w:i w:val="0"/>
                <w:color w:val="000000"/>
                <w:sz w:val="18"/>
              </w:rPr>
              <w:t>Hedef Kitle</w:t>
            </w:r>
          </w:p>
          <w:p>
            <w:pPr>
              <w:autoSpaceDN w:val="0"/>
              <w:autoSpaceDE w:val="0"/>
              <w:widowControl/>
              <w:spacing w:line="245" w:lineRule="auto" w:before="274" w:after="0"/>
              <w:ind w:left="786" w:right="8064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Üniversite öğrencileri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Bilgi Teknolojileri çalışanları,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Zararlı Yazılıma ilgi duyanlar,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Zararlı Yazılım geliştirenler.</w:t>
            </w:r>
          </w:p>
          <w:p>
            <w:pPr>
              <w:autoSpaceDN w:val="0"/>
              <w:autoSpaceDE w:val="0"/>
              <w:widowControl/>
              <w:spacing w:line="184" w:lineRule="exact" w:before="280" w:after="0"/>
              <w:ind w:left="264" w:right="0" w:firstLine="0"/>
              <w:jc w:val="left"/>
            </w:pPr>
            <w:r>
              <w:rPr>
                <w:w w:val="101.70587963528104"/>
                <w:rFonts w:ascii="helv" w:hAnsi="helv" w:eastAsia="helv"/>
                <w:b w:val="0"/>
                <w:i w:val="0"/>
                <w:color w:val="000000"/>
                <w:sz w:val="18"/>
              </w:rPr>
              <w:t>Kazanımlar</w:t>
            </w:r>
          </w:p>
          <w:p>
            <w:pPr>
              <w:autoSpaceDN w:val="0"/>
              <w:autoSpaceDE w:val="0"/>
              <w:widowControl/>
              <w:spacing w:line="245" w:lineRule="auto" w:before="276" w:after="0"/>
              <w:ind w:left="786" w:right="4464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Zararlı yazılımların analizi konusunda teorik bilgi sahibi olurlar,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Temel düzeyde statik ve dinamik Zararlı Yazılım analizi yapabilir,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Zararlı Yazılım analizi kapsamında statik ve dinamik analiz araçlarını kullanabilir,</w:t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Genel Zararlı Yazılım Davranış yöntemlerini tanıyabilir.</w:t>
            </w:r>
          </w:p>
          <w:p>
            <w:pPr>
              <w:autoSpaceDN w:val="0"/>
              <w:autoSpaceDE w:val="0"/>
              <w:widowControl/>
              <w:spacing w:line="184" w:lineRule="exact" w:before="280" w:after="0"/>
              <w:ind w:left="264" w:right="0" w:firstLine="0"/>
              <w:jc w:val="left"/>
            </w:pPr>
            <w:r>
              <w:rPr>
                <w:w w:val="101.61612892861291"/>
                <w:rFonts w:ascii="helv" w:hAnsi="helv" w:eastAsia="helv"/>
                <w:b w:val="0"/>
                <w:i w:val="0"/>
                <w:color w:val="000000"/>
                <w:sz w:val="18"/>
              </w:rPr>
              <w:t>Gereksinimler</w:t>
            </w:r>
          </w:p>
          <w:p>
            <w:pPr>
              <w:autoSpaceDN w:val="0"/>
              <w:autoSpaceDE w:val="0"/>
              <w:widowControl/>
              <w:spacing w:line="245" w:lineRule="auto" w:before="276" w:after="0"/>
              <w:ind w:left="786" w:right="6480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Bilgisayar mimarisi hakkında bilgi sahibi olmak,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Siber güvenlik temelleri hakkında bilgi sahibi olmak,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İşletim sistemleri hakkında bilgi sahibi olmak.</w:t>
            </w:r>
          </w:p>
          <w:p>
            <w:pPr>
              <w:autoSpaceDN w:val="0"/>
              <w:autoSpaceDE w:val="0"/>
              <w:widowControl/>
              <w:spacing w:line="184" w:lineRule="exact" w:before="298" w:after="0"/>
              <w:ind w:left="264" w:right="0" w:firstLine="0"/>
              <w:jc w:val="left"/>
            </w:pPr>
            <w:r>
              <w:rPr>
                <w:w w:val="101.7035345912698"/>
                <w:rFonts w:ascii="helv" w:hAnsi="helv" w:eastAsia="helv"/>
                <w:b w:val="0"/>
                <w:i w:val="0"/>
                <w:color w:val="000000"/>
                <w:sz w:val="18"/>
              </w:rPr>
              <w:t>Kullanılan Programlar</w:t>
            </w:r>
          </w:p>
          <w:p>
            <w:pPr>
              <w:autoSpaceDN w:val="0"/>
              <w:autoSpaceDE w:val="0"/>
              <w:widowControl/>
              <w:spacing w:line="230" w:lineRule="auto" w:before="258" w:after="0"/>
              <w:ind w:left="786" w:right="0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Bu eğitim özelinde kullanılacak program bulunmamaktadır.</w:t>
            </w:r>
          </w:p>
          <w:p>
            <w:pPr>
              <w:autoSpaceDN w:val="0"/>
              <w:autoSpaceDE w:val="0"/>
              <w:widowControl/>
              <w:spacing w:line="182" w:lineRule="exact" w:before="300" w:after="0"/>
              <w:ind w:left="264" w:right="0" w:firstLine="0"/>
              <w:jc w:val="left"/>
            </w:pPr>
            <w:r>
              <w:rPr>
                <w:w w:val="101.67507904852955"/>
                <w:rFonts w:ascii="helv" w:hAnsi="helv" w:eastAsia="helv"/>
                <w:b w:val="0"/>
                <w:i w:val="0"/>
                <w:color w:val="000000"/>
                <w:sz w:val="18"/>
              </w:rPr>
              <w:t>Eğitim Sunumları ve Kaynak Dökümanlar</w:t>
            </w:r>
          </w:p>
          <w:p>
            <w:pPr>
              <w:autoSpaceDN w:val="0"/>
              <w:autoSpaceDE w:val="0"/>
              <w:widowControl/>
              <w:spacing w:line="235" w:lineRule="auto" w:before="258" w:after="0"/>
              <w:ind w:left="786" w:right="0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https://files.btkakademi.gov.tr/456_ZARARLI_YAZILIM_ANALIZI/Terimler_Sozlugu.pdf</w:t>
            </w:r>
          </w:p>
          <w:p>
            <w:pPr>
              <w:autoSpaceDN w:val="0"/>
              <w:autoSpaceDE w:val="0"/>
              <w:widowControl/>
              <w:spacing w:line="180" w:lineRule="exact" w:before="302" w:after="0"/>
              <w:ind w:left="264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18"/>
              </w:rPr>
              <w:t>Tavsiye Edilen Yardımcı Kaynaklar</w:t>
            </w:r>
          </w:p>
          <w:p>
            <w:pPr>
              <w:autoSpaceDN w:val="0"/>
              <w:autoSpaceDE w:val="0"/>
              <w:widowControl/>
              <w:spacing w:line="245" w:lineRule="auto" w:before="258" w:after="0"/>
              <w:ind w:left="720" w:right="5760" w:firstLine="0"/>
              <w:jc w:val="center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Practical Malware Analysis [Michael Sikorski - Andrew Honig]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Uygulamalı Siber Güvenlik ve Hacking [Mustafa Altınkaynak]</w:t>
            </w:r>
          </w:p>
          <w:p>
            <w:pPr>
              <w:autoSpaceDN w:val="0"/>
              <w:autoSpaceDE w:val="0"/>
              <w:widowControl/>
              <w:spacing w:line="182" w:lineRule="exact" w:before="300" w:after="0"/>
              <w:ind w:left="264" w:right="0" w:firstLine="0"/>
              <w:jc w:val="left"/>
            </w:pPr>
            <w:r>
              <w:rPr>
                <w:w w:val="101.67251312451344"/>
                <w:rFonts w:ascii="helv" w:hAnsi="helv" w:eastAsia="helv"/>
                <w:b w:val="0"/>
                <w:i w:val="0"/>
                <w:color w:val="000000"/>
                <w:sz w:val="18"/>
              </w:rPr>
              <w:t>Değerlendirme</w:t>
            </w:r>
          </w:p>
          <w:p>
            <w:pPr>
              <w:autoSpaceDN w:val="0"/>
              <w:autoSpaceDE w:val="0"/>
              <w:widowControl/>
              <w:spacing w:line="235" w:lineRule="auto" w:before="258" w:after="0"/>
              <w:ind w:left="264" w:right="0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Bu eğitimin değerlendirme süreci iki aşamalıdır.</w:t>
            </w:r>
          </w:p>
          <w:p>
            <w:pPr>
              <w:autoSpaceDN w:val="0"/>
              <w:autoSpaceDE w:val="0"/>
              <w:widowControl/>
              <w:spacing w:line="245" w:lineRule="auto" w:before="164" w:after="0"/>
              <w:ind w:left="786" w:right="6912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Video eğitimleri en az %50 oranında izlemeli.</w:t>
            </w:r>
            <w:r>
              <w:br/>
            </w: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• Sınav başarı oranı en az %70 olmalıdır.</w:t>
            </w:r>
          </w:p>
          <w:p>
            <w:pPr>
              <w:autoSpaceDN w:val="0"/>
              <w:autoSpaceDE w:val="0"/>
              <w:widowControl/>
              <w:spacing w:line="182" w:lineRule="exact" w:before="280" w:after="0"/>
              <w:ind w:left="264" w:right="0" w:firstLine="0"/>
              <w:jc w:val="left"/>
            </w:pPr>
            <w:r>
              <w:rPr>
                <w:w w:val="101.5134739281274"/>
                <w:rFonts w:ascii="helv" w:hAnsi="helv" w:eastAsia="helv"/>
                <w:b w:val="0"/>
                <w:i w:val="0"/>
                <w:color w:val="000000"/>
                <w:sz w:val="18"/>
              </w:rPr>
              <w:t>Sertifika</w:t>
            </w:r>
          </w:p>
          <w:p>
            <w:pPr>
              <w:autoSpaceDN w:val="0"/>
              <w:autoSpaceDE w:val="0"/>
              <w:widowControl/>
              <w:spacing w:line="230" w:lineRule="auto" w:before="278" w:after="0"/>
              <w:ind w:left="264" w:right="0" w:firstLine="0"/>
              <w:jc w:val="left"/>
            </w:pPr>
            <w:r>
              <w:rPr>
                <w:w w:val="98.07352423667908"/>
                <w:rFonts w:ascii="Arial" w:hAnsi="Arial" w:eastAsia="Arial"/>
                <w:b w:val="0"/>
                <w:i w:val="0"/>
                <w:color w:val="000000"/>
                <w:sz w:val="16"/>
              </w:rPr>
              <w:t>Sertifika Türü: Katılım Sertifikası.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38" w:right="536" w:bottom="280" w:left="67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11030"/>
      </w:tblGrid>
      <w:tr>
        <w:trPr>
          <w:trHeight w:hRule="exact" w:val="4720"/>
        </w:trPr>
        <w:tc>
          <w:tcPr>
            <w:tcW w:type="dxa" w:w="10998"/>
            <w:tcBorders>
              <w:start w:sz="5.599999999999966" w:val="single" w:color="#CCCCCC"/>
              <w:end w:sz="4.800000000000182" w:val="single" w:color="#CCCCCC"/>
              <w:bottom w:sz="4.800000000000182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262"/>
              <w:ind w:left="26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321050" cy="2349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2349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64.00000000000006" w:type="dxa"/>
            </w:tblPr>
            <w:tblGrid>
              <w:gridCol w:w="3666"/>
              <w:gridCol w:w="3666"/>
              <w:gridCol w:w="3666"/>
            </w:tblGrid>
            <w:tr>
              <w:trPr>
                <w:trHeight w:hRule="exact" w:val="302"/>
              </w:trPr>
              <w:tc>
                <w:tcPr>
                  <w:tcW w:type="dxa" w:w="6030"/>
                  <w:tcBorders>
                    <w:top w:sz="5.600000000000136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5" w:lineRule="auto" w:before="120" w:after="0"/>
                    <w:ind w:left="0" w:right="0" w:firstLine="0"/>
                    <w:jc w:val="left"/>
                  </w:pPr>
                  <w:r>
                    <w:rPr>
                      <w:w w:val="98.07352423667908"/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>Bilgi Teknolojileri ve İletişim Kurumu,</w:t>
                  </w:r>
                </w:p>
              </w:tc>
              <w:tc>
                <w:tcPr>
                  <w:tcW w:type="dxa" w:w="2480"/>
                  <w:vMerge w:val="restart"/>
                  <w:tcBorders>
                    <w:top w:sz="5.600000000000136" w:val="single" w:color="#CCCCCC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10" w:after="0"/>
                    <w:ind w:left="0" w:right="64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24460" cy="124460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460" cy="1244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950"/>
                  <w:vMerge w:val="restart"/>
                  <w:tcBorders>
                    <w:top w:sz="5.600000000000136" w:val="single" w:color="#CCCCCC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226" w:after="0"/>
                    <w:ind w:left="102" w:right="0" w:firstLine="0"/>
                    <w:jc w:val="left"/>
                  </w:pPr>
                  <w:r>
                    <w:rPr>
                      <w:w w:val="98.07352423667908"/>
                      <w:rFonts w:ascii="Arial" w:hAnsi="Arial" w:eastAsia="Arial"/>
                      <w:b w:val="0"/>
                      <w:i w:val="0"/>
                      <w:color w:val="2C2C2C"/>
                      <w:sz w:val="16"/>
                    </w:rPr>
                    <w:hyperlink r:id="rId14" w:history="1">
                      <w:r>
                        <w:rPr>
                          <w:rStyle w:val="Hyperlink"/>
                        </w:rPr>
                        <w:t>destek@btkakademi.gov.tr</w:t>
                      </w:r>
                    </w:hyperlink>
                  </w:r>
                </w:p>
              </w:tc>
            </w:tr>
            <w:tr>
              <w:trPr>
                <w:trHeight w:hRule="exact" w:val="236"/>
              </w:trPr>
              <w:tc>
                <w:tcPr>
                  <w:tcW w:type="dxa" w:w="603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5" w:lineRule="auto" w:before="20" w:after="0"/>
                    <w:ind w:left="0" w:right="0" w:firstLine="0"/>
                    <w:jc w:val="left"/>
                  </w:pPr>
                  <w:r>
                    <w:rPr>
                      <w:w w:val="98.07352423667908"/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>Eskişehir Yolu 10.Km, No: 276, 06530 Çankaya/Ankara</w:t>
                  </w:r>
                </w:p>
              </w:tc>
              <w:tc>
                <w:tcPr>
                  <w:tcW w:type="dxa" w:w="3666"/>
                  <w:vMerge/>
                  <w:tcBorders>
                    <w:top w:sz="5.600000000000136" w:val="single" w:color="#CCCCCC"/>
                  </w:tcBorders>
                </w:tcPr>
                <w:p/>
              </w:tc>
              <w:tc>
                <w:tcPr>
                  <w:tcW w:type="dxa" w:w="3666"/>
                  <w:vMerge/>
                  <w:tcBorders>
                    <w:top w:sz="5.600000000000136" w:val="single" w:color="#CCCCCC"/>
                  </w:tcBorders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284" w:right="536" w:bottom="1440" w:left="67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mailto:destek@btkakademi.gov.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