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45" w:rsidRPr="008334D2" w:rsidRDefault="00C92745" w:rsidP="008334D2">
      <w:pPr>
        <w:pStyle w:val="ab"/>
      </w:pPr>
      <w:bookmarkStart w:id="0" w:name="_GoBack"/>
      <w:bookmarkEnd w:id="0"/>
    </w:p>
    <w:p>
      <w:pPr>
        <w:ind w:firstLine="1701"/>
      </w:pPr>
      <w:r>
        <w:rPr>
          <w:rStyle w:val="11"/>
        </w:rPr>
        <w:t>ТЕСТ-ПЛАН. ОБНОВЛЕНИЕ 4.2.4</w:t>
      </w:r>
    </w:p>
    <w:p>
      <w:pPr>
        <w:pStyle w:val="ab"/>
      </w:pPr>
      <w:r>
        <w:t>Таблица 1 Запасы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Модуль Запасы, при работе с классификацией РФ 2016 исправлена ошибка размерности шага от скважины до границы категории В.</w:t>
              <w:br/>
              <w:t>50904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объект.</w:t>
              <w:br/>
              <w:t>2. Выставить тип классификации в меню Запасы- Текущая классификация- РФ 2016.</w:t>
              <w:br/>
              <w:t>3. Отрисовать запасы категории А, затем категории В1.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Граница категории запасов В1 должна проходить,на расстоянии, равному двойному шагу эксплуатационной сетки, от линии, проходящей через крайние скважины.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Bikbaev.FF@gazpromneft-ntc.ru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 при построении области Вороных при пересечении скважин</w:t>
              <w:br/>
              <w:t>50786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1.Открыть приложенную карту</w:t>
              <w:br/>
              <w:t>2.Перейти в пункт меню "Рисовать-Рисовать запасы".</w:t>
              <w:br/>
              <w:t>3.Указать слой скважин, сетки ННТ и ОННТ,выставить флаг в поле "Учитывать траектории скважин".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2710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710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На приложенной карте области вороных по проектным скважинам строятся.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2 Слои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Добавлена возможно группировать сгруппированные слои</w:t>
              <w:br/>
              <w:t>50876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объект.</w:t>
              <w:br/>
              <w:t>Для примера можно использовать Еты-Пуровское месторождение, объект 2БП9.</w:t>
              <w:br/>
              <w:t>Карту прикладываю (ЕТЫ-ПУРОВСКОЕ  2БП9_ТЕСТ.map.</w:t>
              <w:br/>
              <w:t>2. Выделить с помощью кнопки "shift" на клавиатуре два слоя в дереве слоев, которые включают в себя дополнительную группу слоев.</w:t>
              <w:br/>
              <w:t>Например, "Группа: сетки ск ОТ ПОЛЬЗОВАТЕЛЯ" и "Группа: сетки юк ОТ ПОЛЬЗОВАТЕЛЯ"</w:t>
              <w:br/>
              <w:t>3. Кликнуть правой кнопкой мыши по выделенным слоям, в контекстном меню выбрать "Сгруппировать".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389399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8939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Отобразится сгруппированный слой.</w:t>
              <w:br/>
              <w:t>Слой будет пустой, не будет содержать подслоев, что является ошибкой работы программы.</w:t>
              <w:br/>
              <w:t>Если отменить действие группировки (Ctrl+Z), не должна выходить критичная ошибка.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980000" cy="364914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36491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rudenkoev@ufntc.ru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Исправлены ошибки по изменению цвета,типа линии и метки уровня для изолиний</w:t>
              <w:br/>
              <w:t>24901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rudenkoev@ufntc.ru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3 Отчёты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Исправлена ошибка при экспорте данных по добыче</w:t>
              <w:br/>
              <w:t>50903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карту.</w:t>
              <w:br/>
              <w:t>2. В инспекторе ПКМ по базам данных.</w:t>
              <w:br/>
              <w:t>3. Экспорт - Экспорт данных по добыче.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Корректная работа модуля "Экспорт данных по добыче".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FaizovaSN@ufntc.ru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Исправлено.Скорректирована выгрузка данных ГДИС в отчет</w:t>
              <w:br/>
              <w:t>50839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 all.</w:t>
              <w:br/>
              <w:t>Для примера можно использовать Крайнее месторождение, объект all.</w:t>
              <w:br/>
              <w:t>2. В окне Инспектора развернуть уровень вложенности до слоя "Скважины"</w:t>
              <w:br/>
              <w:t>3. Кликнуть правой кнопкой мыши по уровню "Скважины", в контекстном меню выбрать команду "Экспорт - ГДИС"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3162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316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Указать путь для сохранения файла.</w:t>
              <w:br/>
              <w:t>4. Открыть выгруженный файл.</w:t>
              <w:br/>
              <w:t>Проверить результат выгрузки записей по скважине 2011.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В отчет выгружается информация со смещением по некоторым записям скважины 2011.</w:t>
              <w:br/>
              <w:t>Информация не должна смещаться.</w:t>
              <w:br/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980000" cy="94414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94414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rudenkoev@ufntc.ru</w:t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3.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В настройках отчета, при наведении курсора на окно выбора категории должно выходить уведомление "Доступные категории".</w:t>
              <w:br/>
              <w:br/>
              <w:t>Параметры в категории "Накопленные показатели" на русском языке.</w:t>
              <w:br/>
              <w:t>50587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В настройках отчета навести курсор мыши на окно выбора категории.</w:t>
              <w:br/>
              <w:t>2. Параметры в категории "Накопленные показатели" должны быть переведены на русский язык.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1.В настройках отчета, при наведении курсора на окно выбора категории должно выходить уведомление "Доступные категории".</w:t>
              <w:br/>
              <w:t>2. Параметры в категории "Накопленные показатели" на русском языке.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4 Карта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 при которой не удалялись осевые отметки</w:t>
              <w:br/>
              <w:t>50770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объект</w:t>
              <w:br/>
              <w:t>2. Сервис - Настройки - Карта: Максимальное число осевых отметок: 1</w:t>
              <w:br/>
              <w:t>3. Проставить осевые отметки по осям: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562591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5625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4. Нажать очистить: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187066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9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1870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При нажатии на кнопку очистить, программа должна удалять все отметки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Не строилась карта максимальных дебитов жидкости по нагнетательным скважинам, которые были в добыче.</w:t>
              <w:br/>
              <w:t>50268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объект.</w:t>
              <w:br/>
              <w:t>2. Зайти в меню Карта-Построить-Карта максимальных дебитов жидкости.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Карта максимальных дебитов жидкости должна построится и по фактически добывающим скважинам и по нагнетательным скважинам, которые были в добыче.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Korolev.DMi@gazpromneft-ntc.ru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5 Картопостроение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Оставлен раздел ГРП в картопостроителе для карт плотностей, ОННТ,текущей выработки и текущей нефтенассыщенности</w:t>
              <w:br/>
              <w:t>50778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1.Открыть объект месторождения</w:t>
              <w:br/>
              <w:t>2.На панели инструментов нажать на кнопку "Картопостроитель"</w:t>
              <w:br/>
              <w:t>3.Перейти в любой тип карт, к примеру Карта проницаемости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Раздел ГРП не отображается для всех типов карт. Только для карт плотностей, ОННТ,текущей выработки и текущей нефтенассыщенности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Добавлено сообщение в лог при построении карты с очень маленьким шагом</w:t>
              <w:br/>
              <w:t>50669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Для примера можно использовать месторождение Серафимовское, объект  Cбоб-рад.</w:t>
              <w:br/>
              <w:t>Карту прикладываю (построение не удается т.к. карта привязана к старым координатам).</w:t>
              <w:br/>
              <w:t>2. Открыть приложенный документ</w:t>
              <w:br/>
              <w:t>В диалоговом окне нажать о смене источника данных нажать "Нет"</w:t>
              <w:br/>
              <w:t>3. Открыть картопостроитель, доступен из меню Карта - Построить карту (Ctrl+B).</w:t>
              <w:br/>
              <w:t>4. Очистить КЭШ построения (кнопка в правом нижнем углу окна)</w:t>
              <w:br/>
              <w:t>5. Развернуть уровень "Запасы", найти уровень "Карта начальных нефтенасыщенных толщин" - Поставить галочку напротив, чтобы осуществить построение сетки ННТ.</w:t>
              <w:br/>
              <w:t>В настройках указать размер ячейки = 10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2148602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1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14860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В окне "Картопостроитель" нажать на кнопку "Построить"</w:t>
              <w:br/>
              <w:t>7. Отобразится процесс к подготовке построения карты.</w:t>
              <w:br/>
              <w:t>8. После окончания процесса в логе отобразится информация, что расчет карты не удался.</w:t>
              <w:br/>
              <w:t>9. Воспользоваться повторно меню "Карта - Построить карту"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127454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12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1274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У пользователя не должно выходить критичных ошибок с уведомлением о нехватки памяти для обработки команды.</w:t>
              <w:br/>
              <w:t>Если расход карты не удался, то расход памяти не должен увеличиваться.</w:t>
              <w:br/>
              <w:t>Прошу рассмотреть возможность сбрасывать память, когда сетка не выгружается в дерево слоев.</w:t>
              <w:br/>
              <w:t>Расход памяти должен соотвествовать индикатору, а индикатор отображается зеленым.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6 Фиктивные точки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Исправлено отображение полей для фиктивных точек</w:t>
              <w:br/>
              <w:t>37369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7 Ядро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некорректная работа бокса для опции "Всегда использовать внутренний отправщик писем" в меню Сервис-Настройки-Приступая к работе</w:t>
              <w:br/>
              <w:t>50750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Запустить NGT Smart</w:t>
              <w:br/>
              <w:t>2. Сервис - Настройки - Приступая к работе</w:t>
              <w:br/>
              <w:t>4. Проставить галочку "Всегда использовать внутренний отправщик писем"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Бокс "Всегда использовать внутренний отправщик писем" должен отрабатывать корректно.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8 Оформление карт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 После открытия карты не сохранялись настройки для изопахит</w:t>
              <w:br/>
              <w:t>50765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NGT Smart.</w:t>
              <w:br/>
              <w:t>2. Построить карту, или загрузить карту из  базы.</w:t>
              <w:br/>
              <w:t>3. Построить изолинии - для этого нажать кнопку "Рисовать"</w:t>
              <w:br/>
              <w:t>4. Выбрать меню "Рисовать изолинии"</w:t>
              <w:br/>
              <w:t>5. Изменить настройки изолинии, отображение типа и цвета линий.</w:t>
              <w:br/>
              <w:t xml:space="preserve">6. В настройках слой Изопахит установить метку: 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283552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1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8355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7. Сохранить карту.</w:t>
              <w:br/>
              <w:t>8. Закрыть карту.</w:t>
              <w:br/>
              <w:t>9. Открыть сохраненную карту.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При открытии сохраненной карты должны сохранятся и отображатся все настройки которые были применены перед сохранением.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gabidullinar@ufntc.ru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9 Переводы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Исправлено.Исправлено название меню "Газовые параметры" на "Газовые показатели"</w:t>
              <w:br/>
              <w:t>50911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Подключиться к приложенной БД</w:t>
              <w:br/>
              <w:t>2. Выбрать модуль МЭР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10 Списки, фильтр скважин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 чтения списка</w:t>
              <w:br/>
              <w:t>50805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Для примера можно использовать месторождение Пограничное, объект БС11.</w:t>
              <w:br/>
              <w:t>Открыть месторождение, объект.</w:t>
              <w:br/>
              <w:t>2. Списки хранятся в папке:</w:t>
              <w:br/>
              <w:t>AppData\Roaming\NGT\NGT Smart 4\@WellList\DefaultGtmLists</w:t>
              <w:br/>
              <w:t>Скопировать в папку файлы списков, приложены к тикету, например, "Слой Скважины, БС11 (ПОГРАНИЧНОЕ) из 09-02-2017-16-55-08-335.wls.wls"</w:t>
              <w:br/>
              <w:t>3. Воспользоваться на панели инструментов кнопкой "Списки"</w:t>
              <w:br/>
              <w:t>4. В окне "Списки" переключиться в режим отображения всех списков, нажатием на левую верхнюю кнопку "Списки скважин"</w:t>
              <w:br/>
              <w:t>5. Выбрать список "Слой Скважины, БС11 (ПОГРАНИЧНОЕ) из 09-02-2017-16-55-08-335.wls.wls", двойным кликом левой кнопки мыши открыть список.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Открытый список должен содержать перечень скважин.</w:t>
              <w:br/>
              <w:t xml:space="preserve">В лог не должно выходить сообщение "Ошибка чтения списка" </w:t>
              <w:br/>
              <w:t>При использовании функционала "Операции над спискам", если подается ранее сохраненный список - в лог не должно выходить критичное уведомление: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1980000" cy="111375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113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rudenkoev@ufntc.ru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11 Контуры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нестабильная работа геометрического вычитания контуров</w:t>
              <w:br/>
              <w:t>50868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карту.</w:t>
              <w:br/>
              <w:t>2. В меню выбрать "контур" - нарисовать два пересекающихся контура:</w:t>
              <w:br/>
            </w:r>
            <w:r>
              <w:drawing>
                <wp:inline xmlns:a="http://schemas.openxmlformats.org/drawingml/2006/main" xmlns:pic="http://schemas.openxmlformats.org/drawingml/2006/picture">
                  <wp:extent cx="2340000" cy="2382936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0003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3829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0"/>
              </w:rPr>
              <w:br/>
              <w:br/>
              <w:t>3. Выбрать один из контуров в дереве слоев - ПКМ по этому контуру - Вычитание контуров - Выбрать в открывшемся окне второй контур - ОК.</w:t>
              <w:br/>
              <w:t>4. Выключить видимость контуров в дереве слоев.</w:t>
              <w:br/>
              <w:t>5. Проделать п.3.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Должно быть корректное вычитание контуров.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  <w:t>FaizovaSN@ufntc.ru</w:t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12 Настройки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 которая появляется при удалении значения в Сервис-Настройки у подпунктов настроек со значением</w:t>
              <w:br/>
              <w:t>50881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Открыть месторождение, объект.</w:t>
              <w:br/>
              <w:t>2. Зайти в меню Сервис-Настройки.</w:t>
              <w:br/>
              <w:t>3. Выбрать подпункт настроек, со значением, которое можно изменить, изменить значение, а затем удалить значение в строке с помощью кнопки, например, "Значения с карты", удалить значение в строке "Отступ для значений с карты, пт"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При изменении значений и их удалении не должно выходить ошибок.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2.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Исправлено.Исправлена ошибка, когда после выставлении опции сбрасывается цвет изолинии</w:t>
              <w:br/>
              <w:t>50872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Загрузить карту из БД или построить через Картопостроитель.</w:t>
              <w:br/>
              <w:t>2. Нарисовать изолинии по карте.</w:t>
              <w:br/>
              <w:t>3.В свойствах слоя изолиний поменять цвет.</w:t>
              <w:br/>
              <w:t>4.Включить опцию Сгладить.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После смены цвета изолиний и установлении опции Сгладить цвет изолиний не меняется.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p>
      <w:pPr>
        <w:pStyle w:val="ab"/>
      </w:pPr>
      <w:r>
        <w:t>Таблица 13 ГИС</w:t>
      </w:r>
    </w:p>
    <w:tbl>
      <w:tblPr>
        <w:tblStyle w:val="ad"/>
        <w:tblW w:type="auto" w:w="0"/>
        <w:tblLayout w:type="fixed"/>
        <w:tblLook w:firstColumn="1" w:firstRow="1" w:lastColumn="0" w:lastRow="0" w:noHBand="0" w:noVBand="1" w:val="04A0"/>
      </w:tblPr>
      <w:tblGrid>
        <w:gridCol w:w="2387"/>
        <w:gridCol w:w="2387"/>
        <w:gridCol w:w="2387"/>
        <w:gridCol w:w="2387"/>
        <w:gridCol w:w="2387"/>
        <w:gridCol w:w="2387"/>
      </w:tblGrid>
      <w:tr>
        <w:tc>
          <w:tcPr>
            <w:tcW w:type="dxa" w:w="567"/>
          </w:tcPr>
          <w:p/>
          <w:p>
            <w:r>
              <w:rPr>
                <w:rFonts w:ascii="Calibri" w:hAnsi="Calibri"/>
                <w:b/>
                <w:sz w:val="20"/>
              </w:rPr>
              <w:t>№ п/п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Объект тестирования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b/>
                <w:sz w:val="20"/>
              </w:rPr>
              <w:t>Сценарий выполнения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b/>
                <w:sz w:val="20"/>
              </w:rPr>
              <w:t>Ожидаемый результат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b/>
                <w:sz w:val="20"/>
              </w:rPr>
              <w:t>Инициатор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b/>
                <w:sz w:val="20"/>
              </w:rPr>
              <w:t>Итог тестирования</w:t>
            </w:r>
          </w:p>
        </w:tc>
      </w:tr>
      <w:tr>
        <w:tc>
          <w:tcPr>
            <w:tcW w:type="dxa" w:w="567"/>
          </w:tcPr>
          <w:p/>
          <w:p>
            <w:r>
              <w:rPr>
                <w:rFonts w:ascii="Calibri" w:hAnsi="Calibri"/>
                <w:sz w:val="20"/>
              </w:rPr>
              <w:t>1.</w:t>
            </w:r>
          </w:p>
        </w:tc>
        <w:tc>
          <w:tcPr>
            <w:tcW w:type="dxa" w:w="2835"/>
          </w:tcPr>
          <w:p/>
          <w:p>
            <w:r>
              <w:rPr>
                <w:rFonts w:ascii="Calibri" w:hAnsi="Calibri"/>
                <w:sz w:val="20"/>
              </w:rPr>
              <w:t>Добавлено. Добавлена возможность загрузки и отображения данных проводки ГС.</w:t>
              <w:br/>
              <w:t>51028</w:t>
            </w:r>
          </w:p>
        </w:tc>
        <w:tc>
          <w:tcPr>
            <w:tcW w:type="dxa" w:w="3969"/>
          </w:tcPr>
          <w:p/>
          <w:p>
            <w:r>
              <w:rPr>
                <w:rFonts w:ascii="Calibri" w:hAnsi="Calibri"/>
                <w:sz w:val="20"/>
              </w:rPr>
              <w:t>1. Подключиться к БД, в которую загружены данные проводки ГС</w:t>
              <w:br/>
              <w:t>2. Открыть месторождение, выбрать скважину, перейти в модуль ГИС</w:t>
            </w:r>
          </w:p>
        </w:tc>
        <w:tc>
          <w:tcPr>
            <w:tcW w:type="dxa" w:w="3402"/>
          </w:tcPr>
          <w:p/>
          <w:p>
            <w:r>
              <w:rPr>
                <w:rFonts w:ascii="Calibri" w:hAnsi="Calibri"/>
                <w:sz w:val="20"/>
              </w:rPr>
              <w:t>В модуле ГИС отображается таблица с информацией по проводке ГС</w:t>
              <w:br/>
              <w:t>В таблице есть колонка с имением скважины, имя скважины соответствует выбранной. если выбрано несколько скважин - порядок данных в таблице соответствует скважинам(не съехали), проверить соответствие можно командером.</w:t>
            </w:r>
          </w:p>
        </w:tc>
        <w:tc>
          <w:tcPr>
            <w:tcW w:type="dxa" w:w="1701"/>
          </w:tcPr>
          <w:p/>
          <w:p>
            <w:r>
              <w:rPr>
                <w:rFonts w:ascii="Calibri" w:hAnsi="Calibri"/>
                <w:sz w:val="20"/>
              </w:rPr>
            </w:r>
          </w:p>
        </w:tc>
        <w:tc>
          <w:tcPr>
            <w:tcW w:type="dxa" w:w="2387"/>
          </w:tcPr>
          <w:p/>
        </w:tc>
      </w:tr>
    </w:tbl>
    <w:sectPr w:rsidR="00C92745" w:rsidRPr="008334D2" w:rsidSect="00672A1C">
      <w:pgSz w:w="16838" w:h="11906" w:orient="landscape"/>
      <w:pgMar w:top="1276" w:right="1381" w:bottom="850" w:left="1134" w:header="708" w:footer="47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01C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313E"/>
    <w:multiLevelType w:val="hybridMultilevel"/>
    <w:tmpl w:val="505A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0230C"/>
    <w:multiLevelType w:val="hybridMultilevel"/>
    <w:tmpl w:val="505A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65369"/>
    <w:multiLevelType w:val="hybridMultilevel"/>
    <w:tmpl w:val="FFE6B77A"/>
    <w:lvl w:ilvl="0" w:tplc="7BA26448">
      <w:start w:val="1"/>
      <w:numFmt w:val="decimal"/>
      <w:lvlText w:val="%1."/>
      <w:lvlJc w:val="left"/>
      <w:pPr>
        <w:ind w:left="786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D0575"/>
    <w:multiLevelType w:val="multilevel"/>
    <w:tmpl w:val="8A161A26"/>
    <w:lvl w:ilvl="0">
      <w:start w:val="1"/>
      <w:numFmt w:val="decimal"/>
      <w:pStyle w:val="1"/>
      <w:lvlText w:val="%1"/>
      <w:lvlJc w:val="left"/>
      <w:pPr>
        <w:tabs>
          <w:tab w:val="num" w:pos="1850"/>
        </w:tabs>
        <w:ind w:left="185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94E145D"/>
    <w:multiLevelType w:val="hybridMultilevel"/>
    <w:tmpl w:val="575E4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07F90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E7EE3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D033F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F7219"/>
    <w:multiLevelType w:val="hybridMultilevel"/>
    <w:tmpl w:val="1E82D05A"/>
    <w:lvl w:ilvl="0" w:tplc="F70877AA">
      <w:start w:val="1"/>
      <w:numFmt w:val="bullet"/>
      <w:pStyle w:val="10"/>
      <w:lvlText w:val=""/>
      <w:lvlJc w:val="left"/>
      <w:pPr>
        <w:ind w:left="659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69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6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84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912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84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056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128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2008" w:hanging="360"/>
      </w:pPr>
      <w:rPr>
        <w:rFonts w:ascii="Wingdings" w:hAnsi="Wingdings" w:hint="default"/>
      </w:rPr>
    </w:lvl>
  </w:abstractNum>
  <w:abstractNum w:abstractNumId="10" w15:restartNumberingAfterBreak="0">
    <w:nsid w:val="6A25575A"/>
    <w:multiLevelType w:val="hybridMultilevel"/>
    <w:tmpl w:val="6AC23050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13BBD"/>
    <w:multiLevelType w:val="hybridMultilevel"/>
    <w:tmpl w:val="A3D2387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57B7D"/>
    <w:multiLevelType w:val="hybridMultilevel"/>
    <w:tmpl w:val="D13CA954"/>
    <w:lvl w:ilvl="0" w:tplc="91003A6C">
      <w:start w:val="1"/>
      <w:numFmt w:val="decimal"/>
      <w:lvlText w:val="%1."/>
      <w:lvlJc w:val="left"/>
      <w:pPr>
        <w:tabs>
          <w:tab w:val="num" w:pos="0"/>
        </w:tabs>
        <w:ind w:left="1090" w:hanging="10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6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efaultTableStyle w:val="ad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E7"/>
    <w:rsid w:val="00016BD5"/>
    <w:rsid w:val="0001796C"/>
    <w:rsid w:val="00025B1C"/>
    <w:rsid w:val="00060123"/>
    <w:rsid w:val="00064F31"/>
    <w:rsid w:val="00065CFE"/>
    <w:rsid w:val="00066D47"/>
    <w:rsid w:val="00074D63"/>
    <w:rsid w:val="00083637"/>
    <w:rsid w:val="000A42D5"/>
    <w:rsid w:val="000B1399"/>
    <w:rsid w:val="000C331F"/>
    <w:rsid w:val="000C44F3"/>
    <w:rsid w:val="000D7189"/>
    <w:rsid w:val="000E2494"/>
    <w:rsid w:val="000E4DB3"/>
    <w:rsid w:val="000F7E50"/>
    <w:rsid w:val="00100781"/>
    <w:rsid w:val="0010515B"/>
    <w:rsid w:val="00107EB7"/>
    <w:rsid w:val="001116F1"/>
    <w:rsid w:val="001122AB"/>
    <w:rsid w:val="0011673B"/>
    <w:rsid w:val="00126E6D"/>
    <w:rsid w:val="00132EC3"/>
    <w:rsid w:val="00136684"/>
    <w:rsid w:val="00144864"/>
    <w:rsid w:val="00152F93"/>
    <w:rsid w:val="00162CB8"/>
    <w:rsid w:val="00183B5C"/>
    <w:rsid w:val="0019287F"/>
    <w:rsid w:val="001939F4"/>
    <w:rsid w:val="00196E40"/>
    <w:rsid w:val="001A007D"/>
    <w:rsid w:val="001A0808"/>
    <w:rsid w:val="001A3B07"/>
    <w:rsid w:val="001D7E11"/>
    <w:rsid w:val="001E1772"/>
    <w:rsid w:val="001E2C9A"/>
    <w:rsid w:val="0020433A"/>
    <w:rsid w:val="00223259"/>
    <w:rsid w:val="00237715"/>
    <w:rsid w:val="00242849"/>
    <w:rsid w:val="00245E66"/>
    <w:rsid w:val="00272D50"/>
    <w:rsid w:val="00276078"/>
    <w:rsid w:val="002767BC"/>
    <w:rsid w:val="002844D4"/>
    <w:rsid w:val="002919CB"/>
    <w:rsid w:val="00292EB6"/>
    <w:rsid w:val="00292EC4"/>
    <w:rsid w:val="00295356"/>
    <w:rsid w:val="002A16B7"/>
    <w:rsid w:val="002B107F"/>
    <w:rsid w:val="002B7B0D"/>
    <w:rsid w:val="002C6362"/>
    <w:rsid w:val="002C6F62"/>
    <w:rsid w:val="002C7E5F"/>
    <w:rsid w:val="002D09CB"/>
    <w:rsid w:val="002D2300"/>
    <w:rsid w:val="002E07ED"/>
    <w:rsid w:val="002E31FC"/>
    <w:rsid w:val="002E470B"/>
    <w:rsid w:val="002E5FBA"/>
    <w:rsid w:val="002E7B06"/>
    <w:rsid w:val="002F02FD"/>
    <w:rsid w:val="002F2CC0"/>
    <w:rsid w:val="002F3A77"/>
    <w:rsid w:val="003029AA"/>
    <w:rsid w:val="00305B7E"/>
    <w:rsid w:val="00311BC5"/>
    <w:rsid w:val="0031757C"/>
    <w:rsid w:val="00327FDD"/>
    <w:rsid w:val="003309B1"/>
    <w:rsid w:val="003309C3"/>
    <w:rsid w:val="003429DE"/>
    <w:rsid w:val="003473BE"/>
    <w:rsid w:val="00347411"/>
    <w:rsid w:val="0035061B"/>
    <w:rsid w:val="00350899"/>
    <w:rsid w:val="00351B8A"/>
    <w:rsid w:val="00356B6D"/>
    <w:rsid w:val="003605E4"/>
    <w:rsid w:val="0036140D"/>
    <w:rsid w:val="00375522"/>
    <w:rsid w:val="00382F10"/>
    <w:rsid w:val="00383716"/>
    <w:rsid w:val="0038435D"/>
    <w:rsid w:val="00391782"/>
    <w:rsid w:val="003B1609"/>
    <w:rsid w:val="003B7AE7"/>
    <w:rsid w:val="003C32F2"/>
    <w:rsid w:val="003C569C"/>
    <w:rsid w:val="003D18FE"/>
    <w:rsid w:val="003D246B"/>
    <w:rsid w:val="003D5242"/>
    <w:rsid w:val="003D5341"/>
    <w:rsid w:val="003D7978"/>
    <w:rsid w:val="003E1BB7"/>
    <w:rsid w:val="003E4275"/>
    <w:rsid w:val="003F2222"/>
    <w:rsid w:val="003F33BD"/>
    <w:rsid w:val="00400CE0"/>
    <w:rsid w:val="004064D4"/>
    <w:rsid w:val="0041691B"/>
    <w:rsid w:val="00421F47"/>
    <w:rsid w:val="0043593A"/>
    <w:rsid w:val="004411E5"/>
    <w:rsid w:val="004414E9"/>
    <w:rsid w:val="00451F0F"/>
    <w:rsid w:val="004643D1"/>
    <w:rsid w:val="004740C5"/>
    <w:rsid w:val="0047618C"/>
    <w:rsid w:val="0048673C"/>
    <w:rsid w:val="00486DEE"/>
    <w:rsid w:val="004901AA"/>
    <w:rsid w:val="00495134"/>
    <w:rsid w:val="004A49F7"/>
    <w:rsid w:val="004B7101"/>
    <w:rsid w:val="004D11E3"/>
    <w:rsid w:val="004E37C1"/>
    <w:rsid w:val="004E5279"/>
    <w:rsid w:val="004E5A7D"/>
    <w:rsid w:val="004F1351"/>
    <w:rsid w:val="00501DF8"/>
    <w:rsid w:val="005036B2"/>
    <w:rsid w:val="00506704"/>
    <w:rsid w:val="00517046"/>
    <w:rsid w:val="00521997"/>
    <w:rsid w:val="0052351D"/>
    <w:rsid w:val="00536870"/>
    <w:rsid w:val="00540EB6"/>
    <w:rsid w:val="00543F43"/>
    <w:rsid w:val="005469C1"/>
    <w:rsid w:val="00546A41"/>
    <w:rsid w:val="00551A7F"/>
    <w:rsid w:val="005551D6"/>
    <w:rsid w:val="00555969"/>
    <w:rsid w:val="0056044B"/>
    <w:rsid w:val="00564AC8"/>
    <w:rsid w:val="00566570"/>
    <w:rsid w:val="00573885"/>
    <w:rsid w:val="005762F6"/>
    <w:rsid w:val="005869D8"/>
    <w:rsid w:val="005911F5"/>
    <w:rsid w:val="0059717A"/>
    <w:rsid w:val="005A0720"/>
    <w:rsid w:val="005A0B50"/>
    <w:rsid w:val="005A5504"/>
    <w:rsid w:val="005B0843"/>
    <w:rsid w:val="005B1D74"/>
    <w:rsid w:val="005C330E"/>
    <w:rsid w:val="005C7707"/>
    <w:rsid w:val="005C7B1F"/>
    <w:rsid w:val="005D3C41"/>
    <w:rsid w:val="005D43FE"/>
    <w:rsid w:val="005F0C9B"/>
    <w:rsid w:val="006004B2"/>
    <w:rsid w:val="0060113B"/>
    <w:rsid w:val="00602BAB"/>
    <w:rsid w:val="0061334F"/>
    <w:rsid w:val="006206C0"/>
    <w:rsid w:val="0062404F"/>
    <w:rsid w:val="006253A8"/>
    <w:rsid w:val="00627EC9"/>
    <w:rsid w:val="006368E1"/>
    <w:rsid w:val="00654489"/>
    <w:rsid w:val="00654CD2"/>
    <w:rsid w:val="006552A3"/>
    <w:rsid w:val="00665889"/>
    <w:rsid w:val="00672A1C"/>
    <w:rsid w:val="006901B1"/>
    <w:rsid w:val="00691738"/>
    <w:rsid w:val="006A07FF"/>
    <w:rsid w:val="006A41D3"/>
    <w:rsid w:val="006A4D8A"/>
    <w:rsid w:val="006B0AA2"/>
    <w:rsid w:val="006B2737"/>
    <w:rsid w:val="006B7C6D"/>
    <w:rsid w:val="006C624D"/>
    <w:rsid w:val="006D4123"/>
    <w:rsid w:val="006D6FC4"/>
    <w:rsid w:val="006F3592"/>
    <w:rsid w:val="006F4833"/>
    <w:rsid w:val="006F5301"/>
    <w:rsid w:val="006F6879"/>
    <w:rsid w:val="0070178A"/>
    <w:rsid w:val="00702AC9"/>
    <w:rsid w:val="00704703"/>
    <w:rsid w:val="007066B6"/>
    <w:rsid w:val="00713D5A"/>
    <w:rsid w:val="0073659B"/>
    <w:rsid w:val="0074121A"/>
    <w:rsid w:val="0074360F"/>
    <w:rsid w:val="00755E3C"/>
    <w:rsid w:val="00756F94"/>
    <w:rsid w:val="00764BB2"/>
    <w:rsid w:val="00767D6B"/>
    <w:rsid w:val="00771DFE"/>
    <w:rsid w:val="00781199"/>
    <w:rsid w:val="00783A0B"/>
    <w:rsid w:val="00786B21"/>
    <w:rsid w:val="007A3E1C"/>
    <w:rsid w:val="007A3E93"/>
    <w:rsid w:val="007B7A72"/>
    <w:rsid w:val="007D102E"/>
    <w:rsid w:val="007D5536"/>
    <w:rsid w:val="007F2302"/>
    <w:rsid w:val="007F2490"/>
    <w:rsid w:val="007F2679"/>
    <w:rsid w:val="00800749"/>
    <w:rsid w:val="008034FB"/>
    <w:rsid w:val="00805DBB"/>
    <w:rsid w:val="00807EF3"/>
    <w:rsid w:val="00814FD7"/>
    <w:rsid w:val="008229A9"/>
    <w:rsid w:val="00826019"/>
    <w:rsid w:val="008334D2"/>
    <w:rsid w:val="00840986"/>
    <w:rsid w:val="008449FE"/>
    <w:rsid w:val="008504FE"/>
    <w:rsid w:val="00855C60"/>
    <w:rsid w:val="008561FF"/>
    <w:rsid w:val="00875297"/>
    <w:rsid w:val="008756C6"/>
    <w:rsid w:val="0088219A"/>
    <w:rsid w:val="008835DA"/>
    <w:rsid w:val="00883A6F"/>
    <w:rsid w:val="0088609A"/>
    <w:rsid w:val="00887DA8"/>
    <w:rsid w:val="00890E82"/>
    <w:rsid w:val="008960B6"/>
    <w:rsid w:val="008B0907"/>
    <w:rsid w:val="008C139A"/>
    <w:rsid w:val="008D3C77"/>
    <w:rsid w:val="008D4892"/>
    <w:rsid w:val="008E11CF"/>
    <w:rsid w:val="008F63AE"/>
    <w:rsid w:val="00902B90"/>
    <w:rsid w:val="0090409F"/>
    <w:rsid w:val="00905059"/>
    <w:rsid w:val="00920265"/>
    <w:rsid w:val="00927401"/>
    <w:rsid w:val="00935011"/>
    <w:rsid w:val="009410B2"/>
    <w:rsid w:val="009426A3"/>
    <w:rsid w:val="00946DB5"/>
    <w:rsid w:val="0095263C"/>
    <w:rsid w:val="00952E7B"/>
    <w:rsid w:val="00957C43"/>
    <w:rsid w:val="00961C7D"/>
    <w:rsid w:val="0097285A"/>
    <w:rsid w:val="009772EA"/>
    <w:rsid w:val="00977928"/>
    <w:rsid w:val="009842CA"/>
    <w:rsid w:val="0098761A"/>
    <w:rsid w:val="009944A6"/>
    <w:rsid w:val="009963F4"/>
    <w:rsid w:val="009A1FC6"/>
    <w:rsid w:val="009A4257"/>
    <w:rsid w:val="009A4C25"/>
    <w:rsid w:val="009B1FBA"/>
    <w:rsid w:val="009B376E"/>
    <w:rsid w:val="009B463E"/>
    <w:rsid w:val="009B4FA6"/>
    <w:rsid w:val="009B5A7C"/>
    <w:rsid w:val="009C0956"/>
    <w:rsid w:val="009C5903"/>
    <w:rsid w:val="009C6B0B"/>
    <w:rsid w:val="009C7362"/>
    <w:rsid w:val="009D7A5C"/>
    <w:rsid w:val="009E2E06"/>
    <w:rsid w:val="009F67B9"/>
    <w:rsid w:val="00A026BF"/>
    <w:rsid w:val="00A17F9C"/>
    <w:rsid w:val="00A21127"/>
    <w:rsid w:val="00A226D7"/>
    <w:rsid w:val="00A23B58"/>
    <w:rsid w:val="00A24B4E"/>
    <w:rsid w:val="00A2706E"/>
    <w:rsid w:val="00A30180"/>
    <w:rsid w:val="00A337A0"/>
    <w:rsid w:val="00A453DE"/>
    <w:rsid w:val="00A4616E"/>
    <w:rsid w:val="00A57DDF"/>
    <w:rsid w:val="00A607D3"/>
    <w:rsid w:val="00A624ED"/>
    <w:rsid w:val="00A65DB5"/>
    <w:rsid w:val="00A66159"/>
    <w:rsid w:val="00A735BB"/>
    <w:rsid w:val="00A73698"/>
    <w:rsid w:val="00A951A4"/>
    <w:rsid w:val="00A9611F"/>
    <w:rsid w:val="00A97285"/>
    <w:rsid w:val="00AA3CBA"/>
    <w:rsid w:val="00AA65CE"/>
    <w:rsid w:val="00AB120A"/>
    <w:rsid w:val="00AC3A8F"/>
    <w:rsid w:val="00AC7645"/>
    <w:rsid w:val="00AC79E7"/>
    <w:rsid w:val="00AD0CC3"/>
    <w:rsid w:val="00AD10CD"/>
    <w:rsid w:val="00AD6395"/>
    <w:rsid w:val="00AE000E"/>
    <w:rsid w:val="00AE15B1"/>
    <w:rsid w:val="00AE1BD8"/>
    <w:rsid w:val="00AF1CDD"/>
    <w:rsid w:val="00B00697"/>
    <w:rsid w:val="00B11345"/>
    <w:rsid w:val="00B1763F"/>
    <w:rsid w:val="00B225F3"/>
    <w:rsid w:val="00B22749"/>
    <w:rsid w:val="00B40F83"/>
    <w:rsid w:val="00B418E8"/>
    <w:rsid w:val="00B44A51"/>
    <w:rsid w:val="00B4618E"/>
    <w:rsid w:val="00B51D4B"/>
    <w:rsid w:val="00B54371"/>
    <w:rsid w:val="00B60E42"/>
    <w:rsid w:val="00B62878"/>
    <w:rsid w:val="00B67875"/>
    <w:rsid w:val="00B73242"/>
    <w:rsid w:val="00B769FC"/>
    <w:rsid w:val="00B76E4A"/>
    <w:rsid w:val="00B81B0F"/>
    <w:rsid w:val="00B8517B"/>
    <w:rsid w:val="00B8572D"/>
    <w:rsid w:val="00B86510"/>
    <w:rsid w:val="00B93933"/>
    <w:rsid w:val="00B95F47"/>
    <w:rsid w:val="00BA0A40"/>
    <w:rsid w:val="00BA0D4A"/>
    <w:rsid w:val="00BB3B72"/>
    <w:rsid w:val="00BB61B9"/>
    <w:rsid w:val="00BB7907"/>
    <w:rsid w:val="00BC6EBA"/>
    <w:rsid w:val="00BD07BD"/>
    <w:rsid w:val="00BE0BD8"/>
    <w:rsid w:val="00BE3FF2"/>
    <w:rsid w:val="00BF3677"/>
    <w:rsid w:val="00C006C8"/>
    <w:rsid w:val="00C02E46"/>
    <w:rsid w:val="00C04F5D"/>
    <w:rsid w:val="00C07D4A"/>
    <w:rsid w:val="00C14CA3"/>
    <w:rsid w:val="00C21D16"/>
    <w:rsid w:val="00C227A2"/>
    <w:rsid w:val="00C2287C"/>
    <w:rsid w:val="00C256B2"/>
    <w:rsid w:val="00C4032F"/>
    <w:rsid w:val="00C4172E"/>
    <w:rsid w:val="00C64BDF"/>
    <w:rsid w:val="00C71026"/>
    <w:rsid w:val="00C8182A"/>
    <w:rsid w:val="00C87275"/>
    <w:rsid w:val="00C92745"/>
    <w:rsid w:val="00C95EC6"/>
    <w:rsid w:val="00CA1FD6"/>
    <w:rsid w:val="00CA33BE"/>
    <w:rsid w:val="00CB28DE"/>
    <w:rsid w:val="00CB2D99"/>
    <w:rsid w:val="00CD1AA8"/>
    <w:rsid w:val="00CE4EE4"/>
    <w:rsid w:val="00CF234D"/>
    <w:rsid w:val="00CF66EE"/>
    <w:rsid w:val="00D01715"/>
    <w:rsid w:val="00D03EC1"/>
    <w:rsid w:val="00D04DEE"/>
    <w:rsid w:val="00D1710D"/>
    <w:rsid w:val="00D20D5D"/>
    <w:rsid w:val="00D4012E"/>
    <w:rsid w:val="00D40A5B"/>
    <w:rsid w:val="00D41180"/>
    <w:rsid w:val="00D42EE3"/>
    <w:rsid w:val="00D45730"/>
    <w:rsid w:val="00D46B24"/>
    <w:rsid w:val="00D54128"/>
    <w:rsid w:val="00D54261"/>
    <w:rsid w:val="00D71F1D"/>
    <w:rsid w:val="00D75323"/>
    <w:rsid w:val="00D80394"/>
    <w:rsid w:val="00D83542"/>
    <w:rsid w:val="00D857A7"/>
    <w:rsid w:val="00D90B0F"/>
    <w:rsid w:val="00D92266"/>
    <w:rsid w:val="00D92851"/>
    <w:rsid w:val="00D936E4"/>
    <w:rsid w:val="00D94612"/>
    <w:rsid w:val="00DA132F"/>
    <w:rsid w:val="00DA408F"/>
    <w:rsid w:val="00DA7CE7"/>
    <w:rsid w:val="00DB25A6"/>
    <w:rsid w:val="00DB62BD"/>
    <w:rsid w:val="00DD4F78"/>
    <w:rsid w:val="00DD6CC9"/>
    <w:rsid w:val="00DE2758"/>
    <w:rsid w:val="00DE6CC3"/>
    <w:rsid w:val="00DF4E50"/>
    <w:rsid w:val="00E00034"/>
    <w:rsid w:val="00E05094"/>
    <w:rsid w:val="00E1799F"/>
    <w:rsid w:val="00E236FD"/>
    <w:rsid w:val="00E24BFA"/>
    <w:rsid w:val="00E25DA5"/>
    <w:rsid w:val="00E356AF"/>
    <w:rsid w:val="00E36647"/>
    <w:rsid w:val="00E42AF6"/>
    <w:rsid w:val="00E435AF"/>
    <w:rsid w:val="00E44AD8"/>
    <w:rsid w:val="00E469FE"/>
    <w:rsid w:val="00E546DF"/>
    <w:rsid w:val="00E55996"/>
    <w:rsid w:val="00E60FB9"/>
    <w:rsid w:val="00E61CED"/>
    <w:rsid w:val="00E63384"/>
    <w:rsid w:val="00E76A98"/>
    <w:rsid w:val="00E77087"/>
    <w:rsid w:val="00E84021"/>
    <w:rsid w:val="00E84662"/>
    <w:rsid w:val="00EB5FB8"/>
    <w:rsid w:val="00EC194D"/>
    <w:rsid w:val="00EC3B5A"/>
    <w:rsid w:val="00EC3D54"/>
    <w:rsid w:val="00ED465E"/>
    <w:rsid w:val="00ED74D4"/>
    <w:rsid w:val="00EE6B2C"/>
    <w:rsid w:val="00EF0EFB"/>
    <w:rsid w:val="00EF333A"/>
    <w:rsid w:val="00EF3916"/>
    <w:rsid w:val="00EF460B"/>
    <w:rsid w:val="00EF6CFB"/>
    <w:rsid w:val="00F007F1"/>
    <w:rsid w:val="00F048C5"/>
    <w:rsid w:val="00F11EA1"/>
    <w:rsid w:val="00F16820"/>
    <w:rsid w:val="00F20D5D"/>
    <w:rsid w:val="00F21B15"/>
    <w:rsid w:val="00F22FAB"/>
    <w:rsid w:val="00F30F26"/>
    <w:rsid w:val="00F31825"/>
    <w:rsid w:val="00F3304E"/>
    <w:rsid w:val="00F35E06"/>
    <w:rsid w:val="00F37BDD"/>
    <w:rsid w:val="00F43618"/>
    <w:rsid w:val="00F457E1"/>
    <w:rsid w:val="00F5318B"/>
    <w:rsid w:val="00F61106"/>
    <w:rsid w:val="00F647FE"/>
    <w:rsid w:val="00F73258"/>
    <w:rsid w:val="00FA1C27"/>
    <w:rsid w:val="00FA61EA"/>
    <w:rsid w:val="00FB5166"/>
    <w:rsid w:val="00FB5196"/>
    <w:rsid w:val="00FC181B"/>
    <w:rsid w:val="00FD4ECF"/>
    <w:rsid w:val="00FD5DDA"/>
    <w:rsid w:val="00FE7F5B"/>
    <w:rsid w:val="00FE7FF2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78FD7-B90A-476A-A4B2-5D89BBEE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"/>
    <w:basedOn w:val="a"/>
    <w:next w:val="a0"/>
    <w:link w:val="11"/>
    <w:qFormat/>
    <w:rsid w:val="00AC79E7"/>
    <w:pPr>
      <w:keepNext/>
      <w:pageBreakBefore/>
      <w:numPr>
        <w:numId w:val="1"/>
      </w:numPr>
      <w:spacing w:before="240" w:after="100" w:afterAutospacing="1"/>
      <w:ind w:left="1849" w:hanging="431"/>
      <w:outlineLvl w:val="0"/>
    </w:pPr>
    <w:rPr>
      <w:rFonts w:ascii="Arial" w:hAnsi="Arial" w:cs="Arial"/>
      <w:b/>
      <w:bCs/>
      <w:caps/>
      <w:lang w:eastAsia="en-US"/>
    </w:rPr>
  </w:style>
  <w:style w:type="paragraph" w:styleId="2">
    <w:name w:val="heading 2"/>
    <w:aliases w:val="h2"/>
    <w:basedOn w:val="a"/>
    <w:next w:val="a0"/>
    <w:link w:val="20"/>
    <w:autoRedefine/>
    <w:qFormat/>
    <w:rsid w:val="00AC79E7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iCs/>
      <w:szCs w:val="20"/>
      <w:lang w:eastAsia="en-US"/>
    </w:rPr>
  </w:style>
  <w:style w:type="paragraph" w:styleId="3">
    <w:name w:val="heading 3"/>
    <w:aliases w:val="h3"/>
    <w:basedOn w:val="a"/>
    <w:next w:val="a0"/>
    <w:link w:val="30"/>
    <w:autoRedefine/>
    <w:qFormat/>
    <w:rsid w:val="00AC79E7"/>
    <w:pPr>
      <w:keepNext/>
      <w:numPr>
        <w:ilvl w:val="2"/>
        <w:numId w:val="1"/>
      </w:numPr>
      <w:spacing w:before="120" w:after="120"/>
      <w:outlineLvl w:val="2"/>
    </w:pPr>
    <w:rPr>
      <w:rFonts w:ascii="Arial" w:hAnsi="Arial" w:cs="Arial"/>
      <w:i/>
      <w:lang w:eastAsia="en-US"/>
    </w:rPr>
  </w:style>
  <w:style w:type="paragraph" w:styleId="4">
    <w:name w:val="heading 4"/>
    <w:aliases w:val="h4"/>
    <w:basedOn w:val="a"/>
    <w:next w:val="a"/>
    <w:link w:val="40"/>
    <w:qFormat/>
    <w:rsid w:val="00AC79E7"/>
    <w:pPr>
      <w:keepNext/>
      <w:numPr>
        <w:ilvl w:val="3"/>
        <w:numId w:val="1"/>
      </w:numPr>
      <w:spacing w:before="240" w:after="60"/>
      <w:outlineLvl w:val="3"/>
    </w:pPr>
    <w:rPr>
      <w:sz w:val="22"/>
      <w:szCs w:val="20"/>
      <w:lang w:val="en-US" w:eastAsia="en-US"/>
    </w:rPr>
  </w:style>
  <w:style w:type="paragraph" w:styleId="5">
    <w:name w:val="heading 5"/>
    <w:aliases w:val="h5"/>
    <w:basedOn w:val="a"/>
    <w:next w:val="a"/>
    <w:link w:val="50"/>
    <w:qFormat/>
    <w:rsid w:val="00AC79E7"/>
    <w:pPr>
      <w:numPr>
        <w:ilvl w:val="4"/>
        <w:numId w:val="1"/>
      </w:numPr>
      <w:spacing w:before="240" w:after="60"/>
      <w:outlineLvl w:val="4"/>
    </w:pPr>
    <w:rPr>
      <w:sz w:val="22"/>
      <w:szCs w:val="20"/>
      <w:lang w:val="en-US" w:eastAsia="en-US"/>
    </w:rPr>
  </w:style>
  <w:style w:type="paragraph" w:styleId="6">
    <w:name w:val="heading 6"/>
    <w:aliases w:val="h6"/>
    <w:basedOn w:val="a"/>
    <w:next w:val="a"/>
    <w:link w:val="60"/>
    <w:qFormat/>
    <w:rsid w:val="00AC79E7"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aliases w:val="h7"/>
    <w:basedOn w:val="a"/>
    <w:next w:val="a"/>
    <w:link w:val="70"/>
    <w:qFormat/>
    <w:rsid w:val="00AC79E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US" w:eastAsia="en-US"/>
    </w:rPr>
  </w:style>
  <w:style w:type="paragraph" w:styleId="8">
    <w:name w:val="heading 8"/>
    <w:aliases w:val="h8"/>
    <w:basedOn w:val="a"/>
    <w:next w:val="a"/>
    <w:link w:val="80"/>
    <w:qFormat/>
    <w:rsid w:val="00AC79E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9">
    <w:name w:val="heading 9"/>
    <w:aliases w:val="h9"/>
    <w:basedOn w:val="a"/>
    <w:next w:val="a"/>
    <w:link w:val="90"/>
    <w:qFormat/>
    <w:rsid w:val="00AC79E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h1 Знак"/>
    <w:basedOn w:val="a1"/>
    <w:link w:val="1"/>
    <w:rsid w:val="00AC79E7"/>
    <w:rPr>
      <w:rFonts w:ascii="Arial" w:eastAsia="Times New Roman" w:hAnsi="Arial" w:cs="Arial"/>
      <w:b/>
      <w:bCs/>
      <w:caps/>
      <w:sz w:val="24"/>
      <w:szCs w:val="24"/>
    </w:rPr>
  </w:style>
  <w:style w:type="character" w:customStyle="1" w:styleId="20">
    <w:name w:val="Заголовок 2 Знак"/>
    <w:aliases w:val="h2 Знак"/>
    <w:basedOn w:val="a1"/>
    <w:link w:val="2"/>
    <w:rsid w:val="00AC79E7"/>
    <w:rPr>
      <w:rFonts w:ascii="Arial" w:eastAsia="Times New Roman" w:hAnsi="Arial" w:cs="Arial"/>
      <w:b/>
      <w:iCs/>
      <w:sz w:val="24"/>
      <w:szCs w:val="20"/>
    </w:rPr>
  </w:style>
  <w:style w:type="character" w:customStyle="1" w:styleId="30">
    <w:name w:val="Заголовок 3 Знак"/>
    <w:aliases w:val="h3 Знак"/>
    <w:basedOn w:val="a1"/>
    <w:link w:val="3"/>
    <w:rsid w:val="00AC79E7"/>
    <w:rPr>
      <w:rFonts w:ascii="Arial" w:eastAsia="Times New Roman" w:hAnsi="Arial" w:cs="Arial"/>
      <w:i/>
      <w:sz w:val="24"/>
      <w:szCs w:val="24"/>
    </w:rPr>
  </w:style>
  <w:style w:type="character" w:customStyle="1" w:styleId="40">
    <w:name w:val="Заголовок 4 Знак"/>
    <w:aliases w:val="h4 Знак"/>
    <w:basedOn w:val="a1"/>
    <w:link w:val="4"/>
    <w:rsid w:val="00AC79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50">
    <w:name w:val="Заголовок 5 Знак"/>
    <w:aliases w:val="h5 Знак"/>
    <w:basedOn w:val="a1"/>
    <w:link w:val="5"/>
    <w:rsid w:val="00AC79E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aliases w:val="h6 Знак"/>
    <w:basedOn w:val="a1"/>
    <w:link w:val="6"/>
    <w:rsid w:val="00AC79E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aliases w:val="h7 Знак"/>
    <w:basedOn w:val="a1"/>
    <w:link w:val="7"/>
    <w:rsid w:val="00AC79E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aliases w:val="h8 Знак"/>
    <w:basedOn w:val="a1"/>
    <w:link w:val="8"/>
    <w:rsid w:val="00AC79E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aliases w:val="h9 Знак"/>
    <w:basedOn w:val="a1"/>
    <w:link w:val="9"/>
    <w:rsid w:val="00AC79E7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a4">
    <w:name w:val="List Paragraph"/>
    <w:basedOn w:val="a"/>
    <w:link w:val="a5"/>
    <w:uiPriority w:val="34"/>
    <w:qFormat/>
    <w:rsid w:val="00AC79E7"/>
    <w:pPr>
      <w:ind w:left="720"/>
      <w:contextualSpacing/>
    </w:pPr>
  </w:style>
  <w:style w:type="paragraph" w:customStyle="1" w:styleId="a6">
    <w:name w:val="Обычный (тбл)"/>
    <w:basedOn w:val="a"/>
    <w:link w:val="a7"/>
    <w:rsid w:val="00AC79E7"/>
    <w:pPr>
      <w:spacing w:before="40" w:after="80"/>
    </w:pPr>
    <w:rPr>
      <w:bCs/>
      <w:sz w:val="22"/>
      <w:szCs w:val="18"/>
    </w:rPr>
  </w:style>
  <w:style w:type="character" w:customStyle="1" w:styleId="a7">
    <w:name w:val="Обычный (тбл) Знак"/>
    <w:link w:val="a6"/>
    <w:locked/>
    <w:rsid w:val="00AC79E7"/>
    <w:rPr>
      <w:rFonts w:ascii="Times New Roman" w:eastAsia="Times New Roman" w:hAnsi="Times New Roman" w:cs="Times New Roman"/>
      <w:bCs/>
      <w:szCs w:val="18"/>
      <w:lang w:eastAsia="ru-RU"/>
    </w:rPr>
  </w:style>
  <w:style w:type="character" w:customStyle="1" w:styleId="St-">
    <w:name w:val="St - Основной текст Знак Знак"/>
    <w:rsid w:val="00AC79E7"/>
    <w:rPr>
      <w:sz w:val="22"/>
      <w:szCs w:val="22"/>
      <w:lang w:val="ru-RU" w:eastAsia="ru-RU" w:bidi="ar-SA"/>
    </w:rPr>
  </w:style>
  <w:style w:type="paragraph" w:styleId="a0">
    <w:name w:val="Body Text"/>
    <w:basedOn w:val="a"/>
    <w:link w:val="a8"/>
    <w:uiPriority w:val="99"/>
    <w:semiHidden/>
    <w:unhideWhenUsed/>
    <w:rsid w:val="00AC79E7"/>
    <w:pPr>
      <w:spacing w:after="120"/>
    </w:pPr>
  </w:style>
  <w:style w:type="character" w:customStyle="1" w:styleId="a8">
    <w:name w:val="Основной текст Знак"/>
    <w:basedOn w:val="a1"/>
    <w:link w:val="a0"/>
    <w:uiPriority w:val="99"/>
    <w:semiHidden/>
    <w:rsid w:val="00AC79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C79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C79E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0">
    <w:name w:val="Стиль1"/>
    <w:basedOn w:val="a4"/>
    <w:qFormat/>
    <w:rsid w:val="00B95F47"/>
    <w:pPr>
      <w:numPr>
        <w:numId w:val="2"/>
      </w:numPr>
      <w:spacing w:after="200" w:line="360" w:lineRule="auto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4D11E3"/>
    <w:pPr>
      <w:spacing w:before="240"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1"/>
    <w:uiPriority w:val="99"/>
    <w:unhideWhenUsed/>
    <w:rsid w:val="008756C6"/>
    <w:rPr>
      <w:color w:val="0000FF" w:themeColor="hyperlink"/>
      <w:u w:val="single"/>
    </w:rPr>
  </w:style>
  <w:style w:type="character" w:customStyle="1" w:styleId="a5">
    <w:name w:val="Абзац списка Знак"/>
    <w:basedOn w:val="a1"/>
    <w:link w:val="a4"/>
    <w:uiPriority w:val="34"/>
    <w:rsid w:val="00D04DE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AE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84">
          <w:marLeft w:val="-2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6.png"/><Relationship Id="rId15" Type="http://schemas.openxmlformats.org/officeDocument/2006/relationships/image" Target="media/image9.jpg"/><Relationship Id="rId18" Type="http://schemas.openxmlformats.org/officeDocument/2006/relationships/image" Target="media/image12.png"/><Relationship Id="rId6" Type="http://schemas.openxmlformats.org/officeDocument/2006/relationships/theme" Target="theme/theme1.xml"/><Relationship Id="rId14" Type="http://schemas.openxmlformats.org/officeDocument/2006/relationships/image" Target="media/image8.PNG"/><Relationship Id="rId4" Type="http://schemas.openxmlformats.org/officeDocument/2006/relationships/webSettings" Target="webSettings.xml"/><Relationship Id="rId8" Type="http://schemas.openxmlformats.org/officeDocument/2006/relationships/image" Target="media/image2.jpg"/><Relationship Id="rId2" Type="http://schemas.openxmlformats.org/officeDocument/2006/relationships/styles" Target="styles.xml"/><Relationship Id="rId17" Type="http://schemas.openxmlformats.org/officeDocument/2006/relationships/image" Target="media/image11.png"/><Relationship Id="rId3" Type="http://schemas.openxmlformats.org/officeDocument/2006/relationships/settings" Target="settings.xml"/><Relationship Id="rId9" Type="http://schemas.openxmlformats.org/officeDocument/2006/relationships/image" Target="media/image3.jpg"/><Relationship Id="rId5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numbering" Target="numbering.xml"/><Relationship Id="rId7" Type="http://schemas.openxmlformats.org/officeDocument/2006/relationships/image" Target="media/image1.png"/><Relationship Id="rId13" Type="http://schemas.openxmlformats.org/officeDocument/2006/relationships/image" Target="media/image7.png"/><Relationship Id="rId16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обновления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обновления</dc:title>
  <dc:creator>Елена Руденко</dc:creator>
  <cp:keywords>Сценарии;Обновление</cp:keywords>
  <cp:lastModifiedBy>Максим Казаков</cp:lastModifiedBy>
  <cp:revision>9</cp:revision>
  <dcterms:created xsi:type="dcterms:W3CDTF">2016-12-30T12:49:00Z</dcterms:created>
  <dcterms:modified xsi:type="dcterms:W3CDTF">2017-01-16T07:25:00Z</dcterms:modified>
</cp:coreProperties>
</file>