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3349625</wp:posOffset>
            </wp:positionH>
            <wp:positionV relativeFrom="page">
              <wp:posOffset>1078865</wp:posOffset>
            </wp:positionV>
            <wp:extent cx="1408430" cy="76136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408430" cy="76136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7" w:lineRule="exact"/>
        <w:rPr>
          <w:sz w:val="24"/>
          <w:szCs w:val="24"/>
          <w:color w:val="auto"/>
        </w:rPr>
      </w:pPr>
    </w:p>
    <w:p>
      <w:pPr>
        <w:jc w:val="center"/>
        <w:ind w:right="-853"/>
        <w:spacing w:after="0"/>
        <w:rPr>
          <w:sz w:val="20"/>
          <w:szCs w:val="20"/>
          <w:color w:val="auto"/>
        </w:rPr>
      </w:pPr>
      <w:r>
        <w:rPr>
          <w:rFonts w:ascii="Times New Roman" w:cs="Times New Roman" w:eastAsia="Times New Roman" w:hAnsi="Times New Roman"/>
          <w:sz w:val="24"/>
          <w:szCs w:val="24"/>
          <w:color w:val="auto"/>
        </w:rPr>
        <w:t>T.C.</w:t>
      </w:r>
    </w:p>
    <w:p>
      <w:pPr>
        <w:spacing w:after="0" w:line="298" w:lineRule="exact"/>
        <w:rPr>
          <w:sz w:val="24"/>
          <w:szCs w:val="24"/>
          <w:color w:val="auto"/>
        </w:rPr>
      </w:pPr>
    </w:p>
    <w:p>
      <w:pPr>
        <w:jc w:val="center"/>
        <w:ind w:right="-853"/>
        <w:spacing w:after="0"/>
        <w:rPr>
          <w:sz w:val="20"/>
          <w:szCs w:val="20"/>
          <w:color w:val="auto"/>
        </w:rPr>
      </w:pPr>
      <w:r>
        <w:rPr>
          <w:rFonts w:ascii="Times New Roman" w:cs="Times New Roman" w:eastAsia="Times New Roman" w:hAnsi="Times New Roman"/>
          <w:sz w:val="24"/>
          <w:szCs w:val="24"/>
          <w:color w:val="auto"/>
        </w:rPr>
        <w:t>HACETTEPE ÜNİVERSİTESİ</w:t>
      </w:r>
    </w:p>
    <w:p>
      <w:pPr>
        <w:spacing w:after="0" w:line="301" w:lineRule="exact"/>
        <w:rPr>
          <w:sz w:val="24"/>
          <w:szCs w:val="24"/>
          <w:color w:val="auto"/>
        </w:rPr>
      </w:pPr>
    </w:p>
    <w:p>
      <w:pPr>
        <w:jc w:val="center"/>
        <w:ind w:right="-873"/>
        <w:spacing w:after="0"/>
        <w:rPr>
          <w:sz w:val="20"/>
          <w:szCs w:val="20"/>
          <w:color w:val="auto"/>
        </w:rPr>
      </w:pPr>
      <w:r>
        <w:rPr>
          <w:rFonts w:ascii="Times New Roman" w:cs="Times New Roman" w:eastAsia="Times New Roman" w:hAnsi="Times New Roman"/>
          <w:sz w:val="24"/>
          <w:szCs w:val="24"/>
          <w:color w:val="auto"/>
        </w:rPr>
        <w:t>TIP FAKÜLTESİ</w:t>
      </w:r>
    </w:p>
    <w:p>
      <w:pPr>
        <w:spacing w:after="0" w:line="298" w:lineRule="exact"/>
        <w:rPr>
          <w:sz w:val="24"/>
          <w:szCs w:val="24"/>
          <w:color w:val="auto"/>
        </w:rPr>
      </w:pPr>
    </w:p>
    <w:p>
      <w:pPr>
        <w:ind w:left="2960"/>
        <w:spacing w:after="0"/>
        <w:rPr>
          <w:sz w:val="20"/>
          <w:szCs w:val="20"/>
          <w:color w:val="auto"/>
        </w:rPr>
      </w:pPr>
      <w:r>
        <w:rPr>
          <w:rFonts w:ascii="Times New Roman" w:cs="Times New Roman" w:eastAsia="Times New Roman" w:hAnsi="Times New Roman"/>
          <w:sz w:val="24"/>
          <w:szCs w:val="24"/>
          <w:color w:val="auto"/>
        </w:rPr>
        <w:t>İÇ HASTALIKLARI ANABİLİM DALI</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355600</wp:posOffset>
            </wp:positionH>
            <wp:positionV relativeFrom="paragraph">
              <wp:posOffset>-36195</wp:posOffset>
            </wp:positionV>
            <wp:extent cx="4699000" cy="18542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5" w:lineRule="exact"/>
        <w:rPr>
          <w:sz w:val="24"/>
          <w:szCs w:val="24"/>
          <w:color w:val="auto"/>
        </w:rPr>
      </w:pPr>
    </w:p>
    <w:p>
      <w:pPr>
        <w:jc w:val="center"/>
        <w:ind w:left="1060" w:right="206"/>
        <w:spacing w:after="0" w:line="357" w:lineRule="auto"/>
        <w:rPr>
          <w:sz w:val="20"/>
          <w:szCs w:val="20"/>
          <w:color w:val="auto"/>
        </w:rPr>
      </w:pPr>
      <w:r>
        <w:rPr>
          <w:rFonts w:ascii="Times New Roman" w:cs="Times New Roman" w:eastAsia="Times New Roman" w:hAnsi="Times New Roman"/>
          <w:sz w:val="24"/>
          <w:szCs w:val="24"/>
          <w:color w:val="auto"/>
        </w:rPr>
        <w:t xml:space="preserve">HACETTEPE ÜNIVERSITESI HASTANESINDE TAKİPLİ SİSTEMİK MASTOSİTOZ HASTALARININ RETROSPEKTİF OLARAK KLİNİK, DEMOGRAFİK,  LABORATUVAR BULGULARI VE TEDAVİ </w:t>
      </w:r>
      <w:r>
        <w:rPr>
          <w:rFonts w:ascii="Times New Roman" w:cs="Times New Roman" w:eastAsia="Times New Roman" w:hAnsi="Times New Roman"/>
          <w:sz w:val="24"/>
          <w:szCs w:val="24"/>
          <w:color w:val="auto"/>
        </w:rPr>
        <w:t>AÇISINDAN</w:t>
      </w:r>
      <w:r>
        <w:rPr>
          <w:rFonts w:ascii="Times New Roman" w:cs="Times New Roman" w:eastAsia="Times New Roman" w:hAnsi="Times New Roman"/>
          <w:sz w:val="24"/>
          <w:szCs w:val="24"/>
          <w:color w:val="auto"/>
        </w:rPr>
        <w:t xml:space="preserve"> DEĞERLENDİRİLMESİ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HACETTEPE ÜNİVERSİTESİ TIP FAKÜLTESİ MASTOSİTOZ DENEYİMİ</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9" w:lineRule="exact"/>
        <w:rPr>
          <w:sz w:val="24"/>
          <w:szCs w:val="24"/>
          <w:color w:val="auto"/>
        </w:rPr>
      </w:pPr>
    </w:p>
    <w:p>
      <w:pPr>
        <w:ind w:left="3640"/>
        <w:spacing w:after="0"/>
        <w:rPr>
          <w:sz w:val="20"/>
          <w:szCs w:val="20"/>
          <w:color w:val="auto"/>
        </w:rPr>
      </w:pPr>
      <w:r>
        <w:rPr>
          <w:rFonts w:ascii="Times New Roman" w:cs="Times New Roman" w:eastAsia="Times New Roman" w:hAnsi="Times New Roman"/>
          <w:sz w:val="28"/>
          <w:szCs w:val="28"/>
          <w:color w:val="auto"/>
        </w:rPr>
        <w:t>Dr. Osman Can Öztürk</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4" w:lineRule="exact"/>
        <w:rPr>
          <w:sz w:val="24"/>
          <w:szCs w:val="24"/>
          <w:color w:val="auto"/>
        </w:rPr>
      </w:pPr>
    </w:p>
    <w:p>
      <w:pPr>
        <w:jc w:val="center"/>
        <w:ind w:right="-853"/>
        <w:spacing w:after="0"/>
        <w:rPr>
          <w:sz w:val="20"/>
          <w:szCs w:val="20"/>
          <w:color w:val="auto"/>
        </w:rPr>
      </w:pPr>
      <w:r>
        <w:rPr>
          <w:rFonts w:ascii="Times New Roman" w:cs="Times New Roman" w:eastAsia="Times New Roman" w:hAnsi="Times New Roman"/>
          <w:sz w:val="28"/>
          <w:szCs w:val="28"/>
          <w:color w:val="auto"/>
        </w:rPr>
        <w:t>UZMANLIK TEZİ</w:t>
      </w:r>
    </w:p>
    <w:p>
      <w:pPr>
        <w:spacing w:after="0" w:line="322" w:lineRule="exact"/>
        <w:rPr>
          <w:sz w:val="24"/>
          <w:szCs w:val="24"/>
          <w:color w:val="auto"/>
        </w:rPr>
      </w:pPr>
    </w:p>
    <w:p>
      <w:pPr>
        <w:jc w:val="center"/>
        <w:ind w:right="-873"/>
        <w:spacing w:after="0"/>
        <w:rPr>
          <w:sz w:val="20"/>
          <w:szCs w:val="20"/>
          <w:color w:val="auto"/>
        </w:rPr>
      </w:pPr>
      <w:r>
        <w:rPr>
          <w:rFonts w:ascii="Times New Roman" w:cs="Times New Roman" w:eastAsia="Times New Roman" w:hAnsi="Times New Roman"/>
          <w:sz w:val="28"/>
          <w:szCs w:val="28"/>
          <w:color w:val="auto"/>
        </w:rPr>
        <w:t>Olarak Hazırlanmıştı</w:t>
      </w:r>
      <w:r>
        <w:rPr>
          <w:rFonts w:ascii="Times New Roman" w:cs="Times New Roman" w:eastAsia="Times New Roman" w:hAnsi="Times New Roman"/>
          <w:sz w:val="28"/>
          <w:szCs w:val="28"/>
          <w:color w:val="auto"/>
        </w:rPr>
        <w:t>r</w:t>
      </w:r>
    </w:p>
    <w:p>
      <w:pPr>
        <w:spacing w:after="0" w:line="321" w:lineRule="exact"/>
        <w:rPr>
          <w:sz w:val="24"/>
          <w:szCs w:val="24"/>
          <w:color w:val="auto"/>
        </w:rPr>
      </w:pPr>
    </w:p>
    <w:p>
      <w:pPr>
        <w:jc w:val="center"/>
        <w:ind w:right="-873"/>
        <w:spacing w:after="0"/>
        <w:rPr>
          <w:sz w:val="20"/>
          <w:szCs w:val="20"/>
          <w:color w:val="auto"/>
        </w:rPr>
      </w:pPr>
      <w:r>
        <w:rPr>
          <w:rFonts w:ascii="Times New Roman" w:cs="Times New Roman" w:eastAsia="Times New Roman" w:hAnsi="Times New Roman"/>
          <w:sz w:val="28"/>
          <w:szCs w:val="28"/>
          <w:color w:val="auto"/>
        </w:rPr>
        <w:t>ANKARA</w:t>
      </w:r>
    </w:p>
    <w:p>
      <w:pPr>
        <w:spacing w:after="0" w:line="321" w:lineRule="exact"/>
        <w:rPr>
          <w:sz w:val="24"/>
          <w:szCs w:val="24"/>
          <w:color w:val="auto"/>
        </w:rPr>
      </w:pPr>
    </w:p>
    <w:p>
      <w:pPr>
        <w:ind w:left="4660"/>
        <w:spacing w:after="0"/>
        <w:rPr>
          <w:sz w:val="20"/>
          <w:szCs w:val="20"/>
          <w:color w:val="auto"/>
        </w:rPr>
      </w:pPr>
      <w:r>
        <w:rPr>
          <w:rFonts w:ascii="Times New Roman" w:cs="Times New Roman" w:eastAsia="Times New Roman" w:hAnsi="Times New Roman"/>
          <w:sz w:val="28"/>
          <w:szCs w:val="28"/>
          <w:color w:val="auto"/>
        </w:rPr>
        <w:t>2020</w:t>
      </w:r>
    </w:p>
    <w:p>
      <w:pPr>
        <w:sectPr>
          <w:pgSz w:w="11900" w:h="16838" w:orient="portrait"/>
          <w:cols w:equalWidth="0" w:num="1">
            <w:col w:w="9026"/>
          </w:cols>
          <w:pgMar w:left="1440" w:top="1440" w:right="1440" w:bottom="1440"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3349625</wp:posOffset>
            </wp:positionH>
            <wp:positionV relativeFrom="page">
              <wp:posOffset>1078865</wp:posOffset>
            </wp:positionV>
            <wp:extent cx="1408430" cy="7156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1408430" cy="7156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853"/>
        <w:spacing w:after="0"/>
        <w:rPr>
          <w:sz w:val="20"/>
          <w:szCs w:val="20"/>
          <w:color w:val="auto"/>
        </w:rPr>
      </w:pPr>
      <w:r>
        <w:rPr>
          <w:rFonts w:ascii="Times New Roman" w:cs="Times New Roman" w:eastAsia="Times New Roman" w:hAnsi="Times New Roman"/>
          <w:sz w:val="24"/>
          <w:szCs w:val="24"/>
          <w:color w:val="auto"/>
        </w:rPr>
        <w:t>T.C.</w:t>
      </w:r>
    </w:p>
    <w:p>
      <w:pPr>
        <w:spacing w:after="0" w:line="298" w:lineRule="exact"/>
        <w:rPr>
          <w:sz w:val="20"/>
          <w:szCs w:val="20"/>
          <w:color w:val="auto"/>
        </w:rPr>
      </w:pPr>
    </w:p>
    <w:p>
      <w:pPr>
        <w:jc w:val="center"/>
        <w:ind w:right="-853"/>
        <w:spacing w:after="0"/>
        <w:rPr>
          <w:sz w:val="20"/>
          <w:szCs w:val="20"/>
          <w:color w:val="auto"/>
        </w:rPr>
      </w:pPr>
      <w:r>
        <w:rPr>
          <w:rFonts w:ascii="Times New Roman" w:cs="Times New Roman" w:eastAsia="Times New Roman" w:hAnsi="Times New Roman"/>
          <w:sz w:val="24"/>
          <w:szCs w:val="24"/>
          <w:color w:val="auto"/>
        </w:rPr>
        <w:t xml:space="preserve">HACETTEPE </w:t>
      </w:r>
      <w:r>
        <w:rPr>
          <w:rFonts w:ascii="Times New Roman" w:cs="Times New Roman" w:eastAsia="Times New Roman" w:hAnsi="Times New Roman"/>
          <w:sz w:val="24"/>
          <w:szCs w:val="24"/>
          <w:color w:val="auto"/>
        </w:rPr>
        <w:t>ÜNİVERSİTESİ</w:t>
      </w:r>
    </w:p>
    <w:p>
      <w:pPr>
        <w:spacing w:after="0" w:line="300" w:lineRule="exact"/>
        <w:rPr>
          <w:sz w:val="20"/>
          <w:szCs w:val="20"/>
          <w:color w:val="auto"/>
        </w:rPr>
      </w:pPr>
    </w:p>
    <w:p>
      <w:pPr>
        <w:jc w:val="center"/>
        <w:ind w:right="-853"/>
        <w:spacing w:after="0"/>
        <w:rPr>
          <w:sz w:val="20"/>
          <w:szCs w:val="20"/>
          <w:color w:val="auto"/>
        </w:rPr>
      </w:pPr>
      <w:r>
        <w:rPr>
          <w:rFonts w:ascii="Times New Roman" w:cs="Times New Roman" w:eastAsia="Times New Roman" w:hAnsi="Times New Roman"/>
          <w:sz w:val="24"/>
          <w:szCs w:val="24"/>
          <w:color w:val="auto"/>
        </w:rPr>
        <w:t>TIP FAKÜLTESİ</w:t>
      </w:r>
    </w:p>
    <w:p>
      <w:pPr>
        <w:spacing w:after="0" w:line="298" w:lineRule="exact"/>
        <w:rPr>
          <w:sz w:val="20"/>
          <w:szCs w:val="20"/>
          <w:color w:val="auto"/>
        </w:rPr>
      </w:pPr>
    </w:p>
    <w:p>
      <w:pPr>
        <w:ind w:left="2960"/>
        <w:spacing w:after="0"/>
        <w:rPr>
          <w:sz w:val="20"/>
          <w:szCs w:val="20"/>
          <w:color w:val="auto"/>
        </w:rPr>
      </w:pPr>
      <w:r>
        <w:rPr>
          <w:rFonts w:ascii="Times New Roman" w:cs="Times New Roman" w:eastAsia="Times New Roman" w:hAnsi="Times New Roman"/>
          <w:sz w:val="24"/>
          <w:szCs w:val="24"/>
          <w:color w:val="auto"/>
        </w:rPr>
        <w:t>İÇ HASTALIKLARI ANABİLİM DALI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271145</wp:posOffset>
            </wp:positionV>
            <wp:extent cx="4699000" cy="18542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center"/>
        <w:ind w:left="1100" w:right="246"/>
        <w:spacing w:after="0" w:line="357" w:lineRule="auto"/>
        <w:rPr>
          <w:sz w:val="20"/>
          <w:szCs w:val="20"/>
          <w:color w:val="auto"/>
        </w:rPr>
      </w:pPr>
      <w:r>
        <w:rPr>
          <w:rFonts w:ascii="Times New Roman" w:cs="Times New Roman" w:eastAsia="Times New Roman" w:hAnsi="Times New Roman"/>
          <w:sz w:val="24"/>
          <w:szCs w:val="24"/>
          <w:color w:val="auto"/>
        </w:rPr>
        <w:t>HACETTEPE ÜNIVERSITESI HASTANESINDE TAKİPLİ SİSTEMİK MASTOSİTOZ HASTALARININ RETROSPEKTİF OLARAK KLİNİK, DEMOGRAFİK, LABORATUVAR BULGULARI VE TEDAVİ AÇISINDAN DEĞERLENDİRİLMESİ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HACETTEPE ÜNİVERSİTESİ TIP FAKÜLTESİ MASTOSİTOZ DENEYİMİ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3640"/>
        <w:spacing w:after="0"/>
        <w:rPr>
          <w:sz w:val="20"/>
          <w:szCs w:val="20"/>
          <w:color w:val="auto"/>
        </w:rPr>
      </w:pPr>
      <w:r>
        <w:rPr>
          <w:rFonts w:ascii="Times New Roman" w:cs="Times New Roman" w:eastAsia="Times New Roman" w:hAnsi="Times New Roman"/>
          <w:sz w:val="28"/>
          <w:szCs w:val="28"/>
          <w:color w:val="auto"/>
        </w:rPr>
        <w:t>Dr. Osman Can Öztürk</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3860"/>
        <w:spacing w:after="0"/>
        <w:rPr>
          <w:sz w:val="20"/>
          <w:szCs w:val="20"/>
          <w:color w:val="auto"/>
        </w:rPr>
      </w:pPr>
      <w:r>
        <w:rPr>
          <w:rFonts w:ascii="Times New Roman" w:cs="Times New Roman" w:eastAsia="Times New Roman" w:hAnsi="Times New Roman"/>
          <w:sz w:val="28"/>
          <w:szCs w:val="28"/>
          <w:color w:val="auto"/>
        </w:rPr>
        <w:t>UZMANLIK TEZİ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jc w:val="center"/>
        <w:ind w:right="-853"/>
        <w:spacing w:after="0"/>
        <w:rPr>
          <w:sz w:val="20"/>
          <w:szCs w:val="20"/>
          <w:color w:val="auto"/>
        </w:rPr>
      </w:pPr>
      <w:r>
        <w:rPr>
          <w:rFonts w:ascii="Times New Roman" w:cs="Times New Roman" w:eastAsia="Times New Roman" w:hAnsi="Times New Roman"/>
          <w:sz w:val="28"/>
          <w:szCs w:val="28"/>
          <w:color w:val="auto"/>
        </w:rPr>
        <w:t>Tez Danışmanları</w:t>
      </w:r>
    </w:p>
    <w:p>
      <w:pPr>
        <w:spacing w:after="0" w:line="321" w:lineRule="exact"/>
        <w:rPr>
          <w:sz w:val="20"/>
          <w:szCs w:val="20"/>
          <w:color w:val="auto"/>
        </w:rPr>
      </w:pPr>
    </w:p>
    <w:p>
      <w:pPr>
        <w:jc w:val="center"/>
        <w:ind w:right="-853"/>
        <w:spacing w:after="0"/>
        <w:rPr>
          <w:sz w:val="20"/>
          <w:szCs w:val="20"/>
          <w:color w:val="auto"/>
        </w:rPr>
      </w:pPr>
      <w:r>
        <w:rPr>
          <w:rFonts w:ascii="Times New Roman" w:cs="Times New Roman" w:eastAsia="Times New Roman" w:hAnsi="Times New Roman"/>
          <w:sz w:val="28"/>
          <w:szCs w:val="28"/>
          <w:color w:val="auto"/>
        </w:rPr>
        <w:t>Prof. Dr. Yahya BÜYÜKAŞIK</w:t>
      </w:r>
    </w:p>
    <w:p>
      <w:pPr>
        <w:spacing w:after="0" w:line="321" w:lineRule="exact"/>
        <w:rPr>
          <w:sz w:val="20"/>
          <w:szCs w:val="20"/>
          <w:color w:val="auto"/>
        </w:rPr>
      </w:pPr>
    </w:p>
    <w:p>
      <w:pPr>
        <w:jc w:val="center"/>
        <w:ind w:right="-853"/>
        <w:spacing w:after="0"/>
        <w:rPr>
          <w:sz w:val="20"/>
          <w:szCs w:val="20"/>
          <w:color w:val="auto"/>
        </w:rPr>
      </w:pPr>
      <w:r>
        <w:rPr>
          <w:rFonts w:ascii="Times New Roman" w:cs="Times New Roman" w:eastAsia="Times New Roman" w:hAnsi="Times New Roman"/>
          <w:sz w:val="28"/>
          <w:szCs w:val="28"/>
          <w:color w:val="auto"/>
        </w:rPr>
        <w:t>ANKARA</w:t>
      </w:r>
    </w:p>
    <w:p>
      <w:pPr>
        <w:spacing w:after="0" w:line="321" w:lineRule="exact"/>
        <w:rPr>
          <w:sz w:val="20"/>
          <w:szCs w:val="20"/>
          <w:color w:val="auto"/>
        </w:rPr>
      </w:pPr>
    </w:p>
    <w:p>
      <w:pPr>
        <w:ind w:left="4660"/>
        <w:spacing w:after="0"/>
        <w:rPr>
          <w:sz w:val="20"/>
          <w:szCs w:val="20"/>
          <w:color w:val="auto"/>
        </w:rPr>
      </w:pPr>
      <w:r>
        <w:rPr>
          <w:rFonts w:ascii="Times New Roman" w:cs="Times New Roman" w:eastAsia="Times New Roman" w:hAnsi="Times New Roman"/>
          <w:sz w:val="28"/>
          <w:szCs w:val="28"/>
          <w:color w:val="auto"/>
        </w:rPr>
        <w:t>2020</w:t>
      </w:r>
    </w:p>
    <w:p>
      <w:pPr>
        <w:sectPr>
          <w:pgSz w:w="11900" w:h="16838" w:orient="portrait"/>
          <w:cols w:equalWidth="0" w:num="1">
            <w:col w:w="9026"/>
          </w:cols>
          <w:pgMar w:left="1440" w:top="1440" w:right="1440" w:bottom="1440" w:gutter="0" w:footer="0" w:header="0"/>
        </w:sectPr>
      </w:pPr>
    </w:p>
    <w:bookmarkStart w:id="2" w:name="page3"/>
    <w:bookmarkEnd w:id="2"/>
    <w:p>
      <w:pPr>
        <w:jc w:val="right"/>
        <w:spacing w:after="0"/>
        <w:rPr>
          <w:sz w:val="20"/>
          <w:szCs w:val="20"/>
          <w:color w:val="auto"/>
        </w:rPr>
      </w:pPr>
      <w:r>
        <w:rPr>
          <w:rFonts w:ascii="Calibri" w:cs="Calibri" w:eastAsia="Calibri" w:hAnsi="Calibri"/>
          <w:sz w:val="22"/>
          <w:szCs w:val="22"/>
          <w:color w:val="auto"/>
        </w:rPr>
        <w:t>i</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4280"/>
        <w:spacing w:after="0"/>
        <w:rPr>
          <w:sz w:val="20"/>
          <w:szCs w:val="20"/>
          <w:color w:val="auto"/>
        </w:rPr>
      </w:pPr>
      <w:r>
        <w:rPr>
          <w:rFonts w:ascii="Times New Roman" w:cs="Times New Roman" w:eastAsia="Times New Roman" w:hAnsi="Times New Roman"/>
          <w:sz w:val="24"/>
          <w:szCs w:val="24"/>
          <w:b w:val="1"/>
          <w:bCs w:val="1"/>
          <w:color w:val="auto"/>
        </w:rPr>
        <w:t>TEŞEKKÜR</w:t>
      </w: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both"/>
        <w:ind w:left="840" w:firstLine="720"/>
        <w:spacing w:after="0" w:line="356" w:lineRule="auto"/>
        <w:rPr>
          <w:sz w:val="20"/>
          <w:szCs w:val="20"/>
          <w:color w:val="auto"/>
        </w:rPr>
      </w:pPr>
      <w:r>
        <w:rPr>
          <w:rFonts w:ascii="Times New Roman" w:cs="Times New Roman" w:eastAsia="Times New Roman" w:hAnsi="Times New Roman"/>
          <w:sz w:val="24"/>
          <w:szCs w:val="24"/>
          <w:color w:val="auto"/>
        </w:rPr>
        <w:t>Tez çalışmalarımın her aşamasında çekinmeden tecrübesine başvurduğum, yardımlarını ve desteğini esirgemeyen, sorularımı yanıtsız bırakmayan, tüm özverisini ve desteğini her adımda hissettiğim sayın ve sevgili hocam, tez danışmanım Prof. Dr. Yahya Büyükaşık’a,</w:t>
      </w: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both"/>
        <w:ind w:left="840" w:firstLine="720"/>
        <w:spacing w:after="0" w:line="348" w:lineRule="auto"/>
        <w:rPr>
          <w:sz w:val="20"/>
          <w:szCs w:val="20"/>
          <w:color w:val="auto"/>
        </w:rPr>
      </w:pPr>
      <w:r>
        <w:rPr>
          <w:rFonts w:ascii="Times New Roman" w:cs="Times New Roman" w:eastAsia="Times New Roman" w:hAnsi="Times New Roman"/>
          <w:sz w:val="24"/>
          <w:szCs w:val="24"/>
          <w:color w:val="auto"/>
        </w:rPr>
        <w:t>Tezimin oluşma süresi boyunca bana olan desteğini hiç esirgemeyen, tez hazırlama sürecim boyun</w:t>
      </w:r>
      <w:r>
        <w:rPr>
          <w:rFonts w:ascii="Times New Roman" w:cs="Times New Roman" w:eastAsia="Times New Roman" w:hAnsi="Times New Roman"/>
          <w:sz w:val="24"/>
          <w:szCs w:val="24"/>
          <w:color w:val="auto"/>
        </w:rPr>
        <w:t>ca</w:t>
      </w:r>
      <w:r>
        <w:rPr>
          <w:rFonts w:ascii="Times New Roman" w:cs="Times New Roman" w:eastAsia="Times New Roman" w:hAnsi="Times New Roman"/>
          <w:sz w:val="24"/>
          <w:szCs w:val="24"/>
          <w:color w:val="auto"/>
        </w:rPr>
        <w:t xml:space="preserve"> her an yanımda olan arkadaşım Mehmetcan Atak’a,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-8255</wp:posOffset>
            </wp:positionV>
            <wp:extent cx="4699000" cy="18542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both"/>
        <w:ind w:left="840" w:firstLine="720"/>
        <w:spacing w:after="0" w:line="354" w:lineRule="auto"/>
        <w:rPr>
          <w:sz w:val="20"/>
          <w:szCs w:val="20"/>
          <w:color w:val="auto"/>
        </w:rPr>
      </w:pPr>
      <w:r>
        <w:rPr>
          <w:rFonts w:ascii="Times New Roman" w:cs="Times New Roman" w:eastAsia="Times New Roman" w:hAnsi="Times New Roman"/>
          <w:sz w:val="24"/>
          <w:szCs w:val="24"/>
          <w:color w:val="auto"/>
        </w:rPr>
        <w:t xml:space="preserve">Hayatım boyunca bana olan güvenlerini her zaman hissettiğim, yaşadığım tüm sıkıntılarda beni destekleyen ve yardımıma koşan canım annem, babam, kız </w:t>
      </w:r>
      <w:r>
        <w:rPr>
          <w:rFonts w:ascii="Times New Roman" w:cs="Times New Roman" w:eastAsia="Times New Roman" w:hAnsi="Times New Roman"/>
          <w:sz w:val="24"/>
          <w:szCs w:val="24"/>
          <w:color w:val="auto"/>
        </w:rPr>
        <w:t>k</w:t>
      </w:r>
      <w:r>
        <w:rPr>
          <w:rFonts w:ascii="Times New Roman" w:cs="Times New Roman" w:eastAsia="Times New Roman" w:hAnsi="Times New Roman"/>
          <w:sz w:val="24"/>
          <w:szCs w:val="24"/>
          <w:color w:val="auto"/>
        </w:rPr>
        <w:t>ardeşim ve eşime teşekkürlerimi sunarım…</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6820"/>
        <w:spacing w:after="0"/>
        <w:rPr>
          <w:sz w:val="20"/>
          <w:szCs w:val="20"/>
          <w:color w:val="auto"/>
        </w:rPr>
      </w:pPr>
      <w:r>
        <w:rPr>
          <w:rFonts w:ascii="Times New Roman" w:cs="Times New Roman" w:eastAsia="Times New Roman" w:hAnsi="Times New Roman"/>
          <w:sz w:val="24"/>
          <w:szCs w:val="24"/>
          <w:color w:val="auto"/>
        </w:rPr>
        <w:t>Dr. Osman Can Öztürk</w:t>
      </w:r>
    </w:p>
    <w:p>
      <w:pPr>
        <w:spacing w:after="0" w:line="309" w:lineRule="exact"/>
        <w:rPr>
          <w:sz w:val="20"/>
          <w:szCs w:val="20"/>
          <w:color w:val="auto"/>
        </w:rPr>
      </w:pPr>
    </w:p>
    <w:p>
      <w:pPr>
        <w:ind w:left="7440"/>
        <w:spacing w:after="0"/>
        <w:rPr>
          <w:sz w:val="20"/>
          <w:szCs w:val="20"/>
          <w:color w:val="auto"/>
        </w:rPr>
      </w:pPr>
      <w:r>
        <w:rPr>
          <w:rFonts w:ascii="Times New Roman" w:cs="Times New Roman" w:eastAsia="Times New Roman" w:hAnsi="Times New Roman"/>
          <w:sz w:val="23"/>
          <w:szCs w:val="23"/>
          <w:color w:val="auto"/>
        </w:rPr>
        <w:t>ANKARA, 2020</w:t>
      </w:r>
    </w:p>
    <w:p>
      <w:pPr>
        <w:sectPr>
          <w:pgSz w:w="11900" w:h="16838" w:orient="portrait"/>
          <w:cols w:equalWidth="0" w:num="1">
            <w:col w:w="9060"/>
          </w:cols>
          <w:pgMar w:left="1440" w:top="714" w:right="1406" w:bottom="1440" w:gutter="0" w:footer="0" w:header="0"/>
        </w:sectPr>
      </w:pPr>
    </w:p>
    <w:bookmarkStart w:id="3" w:name="page4"/>
    <w:bookmarkEnd w:id="3"/>
    <w:p>
      <w:pPr>
        <w:ind w:left="8960"/>
        <w:spacing w:after="0"/>
        <w:rPr>
          <w:sz w:val="20"/>
          <w:szCs w:val="20"/>
          <w:color w:val="auto"/>
        </w:rPr>
      </w:pPr>
      <w:r>
        <w:rPr>
          <w:rFonts w:ascii="Calibri" w:cs="Calibri" w:eastAsia="Calibri" w:hAnsi="Calibri"/>
          <w:sz w:val="21"/>
          <w:szCs w:val="21"/>
          <w:color w:val="auto"/>
        </w:rPr>
        <w:t>ii</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jc w:val="center"/>
        <w:ind w:right="-839"/>
        <w:spacing w:after="0"/>
        <w:rPr>
          <w:sz w:val="20"/>
          <w:szCs w:val="20"/>
          <w:color w:val="auto"/>
        </w:rPr>
      </w:pPr>
      <w:r>
        <w:rPr>
          <w:rFonts w:ascii="Times New Roman" w:cs="Times New Roman" w:eastAsia="Times New Roman" w:hAnsi="Times New Roman"/>
          <w:sz w:val="28"/>
          <w:szCs w:val="28"/>
          <w:b w:val="1"/>
          <w:bCs w:val="1"/>
          <w:color w:val="auto"/>
        </w:rPr>
        <w:t>ÖZET</w:t>
      </w:r>
    </w:p>
    <w:p>
      <w:pPr>
        <w:spacing w:after="0" w:line="331" w:lineRule="exact"/>
        <w:rPr>
          <w:sz w:val="20"/>
          <w:szCs w:val="20"/>
          <w:color w:val="auto"/>
        </w:rPr>
      </w:pPr>
    </w:p>
    <w:p>
      <w:pPr>
        <w:jc w:val="both"/>
        <w:ind w:left="840"/>
        <w:spacing w:after="0" w:line="357" w:lineRule="auto"/>
        <w:rPr>
          <w:sz w:val="20"/>
          <w:szCs w:val="20"/>
          <w:color w:val="auto"/>
        </w:rPr>
      </w:pPr>
      <w:r>
        <w:rPr>
          <w:rFonts w:ascii="Times New Roman" w:cs="Times New Roman" w:eastAsia="Times New Roman" w:hAnsi="Times New Roman"/>
          <w:sz w:val="24"/>
          <w:szCs w:val="24"/>
          <w:b w:val="1"/>
          <w:bCs w:val="1"/>
          <w:color w:val="auto"/>
        </w:rPr>
        <w:t xml:space="preserve">Öztürk O, Hacettepe Üniversitesi Hastanesinde Takipli Sistemik Mastositoz </w:t>
      </w:r>
      <w:r>
        <w:rPr>
          <w:rFonts w:ascii="Times New Roman" w:cs="Times New Roman" w:eastAsia="Times New Roman" w:hAnsi="Times New Roman"/>
          <w:sz w:val="24"/>
          <w:szCs w:val="24"/>
          <w:b w:val="1"/>
          <w:bCs w:val="1"/>
          <w:color w:val="auto"/>
        </w:rPr>
        <w:t xml:space="preserve">Hastalarının Retrospektif Olarak Klinik, Demografik, Laboratuvar Bulguları </w:t>
      </w:r>
      <w:r>
        <w:rPr>
          <w:rFonts w:ascii="Times New Roman" w:cs="Times New Roman" w:eastAsia="Times New Roman" w:hAnsi="Times New Roman"/>
          <w:sz w:val="24"/>
          <w:szCs w:val="24"/>
          <w:b w:val="1"/>
          <w:bCs w:val="1"/>
          <w:color w:val="auto"/>
        </w:rPr>
        <w:t xml:space="preserve">Ve Tedavi </w:t>
      </w:r>
      <w:r>
        <w:rPr>
          <w:rFonts w:ascii="Times New Roman" w:cs="Times New Roman" w:eastAsia="Times New Roman" w:hAnsi="Times New Roman"/>
          <w:sz w:val="24"/>
          <w:szCs w:val="24"/>
          <w:b w:val="1"/>
          <w:bCs w:val="1"/>
          <w:color w:val="auto"/>
        </w:rPr>
        <w:t>Açısından Değerlendirilmesi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b w:val="1"/>
          <w:bCs w:val="1"/>
          <w:color w:val="auto"/>
        </w:rPr>
        <w:t>Hacettepe Üniversitesi Tıp Fakültesi</w:t>
      </w:r>
      <w:r>
        <w:rPr>
          <w:rFonts w:ascii="Times New Roman" w:cs="Times New Roman" w:eastAsia="Times New Roman" w:hAnsi="Times New Roman"/>
          <w:sz w:val="24"/>
          <w:szCs w:val="24"/>
          <w:b w:val="1"/>
          <w:bCs w:val="1"/>
          <w:color w:val="auto"/>
        </w:rPr>
        <w:t xml:space="preserve"> Mastositoz Deneyimi, </w:t>
      </w:r>
      <w:r>
        <w:rPr>
          <w:rFonts w:ascii="Times New Roman" w:cs="Times New Roman" w:eastAsia="Times New Roman" w:hAnsi="Times New Roman"/>
          <w:sz w:val="24"/>
          <w:szCs w:val="24"/>
          <w:b w:val="1"/>
          <w:bCs w:val="1"/>
          <w:color w:val="auto"/>
        </w:rPr>
        <w:t>Hacettepe Üniversitesi Tıp Fakültesi, İç Hastalıkları</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b w:val="1"/>
          <w:bCs w:val="1"/>
          <w:color w:val="auto"/>
        </w:rPr>
        <w:t>Uzmanlık Tezi, Ankara 2020</w:t>
      </w:r>
    </w:p>
    <w:p>
      <w:pPr>
        <w:spacing w:after="0" w:line="178" w:lineRule="exact"/>
        <w:rPr>
          <w:sz w:val="20"/>
          <w:szCs w:val="20"/>
          <w:color w:val="auto"/>
        </w:rPr>
      </w:pPr>
    </w:p>
    <w:p>
      <w:pPr>
        <w:jc w:val="both"/>
        <w:ind w:left="840"/>
        <w:spacing w:after="0" w:line="359" w:lineRule="auto"/>
        <w:rPr>
          <w:sz w:val="20"/>
          <w:szCs w:val="20"/>
          <w:color w:val="auto"/>
        </w:rPr>
      </w:pPr>
      <w:r>
        <w:rPr>
          <w:rFonts w:ascii="Times New Roman" w:cs="Times New Roman" w:eastAsia="Times New Roman" w:hAnsi="Times New Roman"/>
          <w:sz w:val="23"/>
          <w:szCs w:val="23"/>
          <w:color w:val="auto"/>
        </w:rPr>
        <w:t>Sistemik mastositoz (SM) bir veya daha fazla organ sisteminde hem immünfenotip hem de mo</w:t>
      </w:r>
      <w:r>
        <w:rPr>
          <w:rFonts w:ascii="Times New Roman" w:cs="Times New Roman" w:eastAsia="Times New Roman" w:hAnsi="Times New Roman"/>
          <w:sz w:val="23"/>
          <w:szCs w:val="23"/>
          <w:color w:val="auto"/>
        </w:rPr>
        <w:t>rfolojik olarak anormal mast hücrelerinin aşırı bir biçimde çoğalma ve</w:t>
      </w:r>
      <w:r>
        <w:rPr>
          <w:rFonts w:ascii="Times New Roman" w:cs="Times New Roman" w:eastAsia="Times New Roman" w:hAnsi="Times New Roman"/>
          <w:sz w:val="23"/>
          <w:szCs w:val="23"/>
          <w:color w:val="auto"/>
        </w:rPr>
        <w:t xml:space="preserve"> birikmesiyle karakterize nadir görülen klonal bir neoplazidir (1-3). SM, prognoza ve kli</w:t>
      </w:r>
      <w:r>
        <w:rPr>
          <w:rFonts w:ascii="Times New Roman" w:cs="Times New Roman" w:eastAsia="Times New Roman" w:hAnsi="Times New Roman"/>
          <w:sz w:val="23"/>
          <w:szCs w:val="23"/>
          <w:color w:val="auto"/>
        </w:rPr>
        <w:t>niğe göre farklı subtiplere ayrılabilir. Bu çalışma</w:t>
      </w:r>
      <w:r>
        <w:rPr>
          <w:rFonts w:ascii="Times New Roman" w:cs="Times New Roman" w:eastAsia="Times New Roman" w:hAnsi="Times New Roman"/>
          <w:sz w:val="23"/>
          <w:szCs w:val="23"/>
          <w:color w:val="auto"/>
        </w:rPr>
        <w:t xml:space="preserve">, Ocak 2001 ile Nisan 2020 tarihleri </w:t>
      </w:r>
      <w:r>
        <w:rPr>
          <w:rFonts w:ascii="Times New Roman" w:cs="Times New Roman" w:eastAsia="Times New Roman" w:hAnsi="Times New Roman"/>
          <w:sz w:val="23"/>
          <w:szCs w:val="23"/>
          <w:color w:val="auto"/>
        </w:rPr>
        <w:t xml:space="preserve">arasında Hacettepe Üniversitesi Tıp Fakültesi Hastanelerinde, revize edilmiş 2016 WHO tanı kriterlerine göre </w:t>
      </w:r>
      <w:r>
        <w:rPr>
          <w:rFonts w:ascii="Times New Roman" w:cs="Times New Roman" w:eastAsia="Times New Roman" w:hAnsi="Times New Roman"/>
          <w:sz w:val="23"/>
          <w:szCs w:val="23"/>
          <w:color w:val="auto"/>
        </w:rPr>
        <w:t>SM</w:t>
      </w:r>
      <w:r>
        <w:rPr>
          <w:rFonts w:ascii="Times New Roman" w:cs="Times New Roman" w:eastAsia="Times New Roman" w:hAnsi="Times New Roman"/>
          <w:sz w:val="23"/>
          <w:szCs w:val="23"/>
          <w:color w:val="auto"/>
        </w:rPr>
        <w:t xml:space="preserve"> tanısı ile izlenmiş olan </w:t>
      </w:r>
      <w:r>
        <w:rPr>
          <w:rFonts w:ascii="Times New Roman" w:cs="Times New Roman" w:eastAsia="Times New Roman" w:hAnsi="Times New Roman"/>
          <w:sz w:val="23"/>
          <w:szCs w:val="23"/>
          <w:color w:val="auto"/>
        </w:rPr>
        <w:t>30</w:t>
      </w:r>
      <w:r>
        <w:rPr>
          <w:rFonts w:ascii="Times New Roman" w:cs="Times New Roman" w:eastAsia="Times New Roman" w:hAnsi="Times New Roman"/>
          <w:sz w:val="23"/>
          <w:szCs w:val="23"/>
          <w:color w:val="auto"/>
        </w:rPr>
        <w:t xml:space="preserve"> erişkin hastanın klinik, dem</w:t>
      </w:r>
      <w:r>
        <w:rPr>
          <w:rFonts w:ascii="Times New Roman" w:cs="Times New Roman" w:eastAsia="Times New Roman" w:hAnsi="Times New Roman"/>
          <w:sz w:val="23"/>
          <w:szCs w:val="23"/>
          <w:color w:val="auto"/>
        </w:rPr>
        <w:t>ografik,</w:t>
      </w:r>
      <w:r>
        <w:rPr>
          <w:rFonts w:ascii="Times New Roman" w:cs="Times New Roman" w:eastAsia="Times New Roman" w:hAnsi="Times New Roman"/>
          <w:sz w:val="23"/>
          <w:szCs w:val="23"/>
          <w:color w:val="auto"/>
        </w:rPr>
        <w:t xml:space="preserve"> tedavi ve laboratuvar bulguları açısından değerlendirildiği tek merkezli tanımlayıcı retrospektif bir kohort çalışmasıdır. Bu çalışmanın amacı </w:t>
      </w:r>
      <w:r>
        <w:rPr>
          <w:rFonts w:ascii="Times New Roman" w:cs="Times New Roman" w:eastAsia="Times New Roman" w:hAnsi="Times New Roman"/>
          <w:sz w:val="23"/>
          <w:szCs w:val="23"/>
          <w:color w:val="auto"/>
        </w:rPr>
        <w:t>SM</w:t>
      </w:r>
      <w:r>
        <w:rPr>
          <w:rFonts w:ascii="Times New Roman" w:cs="Times New Roman" w:eastAsia="Times New Roman" w:hAnsi="Times New Roman"/>
          <w:sz w:val="23"/>
          <w:szCs w:val="23"/>
          <w:color w:val="auto"/>
        </w:rPr>
        <w:t xml:space="preserve"> farkındalığını arttırmak ve gelişmekte olan literatüre katkı sağlamaktır. </w:t>
      </w:r>
      <w:r>
        <w:rPr>
          <w:rFonts w:ascii="Times New Roman" w:cs="Times New Roman" w:eastAsia="Times New Roman" w:hAnsi="Times New Roman"/>
          <w:sz w:val="23"/>
          <w:szCs w:val="23"/>
          <w:color w:val="auto"/>
        </w:rPr>
        <w:t>15 hasta indolan SM (</w:t>
      </w:r>
      <w:r>
        <w:rPr>
          <w:rFonts w:ascii="Times New Roman" w:cs="Times New Roman" w:eastAsia="Times New Roman" w:hAnsi="Times New Roman"/>
          <w:sz w:val="23"/>
          <w:szCs w:val="23"/>
          <w:color w:val="auto"/>
        </w:rPr>
        <w:t>İSM</w:t>
      </w:r>
      <w:r>
        <w:rPr>
          <w:rFonts w:ascii="Times New Roman" w:cs="Times New Roman" w:eastAsia="Times New Roman" w:hAnsi="Times New Roman"/>
          <w:sz w:val="23"/>
          <w:szCs w:val="23"/>
          <w:color w:val="auto"/>
        </w:rPr>
        <w:t>) (%50), 10 hasta</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auto"/>
        </w:rPr>
        <w:t xml:space="preserve">agresif SM (ASM) (%33,4), bir hasta smoldering SM (%3,3) ve 4 hasta (%13,3) asosiye hematolojik neoplazi ile birlikte SM </w:t>
      </w:r>
      <w:r>
        <w:rPr>
          <w:rFonts w:ascii="Times New Roman" w:cs="Times New Roman" w:eastAsia="Times New Roman" w:hAnsi="Times New Roman"/>
          <w:sz w:val="23"/>
          <w:szCs w:val="23"/>
          <w:color w:val="auto"/>
        </w:rPr>
        <w:t>ile takipliydi. Hastaların tamamına bir majör</w:t>
      </w:r>
      <w:r>
        <w:rPr>
          <w:rFonts w:ascii="Times New Roman" w:cs="Times New Roman" w:eastAsia="Times New Roman" w:hAnsi="Times New Roman"/>
          <w:sz w:val="23"/>
          <w:szCs w:val="23"/>
          <w:color w:val="auto"/>
        </w:rPr>
        <w:t xml:space="preserve"> ve 1 </w:t>
      </w:r>
      <w:r>
        <w:rPr>
          <w:rFonts w:ascii="Times New Roman" w:cs="Times New Roman" w:eastAsia="Times New Roman" w:hAnsi="Times New Roman"/>
          <w:sz w:val="23"/>
          <w:szCs w:val="23"/>
          <w:color w:val="auto"/>
        </w:rPr>
        <w:t xml:space="preserve">minör kriter pozitifliği ile tanı konulduğu saptandı. Serum triptaz </w:t>
      </w:r>
      <w:r>
        <w:rPr>
          <w:rFonts w:ascii="Times New Roman" w:cs="Times New Roman" w:eastAsia="Times New Roman" w:hAnsi="Times New Roman"/>
          <w:sz w:val="23"/>
          <w:szCs w:val="23"/>
          <w:color w:val="auto"/>
        </w:rPr>
        <w:t>düzeyi SM subtipleri</w:t>
      </w:r>
      <w:r>
        <w:rPr>
          <w:rFonts w:ascii="Times New Roman" w:cs="Times New Roman" w:eastAsia="Times New Roman" w:hAnsi="Times New Roman"/>
          <w:sz w:val="23"/>
          <w:szCs w:val="23"/>
          <w:color w:val="auto"/>
        </w:rPr>
        <w:t xml:space="preserve"> arasında ilişki mevcuttu. ASM hastalarında İSM hastalarına kıyasla triptaz düzeyleri daha yüksek saptandı. Hastaların %66,7’sinde cilt lezyonları, %78,9’unda muskuloskeletal semptomlar ve %36’sında en az bir kere anafilaksi görüldü. AS</w:t>
      </w:r>
      <w:r>
        <w:rPr>
          <w:rFonts w:ascii="Times New Roman" w:cs="Times New Roman" w:eastAsia="Times New Roman" w:hAnsi="Times New Roman"/>
          <w:sz w:val="23"/>
          <w:szCs w:val="23"/>
          <w:color w:val="auto"/>
        </w:rPr>
        <w:t>M ile</w:t>
      </w:r>
      <w:r>
        <w:rPr>
          <w:rFonts w:ascii="Times New Roman" w:cs="Times New Roman" w:eastAsia="Times New Roman" w:hAnsi="Times New Roman"/>
          <w:sz w:val="23"/>
          <w:szCs w:val="23"/>
          <w:color w:val="auto"/>
        </w:rPr>
        <w:t xml:space="preserve"> takipli hastalarda en sık görülen C bulguları kemik iliği yetmezliği 6 hastada </w:t>
      </w:r>
      <w:r>
        <w:rPr>
          <w:rFonts w:ascii="Times New Roman" w:cs="Times New Roman" w:eastAsia="Times New Roman" w:hAnsi="Times New Roman"/>
          <w:sz w:val="23"/>
          <w:szCs w:val="23"/>
          <w:color w:val="auto"/>
        </w:rPr>
        <w:t>(%60) ve</w:t>
      </w:r>
      <w:r>
        <w:rPr>
          <w:rFonts w:ascii="Times New Roman" w:cs="Times New Roman" w:eastAsia="Times New Roman" w:hAnsi="Times New Roman"/>
          <w:sz w:val="23"/>
          <w:szCs w:val="23"/>
          <w:color w:val="auto"/>
        </w:rPr>
        <w:t xml:space="preserve"> kemik patolojileri 4 hastada (%40) saptandı. Toplamda 12 hasta enjektabl adrenalin, 13 hasta ise antihistaminik kullanıyordu. Osteoporozu olan 10 hastanın 9 tanes</w:t>
      </w:r>
      <w:r>
        <w:rPr>
          <w:rFonts w:ascii="Times New Roman" w:cs="Times New Roman" w:eastAsia="Times New Roman" w:hAnsi="Times New Roman"/>
          <w:sz w:val="23"/>
          <w:szCs w:val="23"/>
          <w:color w:val="auto"/>
        </w:rPr>
        <w:t>i bisfosfonat</w:t>
      </w:r>
      <w:r>
        <w:rPr>
          <w:rFonts w:ascii="Times New Roman" w:cs="Times New Roman" w:eastAsia="Times New Roman" w:hAnsi="Times New Roman"/>
          <w:sz w:val="23"/>
          <w:szCs w:val="23"/>
          <w:color w:val="auto"/>
        </w:rPr>
        <w:t xml:space="preserve"> kullanırken bir tanesi denosumab kullanıyordu. Sitoredüktif tedavi alan </w:t>
      </w:r>
      <w:r>
        <w:rPr>
          <w:rFonts w:ascii="Times New Roman" w:cs="Times New Roman" w:eastAsia="Times New Roman" w:hAnsi="Times New Roman"/>
          <w:sz w:val="23"/>
          <w:szCs w:val="23"/>
          <w:color w:val="auto"/>
        </w:rPr>
        <w:t>10 hasta</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auto"/>
        </w:rPr>
        <w:t xml:space="preserve">mevcuttu. </w:t>
      </w:r>
      <w:r>
        <w:rPr>
          <w:rFonts w:ascii="Times New Roman" w:cs="Times New Roman" w:eastAsia="Times New Roman" w:hAnsi="Times New Roman"/>
          <w:sz w:val="23"/>
          <w:szCs w:val="23"/>
          <w:color w:val="auto"/>
        </w:rPr>
        <w:t>ASM ile takipli hastaların üç tanesi</w:t>
      </w:r>
      <w:r>
        <w:rPr>
          <w:rFonts w:ascii="Times New Roman" w:cs="Times New Roman" w:eastAsia="Times New Roman" w:hAnsi="Times New Roman"/>
          <w:sz w:val="23"/>
          <w:szCs w:val="23"/>
          <w:color w:val="auto"/>
        </w:rPr>
        <w:t xml:space="preserve"> (%30) midostaurin, bir tanesi (%10) imatinib ve 5 (%50) tanesinin interferon </w:t>
      </w:r>
      <w:r>
        <w:rPr>
          <w:rFonts w:ascii="Times New Roman" w:cs="Times New Roman" w:eastAsia="Times New Roman" w:hAnsi="Times New Roman"/>
          <w:sz w:val="23"/>
          <w:szCs w:val="23"/>
          <w:color w:val="auto"/>
        </w:rPr>
        <w:t>alfa kullandığı görüldü. Bu çalışma</w:t>
      </w:r>
      <w:r>
        <w:rPr>
          <w:rFonts w:ascii="Times New Roman" w:cs="Times New Roman" w:eastAsia="Times New Roman" w:hAnsi="Times New Roman"/>
          <w:sz w:val="23"/>
          <w:szCs w:val="23"/>
          <w:color w:val="auto"/>
        </w:rPr>
        <w:t xml:space="preserve">, SMun klinik anlamda </w:t>
      </w:r>
      <w:r>
        <w:rPr>
          <w:rFonts w:ascii="Times New Roman" w:cs="Times New Roman" w:eastAsia="Times New Roman" w:hAnsi="Times New Roman"/>
          <w:sz w:val="23"/>
          <w:szCs w:val="23"/>
          <w:color w:val="auto"/>
        </w:rPr>
        <w:t>geniş ve çeşitli bir spektrumunun olduğunu göstermekte ve bu hastalığın</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auto"/>
        </w:rPr>
        <w:t>optimal yönetimi ve erken tanı için multidispiliner bir yaklaşımın gerekliliğini ortaya koymaktadır.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-5180330</wp:posOffset>
            </wp:positionV>
            <wp:extent cx="4699000" cy="18542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56"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3"/>
          <w:szCs w:val="23"/>
          <w:color w:val="auto"/>
        </w:rPr>
        <w:t>Anahtar kelimeler: Sistemik mastositoz, midostaurin, osteoporoz, anafilaksi</w:t>
      </w:r>
    </w:p>
    <w:p>
      <w:pPr>
        <w:sectPr>
          <w:pgSz w:w="11900" w:h="16838" w:orient="portrait"/>
          <w:cols w:equalWidth="0" w:num="1">
            <w:col w:w="9060"/>
          </w:cols>
          <w:pgMar w:left="1440" w:top="726" w:right="1406" w:bottom="1440" w:gutter="0" w:footer="0" w:header="0"/>
        </w:sectPr>
      </w:pPr>
    </w:p>
    <w:bookmarkStart w:id="4" w:name="page5"/>
    <w:bookmarkEnd w:id="4"/>
    <w:p>
      <w:pPr>
        <w:jc w:val="right"/>
        <w:spacing w:after="0"/>
        <w:rPr>
          <w:sz w:val="20"/>
          <w:szCs w:val="20"/>
          <w:color w:val="auto"/>
        </w:rPr>
      </w:pPr>
      <w:r>
        <w:rPr>
          <w:rFonts w:ascii="Calibri" w:cs="Calibri" w:eastAsia="Calibri" w:hAnsi="Calibri"/>
          <w:sz w:val="22"/>
          <w:szCs w:val="22"/>
          <w:color w:val="auto"/>
        </w:rPr>
        <w:t>iii</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center"/>
        <w:ind w:right="-839"/>
        <w:spacing w:after="0"/>
        <w:rPr>
          <w:sz w:val="20"/>
          <w:szCs w:val="20"/>
          <w:color w:val="auto"/>
        </w:rPr>
      </w:pPr>
      <w:r>
        <w:rPr>
          <w:rFonts w:ascii="Times New Roman" w:cs="Times New Roman" w:eastAsia="Times New Roman" w:hAnsi="Times New Roman"/>
          <w:sz w:val="24"/>
          <w:szCs w:val="24"/>
          <w:b w:val="1"/>
          <w:bCs w:val="1"/>
          <w:color w:val="auto"/>
        </w:rPr>
        <w:t>ABSTRACT</w:t>
      </w:r>
    </w:p>
    <w:p>
      <w:pPr>
        <w:spacing w:after="0" w:line="310" w:lineRule="exact"/>
        <w:rPr>
          <w:sz w:val="20"/>
          <w:szCs w:val="20"/>
          <w:color w:val="auto"/>
        </w:rPr>
      </w:pPr>
    </w:p>
    <w:p>
      <w:pPr>
        <w:jc w:val="both"/>
        <w:ind w:left="840"/>
        <w:spacing w:after="0" w:line="357" w:lineRule="auto"/>
        <w:rPr>
          <w:sz w:val="20"/>
          <w:szCs w:val="20"/>
          <w:color w:val="auto"/>
        </w:rPr>
      </w:pPr>
      <w:r>
        <w:rPr>
          <w:rFonts w:ascii="Times New Roman" w:cs="Times New Roman" w:eastAsia="Times New Roman" w:hAnsi="Times New Roman"/>
          <w:sz w:val="24"/>
          <w:szCs w:val="24"/>
          <w:b w:val="1"/>
          <w:bCs w:val="1"/>
          <w:color w:val="auto"/>
        </w:rPr>
        <w:t>Öztürk O, Retrospective Evaluation of patients with Systemic Mastocytosis in Hacettepe University Hospital in Terms of Clinical, Demographic, Laboratory Findings and Treatment. Mastocytosis Experience of Hacettepe University Faculty of Medicine, Hacettepe University Faculty of Medicine, Internal Medicine Specialty Thesis, Ankara, 2020</w:t>
      </w:r>
    </w:p>
    <w:p>
      <w:pPr>
        <w:spacing w:after="0" w:line="17" w:lineRule="exact"/>
        <w:rPr>
          <w:sz w:val="20"/>
          <w:szCs w:val="20"/>
          <w:color w:val="auto"/>
        </w:rPr>
      </w:pPr>
    </w:p>
    <w:p>
      <w:pPr>
        <w:ind w:left="840" w:right="100"/>
        <w:spacing w:after="0" w:line="358" w:lineRule="auto"/>
        <w:rPr>
          <w:sz w:val="20"/>
          <w:szCs w:val="20"/>
          <w:color w:val="auto"/>
        </w:rPr>
      </w:pPr>
      <w:r>
        <w:rPr>
          <w:rFonts w:ascii="Times New Roman" w:cs="Times New Roman" w:eastAsia="Times New Roman" w:hAnsi="Times New Roman"/>
          <w:sz w:val="23"/>
          <w:szCs w:val="23"/>
          <w:color w:val="auto"/>
        </w:rPr>
        <w:t xml:space="preserve">Systemic mastocytosis (SM) </w:t>
      </w:r>
      <w:r>
        <w:rPr>
          <w:rFonts w:ascii="Times New Roman" w:cs="Times New Roman" w:eastAsia="Times New Roman" w:hAnsi="Times New Roman"/>
          <w:sz w:val="23"/>
          <w:szCs w:val="23"/>
          <w:color w:val="1C1D1E"/>
        </w:rPr>
        <w:t>is a clonal, neoplastic disorder which leads proliferation of</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1C1D1E"/>
        </w:rPr>
        <w:t xml:space="preserve">morphologically and immunophenotypically abnormal mast cells that accumulate in one or more organ systems. </w:t>
      </w:r>
      <w:r>
        <w:rPr>
          <w:rFonts w:ascii="Times New Roman" w:cs="Times New Roman" w:eastAsia="Times New Roman" w:hAnsi="Times New Roman"/>
          <w:sz w:val="23"/>
          <w:szCs w:val="23"/>
          <w:color w:val="000000"/>
        </w:rPr>
        <w:t>It can be divided in subtypes with different clinics and</w:t>
      </w:r>
      <w:r>
        <w:rPr>
          <w:rFonts w:ascii="Times New Roman" w:cs="Times New Roman" w:eastAsia="Times New Roman" w:hAnsi="Times New Roman"/>
          <w:sz w:val="23"/>
          <w:szCs w:val="23"/>
          <w:color w:val="1C1D1E"/>
        </w:rPr>
        <w:t xml:space="preserve"> </w:t>
      </w:r>
      <w:r>
        <w:rPr>
          <w:rFonts w:ascii="Times New Roman" w:cs="Times New Roman" w:eastAsia="Times New Roman" w:hAnsi="Times New Roman"/>
          <w:sz w:val="23"/>
          <w:szCs w:val="23"/>
          <w:color w:val="000000"/>
        </w:rPr>
        <w:t xml:space="preserve">prognoses. </w:t>
      </w:r>
      <w:r>
        <w:rPr>
          <w:rFonts w:ascii="Times New Roman" w:cs="Times New Roman" w:eastAsia="Times New Roman" w:hAnsi="Times New Roman"/>
          <w:sz w:val="23"/>
          <w:szCs w:val="23"/>
          <w:color w:val="222222"/>
          <w:highlight w:val="white"/>
        </w:rPr>
        <w:t>This study is a single-center descriptive cohort study which evaluated in</w:t>
      </w:r>
      <w:r>
        <w:rPr>
          <w:rFonts w:ascii="Times New Roman" w:cs="Times New Roman" w:eastAsia="Times New Roman" w:hAnsi="Times New Roman"/>
          <w:sz w:val="23"/>
          <w:szCs w:val="23"/>
          <w:color w:val="000000"/>
        </w:rPr>
        <w:t xml:space="preserve"> </w:t>
      </w:r>
      <w:r>
        <w:rPr>
          <w:rFonts w:ascii="Times New Roman" w:cs="Times New Roman" w:eastAsia="Times New Roman" w:hAnsi="Times New Roman"/>
          <w:sz w:val="23"/>
          <w:szCs w:val="23"/>
          <w:color w:val="222222"/>
          <w:highlight w:val="white"/>
        </w:rPr>
        <w:t>terms of clinical, demographic, treatment and laboratory findings of 30 adult patients who were followed up with the diagnosis of SM according to the revised 2016 WHO diagnostic criteria in Hacettepe University Medical Faculty Hospitals between January 2001 and April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-1253490</wp:posOffset>
            </wp:positionV>
            <wp:extent cx="5414010" cy="22682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5414010" cy="2268220"/>
                    </a:xfrm>
                    <a:prstGeom prst="rect">
                      <a:avLst/>
                    </a:prstGeom>
                    <a:noFill/>
                  </pic:spPr>
                </pic:pic>
              </a:graphicData>
            </a:graphic>
          </wp:anchor>
        </w:drawing>
      </w:r>
    </w:p>
    <w:p>
      <w:pPr>
        <w:ind w:left="840" w:right="40"/>
        <w:spacing w:after="0" w:line="359" w:lineRule="auto"/>
        <w:rPr>
          <w:sz w:val="20"/>
          <w:szCs w:val="20"/>
          <w:color w:val="auto"/>
        </w:rPr>
      </w:pPr>
      <w:r>
        <w:rPr>
          <w:rFonts w:ascii="Times New Roman" w:cs="Times New Roman" w:eastAsia="Times New Roman" w:hAnsi="Times New Roman"/>
          <w:sz w:val="23"/>
          <w:szCs w:val="23"/>
          <w:color w:val="222222"/>
          <w:highlight w:val="white"/>
        </w:rPr>
        <w:t xml:space="preserve">The aim of this study is to raise awareness of SM and contribute to the developing literature. </w:t>
      </w:r>
      <w:r>
        <w:rPr>
          <w:rFonts w:ascii="Times New Roman" w:cs="Times New Roman" w:eastAsia="Times New Roman" w:hAnsi="Times New Roman"/>
          <w:sz w:val="23"/>
          <w:szCs w:val="23"/>
          <w:color w:val="000000"/>
        </w:rPr>
        <w:t>Fifteen patients (50%) were followed for indolent SM (ISM), 1 patient (3.3%)</w:t>
      </w:r>
      <w:r>
        <w:rPr>
          <w:rFonts w:ascii="Times New Roman" w:cs="Times New Roman" w:eastAsia="Times New Roman" w:hAnsi="Times New Roman"/>
          <w:sz w:val="23"/>
          <w:szCs w:val="23"/>
          <w:color w:val="222222"/>
          <w:highlight w:val="white"/>
        </w:rPr>
        <w:t xml:space="preserve"> </w:t>
      </w:r>
      <w:r>
        <w:rPr>
          <w:rFonts w:ascii="Times New Roman" w:cs="Times New Roman" w:eastAsia="Times New Roman" w:hAnsi="Times New Roman"/>
          <w:sz w:val="23"/>
          <w:szCs w:val="23"/>
          <w:color w:val="000000"/>
        </w:rPr>
        <w:t xml:space="preserve">smouldering SM, 10 patients (33.4%) aggressive SM (ASM) and 4 patients (13.3%) SM with associated haematological neoplasia. </w:t>
      </w:r>
      <w:r>
        <w:rPr>
          <w:rFonts w:ascii="Times New Roman" w:cs="Times New Roman" w:eastAsia="Times New Roman" w:hAnsi="Times New Roman"/>
          <w:sz w:val="23"/>
          <w:szCs w:val="23"/>
          <w:color w:val="222222"/>
        </w:rPr>
        <w:t>Serum tryptase level was associated with</w:t>
      </w:r>
      <w:r>
        <w:rPr>
          <w:rFonts w:ascii="Times New Roman" w:cs="Times New Roman" w:eastAsia="Times New Roman" w:hAnsi="Times New Roman"/>
          <w:sz w:val="23"/>
          <w:szCs w:val="23"/>
          <w:color w:val="000000"/>
        </w:rPr>
        <w:t xml:space="preserve"> </w:t>
      </w:r>
      <w:r>
        <w:rPr>
          <w:rFonts w:ascii="Times New Roman" w:cs="Times New Roman" w:eastAsia="Times New Roman" w:hAnsi="Times New Roman"/>
          <w:sz w:val="23"/>
          <w:szCs w:val="23"/>
          <w:color w:val="222222"/>
        </w:rPr>
        <w:t xml:space="preserve">systemic mastocytosis subtypes. ASM patients had higher triptase levels than ISM patients. Skin lesions were observed in 66.7% of patients, musculoskeletal symptoms in 78.9% and at least on episode of anaphylaxis in 36%. The most common C findings in patients followed for ASM were bone marrow failure in 6 patients (60%) and bone pathologies in 4 patients (40%). A total of 12 patients used injectable adrenaline and 13 patients used antihistamines. 9 of 10 patients with osteoporosis used bisphosphonate and one case used denosumab. There were 10 patients who received cytoreductive treatment. Three (30%) patients followed for ASM used midostaurin, one (10%) imatinib and 5 (50%) used interferon </w:t>
      </w:r>
      <w:r>
        <w:rPr>
          <w:rFonts w:ascii="Times New Roman" w:cs="Times New Roman" w:eastAsia="Times New Roman" w:hAnsi="Times New Roman"/>
          <w:sz w:val="23"/>
          <w:szCs w:val="23"/>
          <w:color w:val="222222"/>
          <w:highlight w:val="white"/>
        </w:rPr>
        <w:t>alpha.</w:t>
      </w:r>
      <w:r>
        <w:rPr>
          <w:rFonts w:ascii="Times New Roman" w:cs="Times New Roman" w:eastAsia="Times New Roman" w:hAnsi="Times New Roman"/>
          <w:sz w:val="23"/>
          <w:szCs w:val="23"/>
          <w:color w:val="222222"/>
        </w:rPr>
        <w:t xml:space="preserve"> This study demonstrates that there is a broad and diverse spectrum of SM in a clinical sense, and reveals the need for a multidisciplinary approach for optimal management and early diagnosis of this disease.</w:t>
      </w:r>
    </w:p>
    <w:p>
      <w:pPr>
        <w:spacing w:after="0" w:line="3"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3"/>
          <w:szCs w:val="23"/>
          <w:color w:val="222222"/>
        </w:rPr>
        <w:t>Keywords: Systemic mastocytosis, midostaurin, osteoporosis, anaphylaxis</w:t>
      </w:r>
    </w:p>
    <w:p>
      <w:pPr>
        <w:sectPr>
          <w:pgSz w:w="11900" w:h="16838" w:orient="portrait"/>
          <w:cols w:equalWidth="0" w:num="1">
            <w:col w:w="9060"/>
          </w:cols>
          <w:pgMar w:left="1440" w:top="714" w:right="1406" w:bottom="1440" w:gutter="0" w:footer="0" w:header="0"/>
        </w:sectPr>
      </w:pPr>
    </w:p>
    <w:bookmarkStart w:id="5" w:name="page6"/>
    <w:bookmarkEnd w:id="5"/>
    <w:p>
      <w:pPr>
        <w:jc w:val="right"/>
        <w:spacing w:after="0"/>
        <w:rPr>
          <w:sz w:val="20"/>
          <w:szCs w:val="20"/>
          <w:color w:val="auto"/>
        </w:rPr>
      </w:pPr>
      <w:r>
        <w:rPr>
          <w:rFonts w:ascii="Calibri" w:cs="Calibri" w:eastAsia="Calibri" w:hAnsi="Calibri"/>
          <w:sz w:val="22"/>
          <w:szCs w:val="22"/>
          <w:color w:val="auto"/>
        </w:rPr>
        <w:t>iv</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4200"/>
        <w:spacing w:after="0"/>
        <w:rPr>
          <w:sz w:val="20"/>
          <w:szCs w:val="20"/>
          <w:color w:val="auto"/>
        </w:rPr>
      </w:pPr>
      <w:r>
        <w:rPr>
          <w:rFonts w:ascii="Times New Roman" w:cs="Times New Roman" w:eastAsia="Times New Roman" w:hAnsi="Times New Roman"/>
          <w:sz w:val="22"/>
          <w:szCs w:val="22"/>
          <w:b w:val="1"/>
          <w:bCs w:val="1"/>
          <w:color w:val="auto"/>
        </w:rPr>
        <w:t>İÇİNDEKİLER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tbl>
      <w:tblPr>
        <w:tblLayout w:type="fixed"/>
        <w:tblInd w:w="840" w:type="dxa"/>
        <w:tblCellMar>
          <w:top w:w="0" w:type="dxa"/>
          <w:left w:w="0" w:type="dxa"/>
          <w:bottom w:w="0" w:type="dxa"/>
          <w:right w:w="0" w:type="dxa"/>
        </w:tblCellMar>
      </w:tblPr>
      <w:tr>
        <w:trPr>
          <w:trHeight w:val="253"/>
        </w:trPr>
        <w:tc>
          <w:tcPr>
            <w:tcW w:w="1660" w:type="dxa"/>
            <w:vAlign w:val="bottom"/>
            <w:gridSpan w:val="2"/>
          </w:tcPr>
          <w:p>
            <w:pPr>
              <w:spacing w:after="0"/>
              <w:rPr>
                <w:sz w:val="20"/>
                <w:szCs w:val="20"/>
                <w:color w:val="auto"/>
              </w:rPr>
            </w:pPr>
            <w:r>
              <w:rPr>
                <w:rFonts w:ascii="Times New Roman" w:cs="Times New Roman" w:eastAsia="Times New Roman" w:hAnsi="Times New Roman"/>
                <w:sz w:val="22"/>
                <w:szCs w:val="22"/>
                <w:b w:val="1"/>
                <w:bCs w:val="1"/>
                <w:i w:val="1"/>
                <w:iCs w:val="1"/>
                <w:color w:val="auto"/>
              </w:rPr>
              <w:t>TEŞEKKÜR</w:t>
            </w:r>
          </w:p>
        </w:tc>
        <w:tc>
          <w:tcPr>
            <w:tcW w:w="5580" w:type="dxa"/>
            <w:vAlign w:val="bottom"/>
          </w:tcPr>
          <w:p>
            <w:pPr>
              <w:spacing w:after="0"/>
              <w:rPr>
                <w:sz w:val="22"/>
                <w:szCs w:val="22"/>
                <w:color w:val="auto"/>
              </w:rPr>
            </w:pP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iii</w:t>
            </w:r>
          </w:p>
        </w:tc>
      </w:tr>
      <w:tr>
        <w:trPr>
          <w:trHeight w:val="540"/>
        </w:trPr>
        <w:tc>
          <w:tcPr>
            <w:tcW w:w="600" w:type="dxa"/>
            <w:vAlign w:val="bottom"/>
          </w:tcPr>
          <w:p>
            <w:pPr>
              <w:spacing w:after="0"/>
              <w:rPr>
                <w:sz w:val="20"/>
                <w:szCs w:val="20"/>
                <w:color w:val="auto"/>
              </w:rPr>
            </w:pPr>
            <w:r>
              <w:rPr>
                <w:rFonts w:ascii="Times New Roman" w:cs="Times New Roman" w:eastAsia="Times New Roman" w:hAnsi="Times New Roman"/>
                <w:sz w:val="22"/>
                <w:szCs w:val="22"/>
                <w:b w:val="1"/>
                <w:bCs w:val="1"/>
                <w:i w:val="1"/>
                <w:iCs w:val="1"/>
                <w:color w:val="auto"/>
              </w:rPr>
              <w:t>ÖZET</w:t>
            </w:r>
          </w:p>
        </w:tc>
        <w:tc>
          <w:tcPr>
            <w:tcW w:w="1060" w:type="dxa"/>
            <w:vAlign w:val="bottom"/>
          </w:tcPr>
          <w:p>
            <w:pPr>
              <w:spacing w:after="0"/>
              <w:rPr>
                <w:sz w:val="24"/>
                <w:szCs w:val="24"/>
                <w:color w:val="auto"/>
              </w:rPr>
            </w:pPr>
          </w:p>
        </w:tc>
        <w:tc>
          <w:tcPr>
            <w:tcW w:w="5580" w:type="dxa"/>
            <w:vAlign w:val="bottom"/>
          </w:tcPr>
          <w:p>
            <w:pPr>
              <w:spacing w:after="0"/>
              <w:rPr>
                <w:sz w:val="24"/>
                <w:szCs w:val="24"/>
                <w:color w:val="auto"/>
              </w:rPr>
            </w:pP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iv</w:t>
            </w:r>
          </w:p>
        </w:tc>
      </w:tr>
      <w:tr>
        <w:trPr>
          <w:trHeight w:val="540"/>
        </w:trPr>
        <w:tc>
          <w:tcPr>
            <w:tcW w:w="1660" w:type="dxa"/>
            <w:vAlign w:val="bottom"/>
            <w:gridSpan w:val="2"/>
          </w:tcPr>
          <w:p>
            <w:pPr>
              <w:spacing w:after="0"/>
              <w:rPr>
                <w:sz w:val="20"/>
                <w:szCs w:val="20"/>
                <w:color w:val="auto"/>
              </w:rPr>
            </w:pPr>
            <w:r>
              <w:rPr>
                <w:rFonts w:ascii="Times New Roman" w:cs="Times New Roman" w:eastAsia="Times New Roman" w:hAnsi="Times New Roman"/>
                <w:sz w:val="22"/>
                <w:szCs w:val="22"/>
                <w:b w:val="1"/>
                <w:bCs w:val="1"/>
                <w:i w:val="1"/>
                <w:iCs w:val="1"/>
                <w:color w:val="auto"/>
              </w:rPr>
              <w:t>ABSTRACT</w:t>
            </w:r>
          </w:p>
        </w:tc>
        <w:tc>
          <w:tcPr>
            <w:tcW w:w="5580" w:type="dxa"/>
            <w:vAlign w:val="bottom"/>
          </w:tcPr>
          <w:p>
            <w:pPr>
              <w:spacing w:after="0"/>
              <w:rPr>
                <w:sz w:val="24"/>
                <w:szCs w:val="24"/>
                <w:color w:val="auto"/>
              </w:rPr>
            </w:pP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v</w:t>
            </w:r>
          </w:p>
        </w:tc>
      </w:tr>
      <w:tr>
        <w:trPr>
          <w:trHeight w:val="540"/>
        </w:trPr>
        <w:tc>
          <w:tcPr>
            <w:tcW w:w="1660" w:type="dxa"/>
            <w:vAlign w:val="bottom"/>
            <w:gridSpan w:val="2"/>
          </w:tcPr>
          <w:p>
            <w:pPr>
              <w:spacing w:after="0"/>
              <w:rPr>
                <w:sz w:val="20"/>
                <w:szCs w:val="20"/>
                <w:color w:val="auto"/>
              </w:rPr>
            </w:pPr>
            <w:r>
              <w:rPr>
                <w:rFonts w:ascii="Times New Roman" w:cs="Times New Roman" w:eastAsia="Times New Roman" w:hAnsi="Times New Roman"/>
                <w:sz w:val="22"/>
                <w:szCs w:val="22"/>
                <w:b w:val="1"/>
                <w:bCs w:val="1"/>
                <w:i w:val="1"/>
                <w:iCs w:val="1"/>
                <w:color w:val="auto"/>
              </w:rPr>
              <w:t>İÇİNDEKİLER</w:t>
            </w:r>
          </w:p>
        </w:tc>
        <w:tc>
          <w:tcPr>
            <w:tcW w:w="5580" w:type="dxa"/>
            <w:vAlign w:val="bottom"/>
          </w:tcPr>
          <w:p>
            <w:pPr>
              <w:spacing w:after="0"/>
              <w:rPr>
                <w:sz w:val="24"/>
                <w:szCs w:val="24"/>
                <w:color w:val="auto"/>
              </w:rPr>
            </w:pP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vi</w:t>
            </w:r>
          </w:p>
        </w:tc>
      </w:tr>
      <w:tr>
        <w:trPr>
          <w:trHeight w:val="540"/>
        </w:trPr>
        <w:tc>
          <w:tcPr>
            <w:tcW w:w="7240" w:type="dxa"/>
            <w:vAlign w:val="bottom"/>
            <w:gridSpan w:val="3"/>
          </w:tcPr>
          <w:p>
            <w:pPr>
              <w:spacing w:after="0"/>
              <w:rPr>
                <w:sz w:val="20"/>
                <w:szCs w:val="20"/>
                <w:color w:val="auto"/>
              </w:rPr>
            </w:pPr>
            <w:r>
              <w:rPr>
                <w:rFonts w:ascii="Times New Roman" w:cs="Times New Roman" w:eastAsia="Times New Roman" w:hAnsi="Times New Roman"/>
                <w:sz w:val="22"/>
                <w:szCs w:val="22"/>
                <w:b w:val="1"/>
                <w:bCs w:val="1"/>
                <w:i w:val="1"/>
                <w:iCs w:val="1"/>
                <w:color w:val="auto"/>
              </w:rPr>
              <w:t>SİMGELER VE KISALTMALAR</w:t>
            </w:r>
          </w:p>
        </w:tc>
        <w:tc>
          <w:tcPr>
            <w:tcW w:w="920" w:type="dxa"/>
            <w:vAlign w:val="bottom"/>
          </w:tcPr>
          <w:p>
            <w:pPr>
              <w:ind w:left="380"/>
              <w:spacing w:after="0"/>
              <w:rPr>
                <w:sz w:val="20"/>
                <w:szCs w:val="20"/>
                <w:color w:val="auto"/>
              </w:rPr>
            </w:pPr>
            <w:r>
              <w:rPr>
                <w:rFonts w:ascii="Times New Roman" w:cs="Times New Roman" w:eastAsia="Times New Roman" w:hAnsi="Times New Roman"/>
                <w:sz w:val="22"/>
                <w:szCs w:val="22"/>
                <w:b w:val="1"/>
                <w:bCs w:val="1"/>
                <w:color w:val="auto"/>
                <w:w w:val="96"/>
              </w:rPr>
              <w:t>viii-ix</w:t>
            </w:r>
          </w:p>
        </w:tc>
      </w:tr>
      <w:tr>
        <w:trPr>
          <w:trHeight w:val="538"/>
        </w:trPr>
        <w:tc>
          <w:tcPr>
            <w:tcW w:w="1660" w:type="dxa"/>
            <w:vAlign w:val="bottom"/>
            <w:gridSpan w:val="2"/>
          </w:tcPr>
          <w:p>
            <w:pPr>
              <w:spacing w:after="0"/>
              <w:rPr>
                <w:sz w:val="20"/>
                <w:szCs w:val="20"/>
                <w:color w:val="auto"/>
              </w:rPr>
            </w:pPr>
            <w:r>
              <w:rPr>
                <w:rFonts w:ascii="Times New Roman" w:cs="Times New Roman" w:eastAsia="Times New Roman" w:hAnsi="Times New Roman"/>
                <w:sz w:val="22"/>
                <w:szCs w:val="22"/>
                <w:b w:val="1"/>
                <w:bCs w:val="1"/>
                <w:i w:val="1"/>
                <w:iCs w:val="1"/>
                <w:color w:val="auto"/>
              </w:rPr>
              <w:t>GRAFİK DİZİNİ</w:t>
            </w:r>
          </w:p>
        </w:tc>
        <w:tc>
          <w:tcPr>
            <w:tcW w:w="5580" w:type="dxa"/>
            <w:vAlign w:val="bottom"/>
          </w:tcPr>
          <w:p>
            <w:pPr>
              <w:spacing w:after="0"/>
              <w:rPr>
                <w:sz w:val="24"/>
                <w:szCs w:val="24"/>
                <w:color w:val="auto"/>
              </w:rPr>
            </w:pP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x</w:t>
            </w:r>
          </w:p>
        </w:tc>
      </w:tr>
      <w:tr>
        <w:trPr>
          <w:trHeight w:val="540"/>
        </w:trPr>
        <w:tc>
          <w:tcPr>
            <w:tcW w:w="1660" w:type="dxa"/>
            <w:vAlign w:val="bottom"/>
            <w:gridSpan w:val="2"/>
          </w:tcPr>
          <w:p>
            <w:pPr>
              <w:spacing w:after="0"/>
              <w:rPr>
                <w:sz w:val="20"/>
                <w:szCs w:val="20"/>
                <w:color w:val="auto"/>
              </w:rPr>
            </w:pPr>
            <w:r>
              <w:rPr>
                <w:rFonts w:ascii="Times New Roman" w:cs="Times New Roman" w:eastAsia="Times New Roman" w:hAnsi="Times New Roman"/>
                <w:sz w:val="22"/>
                <w:szCs w:val="22"/>
                <w:b w:val="1"/>
                <w:bCs w:val="1"/>
                <w:i w:val="1"/>
                <w:iCs w:val="1"/>
                <w:color w:val="auto"/>
              </w:rPr>
              <w:t>TABLO DİZİNİ</w:t>
            </w:r>
          </w:p>
        </w:tc>
        <w:tc>
          <w:tcPr>
            <w:tcW w:w="5580" w:type="dxa"/>
            <w:vAlign w:val="bottom"/>
          </w:tcPr>
          <w:p>
            <w:pPr>
              <w:spacing w:after="0"/>
              <w:rPr>
                <w:sz w:val="24"/>
                <w:szCs w:val="24"/>
                <w:color w:val="auto"/>
              </w:rPr>
            </w:pPr>
          </w:p>
        </w:tc>
        <w:tc>
          <w:tcPr>
            <w:tcW w:w="920" w:type="dxa"/>
            <w:vAlign w:val="bottom"/>
          </w:tcPr>
          <w:p>
            <w:pPr>
              <w:ind w:left="500"/>
              <w:spacing w:after="0"/>
              <w:rPr>
                <w:sz w:val="20"/>
                <w:szCs w:val="20"/>
                <w:color w:val="auto"/>
              </w:rPr>
            </w:pPr>
            <w:r>
              <w:rPr>
                <w:rFonts w:ascii="Times New Roman" w:cs="Times New Roman" w:eastAsia="Times New Roman" w:hAnsi="Times New Roman"/>
                <w:sz w:val="22"/>
                <w:szCs w:val="22"/>
                <w:b w:val="1"/>
                <w:bCs w:val="1"/>
                <w:color w:val="auto"/>
              </w:rPr>
              <w:t>xi</w:t>
            </w:r>
          </w:p>
        </w:tc>
      </w:tr>
      <w:tr>
        <w:trPr>
          <w:trHeight w:val="540"/>
        </w:trPr>
        <w:tc>
          <w:tcPr>
            <w:tcW w:w="600" w:type="dxa"/>
            <w:vAlign w:val="bottom"/>
          </w:tcPr>
          <w:p>
            <w:pPr>
              <w:ind w:left="280"/>
              <w:spacing w:after="0"/>
              <w:rPr>
                <w:sz w:val="20"/>
                <w:szCs w:val="20"/>
                <w:color w:val="auto"/>
              </w:rPr>
            </w:pPr>
            <w:r>
              <w:rPr>
                <w:rFonts w:ascii="Times New Roman" w:cs="Times New Roman" w:eastAsia="Times New Roman" w:hAnsi="Times New Roman"/>
                <w:sz w:val="22"/>
                <w:szCs w:val="22"/>
                <w:b w:val="1"/>
                <w:bCs w:val="1"/>
                <w:color w:val="auto"/>
              </w:rPr>
              <w:t>1.</w:t>
            </w:r>
          </w:p>
        </w:tc>
        <w:tc>
          <w:tcPr>
            <w:tcW w:w="6640" w:type="dxa"/>
            <w:vAlign w:val="bottom"/>
            <w:gridSpan w:val="2"/>
          </w:tcPr>
          <w:p>
            <w:pPr>
              <w:ind w:left="40"/>
              <w:spacing w:after="0"/>
              <w:rPr>
                <w:sz w:val="20"/>
                <w:szCs w:val="20"/>
                <w:color w:val="auto"/>
              </w:rPr>
            </w:pPr>
            <w:r>
              <w:rPr>
                <w:rFonts w:ascii="Times New Roman" w:cs="Times New Roman" w:eastAsia="Times New Roman" w:hAnsi="Times New Roman"/>
                <w:sz w:val="22"/>
                <w:szCs w:val="22"/>
                <w:b w:val="1"/>
                <w:bCs w:val="1"/>
                <w:color w:val="auto"/>
              </w:rPr>
              <w:t>GİRİŞ ve AMAÇ</w:t>
            </w: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1</w:t>
            </w:r>
          </w:p>
        </w:tc>
      </w:tr>
      <w:tr>
        <w:trPr>
          <w:trHeight w:val="379"/>
        </w:trPr>
        <w:tc>
          <w:tcPr>
            <w:tcW w:w="600" w:type="dxa"/>
            <w:vAlign w:val="bottom"/>
          </w:tcPr>
          <w:p>
            <w:pPr>
              <w:ind w:left="280"/>
              <w:spacing w:after="0"/>
              <w:rPr>
                <w:sz w:val="20"/>
                <w:szCs w:val="20"/>
                <w:color w:val="auto"/>
              </w:rPr>
            </w:pPr>
            <w:r>
              <w:rPr>
                <w:rFonts w:ascii="Times New Roman" w:cs="Times New Roman" w:eastAsia="Times New Roman" w:hAnsi="Times New Roman"/>
                <w:sz w:val="22"/>
                <w:szCs w:val="22"/>
                <w:b w:val="1"/>
                <w:bCs w:val="1"/>
                <w:color w:val="auto"/>
              </w:rPr>
              <w:t>2.</w:t>
            </w:r>
          </w:p>
        </w:tc>
        <w:tc>
          <w:tcPr>
            <w:tcW w:w="6640" w:type="dxa"/>
            <w:vAlign w:val="bottom"/>
            <w:gridSpan w:val="2"/>
          </w:tcPr>
          <w:p>
            <w:pPr>
              <w:ind w:left="40"/>
              <w:spacing w:after="0"/>
              <w:rPr>
                <w:sz w:val="20"/>
                <w:szCs w:val="20"/>
                <w:color w:val="auto"/>
              </w:rPr>
            </w:pPr>
            <w:r>
              <w:rPr>
                <w:rFonts w:ascii="Times New Roman" w:cs="Times New Roman" w:eastAsia="Times New Roman" w:hAnsi="Times New Roman"/>
                <w:sz w:val="22"/>
                <w:szCs w:val="22"/>
                <w:b w:val="1"/>
                <w:bCs w:val="1"/>
                <w:color w:val="auto"/>
              </w:rPr>
              <w:t>GENEL BİLGİLER</w:t>
            </w: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2</w:t>
            </w:r>
          </w:p>
        </w:tc>
      </w:tr>
      <w:tr>
        <w:trPr>
          <w:trHeight w:val="379"/>
        </w:trPr>
        <w:tc>
          <w:tcPr>
            <w:tcW w:w="600" w:type="dxa"/>
            <w:vAlign w:val="bottom"/>
          </w:tcPr>
          <w:p>
            <w:pPr>
              <w:spacing w:after="0"/>
              <w:rPr>
                <w:sz w:val="24"/>
                <w:szCs w:val="24"/>
                <w:color w:val="auto"/>
              </w:rPr>
            </w:pPr>
          </w:p>
        </w:tc>
        <w:tc>
          <w:tcPr>
            <w:tcW w:w="6640" w:type="dxa"/>
            <w:vAlign w:val="bottom"/>
            <w:gridSpan w:val="2"/>
          </w:tcPr>
          <w:p>
            <w:pPr>
              <w:ind w:left="40"/>
              <w:spacing w:after="0"/>
              <w:rPr>
                <w:sz w:val="20"/>
                <w:szCs w:val="20"/>
                <w:color w:val="auto"/>
              </w:rPr>
            </w:pPr>
            <w:r>
              <w:rPr>
                <w:rFonts w:ascii="Times New Roman" w:cs="Times New Roman" w:eastAsia="Times New Roman" w:hAnsi="Times New Roman"/>
                <w:sz w:val="22"/>
                <w:szCs w:val="22"/>
                <w:b w:val="1"/>
                <w:bCs w:val="1"/>
                <w:color w:val="auto"/>
              </w:rPr>
              <w:t xml:space="preserve">2.1. </w:t>
            </w:r>
            <w:r>
              <w:rPr>
                <w:rFonts w:ascii="Times New Roman" w:cs="Times New Roman" w:eastAsia="Times New Roman" w:hAnsi="Times New Roman"/>
                <w:sz w:val="22"/>
                <w:szCs w:val="22"/>
                <w:b w:val="1"/>
                <w:bCs w:val="1"/>
                <w:color w:val="auto"/>
              </w:rPr>
              <w:t>Mast Hücre Fonksiyonu ve gelişimi</w:t>
            </w: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2</w:t>
            </w:r>
          </w:p>
        </w:tc>
      </w:tr>
      <w:tr>
        <w:trPr>
          <w:trHeight w:val="379"/>
        </w:trPr>
        <w:tc>
          <w:tcPr>
            <w:tcW w:w="600" w:type="dxa"/>
            <w:vAlign w:val="bottom"/>
          </w:tcPr>
          <w:p>
            <w:pPr>
              <w:spacing w:after="0"/>
              <w:rPr>
                <w:sz w:val="24"/>
                <w:szCs w:val="24"/>
                <w:color w:val="auto"/>
              </w:rPr>
            </w:pPr>
          </w:p>
        </w:tc>
        <w:tc>
          <w:tcPr>
            <w:tcW w:w="6640" w:type="dxa"/>
            <w:vAlign w:val="bottom"/>
            <w:gridSpan w:val="2"/>
          </w:tcPr>
          <w:p>
            <w:pPr>
              <w:ind w:left="40"/>
              <w:spacing w:after="0"/>
              <w:rPr>
                <w:sz w:val="20"/>
                <w:szCs w:val="20"/>
                <w:color w:val="auto"/>
              </w:rPr>
            </w:pPr>
            <w:r>
              <w:rPr>
                <w:rFonts w:ascii="Times New Roman" w:cs="Times New Roman" w:eastAsia="Times New Roman" w:hAnsi="Times New Roman"/>
                <w:sz w:val="22"/>
                <w:szCs w:val="22"/>
                <w:b w:val="1"/>
                <w:bCs w:val="1"/>
                <w:color w:val="auto"/>
              </w:rPr>
              <w:t>2.2. Sistemik Mastositoz</w:t>
            </w:r>
          </w:p>
        </w:tc>
        <w:tc>
          <w:tcPr>
            <w:tcW w:w="920" w:type="dxa"/>
            <w:vAlign w:val="bottom"/>
          </w:tcPr>
          <w:p>
            <w:pPr>
              <w:jc w:val="right"/>
              <w:ind w:right="190"/>
              <w:spacing w:after="0"/>
              <w:rPr>
                <w:sz w:val="20"/>
                <w:szCs w:val="20"/>
                <w:color w:val="auto"/>
              </w:rPr>
            </w:pPr>
            <w:r>
              <w:rPr>
                <w:rFonts w:ascii="Times New Roman" w:cs="Times New Roman" w:eastAsia="Times New Roman" w:hAnsi="Times New Roman"/>
                <w:sz w:val="22"/>
                <w:szCs w:val="22"/>
                <w:b w:val="1"/>
                <w:bCs w:val="1"/>
                <w:color w:val="auto"/>
              </w:rPr>
              <w:t>5</w:t>
            </w:r>
          </w:p>
        </w:tc>
      </w:tr>
      <w:tr>
        <w:trPr>
          <w:trHeight w:val="379"/>
        </w:trPr>
        <w:tc>
          <w:tcPr>
            <w:tcW w:w="600" w:type="dxa"/>
            <w:vAlign w:val="bottom"/>
          </w:tcPr>
          <w:p>
            <w:pPr>
              <w:spacing w:after="0"/>
              <w:rPr>
                <w:sz w:val="24"/>
                <w:szCs w:val="24"/>
                <w:color w:val="auto"/>
              </w:rPr>
            </w:pPr>
          </w:p>
        </w:tc>
        <w:tc>
          <w:tcPr>
            <w:tcW w:w="1060" w:type="dxa"/>
            <w:vAlign w:val="bottom"/>
          </w:tcPr>
          <w:p>
            <w:pPr>
              <w:ind w:left="400"/>
              <w:spacing w:after="0"/>
              <w:rPr>
                <w:sz w:val="20"/>
                <w:szCs w:val="20"/>
                <w:color w:val="auto"/>
              </w:rPr>
            </w:pPr>
            <w:r>
              <w:rPr>
                <w:rFonts w:ascii="Times New Roman" w:cs="Times New Roman" w:eastAsia="Times New Roman" w:hAnsi="Times New Roman"/>
                <w:sz w:val="22"/>
                <w:szCs w:val="22"/>
                <w:b w:val="1"/>
                <w:bCs w:val="1"/>
                <w:color w:val="auto"/>
              </w:rPr>
              <w:t>2.2.1.</w:t>
            </w:r>
          </w:p>
        </w:tc>
        <w:tc>
          <w:tcPr>
            <w:tcW w:w="5580" w:type="dxa"/>
            <w:vAlign w:val="bottom"/>
          </w:tcPr>
          <w:p>
            <w:pPr>
              <w:ind w:left="60"/>
              <w:spacing w:after="0"/>
              <w:rPr>
                <w:sz w:val="20"/>
                <w:szCs w:val="20"/>
                <w:color w:val="auto"/>
              </w:rPr>
            </w:pPr>
            <w:r>
              <w:rPr>
                <w:rFonts w:ascii="Times New Roman" w:cs="Times New Roman" w:eastAsia="Times New Roman" w:hAnsi="Times New Roman"/>
                <w:sz w:val="22"/>
                <w:szCs w:val="22"/>
                <w:b w:val="1"/>
                <w:bCs w:val="1"/>
                <w:color w:val="auto"/>
              </w:rPr>
              <w:t>Epidemiyoloji</w:t>
            </w:r>
          </w:p>
        </w:tc>
        <w:tc>
          <w:tcPr>
            <w:tcW w:w="920" w:type="dxa"/>
            <w:vAlign w:val="bottom"/>
          </w:tcPr>
          <w:p>
            <w:pPr>
              <w:ind w:left="500"/>
              <w:spacing w:after="0"/>
              <w:rPr>
                <w:sz w:val="20"/>
                <w:szCs w:val="20"/>
                <w:color w:val="auto"/>
              </w:rPr>
            </w:pPr>
            <w:r>
              <w:rPr>
                <w:rFonts w:ascii="Times New Roman" w:cs="Times New Roman" w:eastAsia="Times New Roman" w:hAnsi="Times New Roman"/>
                <w:sz w:val="22"/>
                <w:szCs w:val="22"/>
                <w:b w:val="1"/>
                <w:bCs w:val="1"/>
                <w:color w:val="auto"/>
              </w:rPr>
              <w:t>6</w:t>
            </w:r>
          </w:p>
        </w:tc>
      </w:tr>
      <w:tr>
        <w:trPr>
          <w:trHeight w:val="379"/>
        </w:trPr>
        <w:tc>
          <w:tcPr>
            <w:tcW w:w="600" w:type="dxa"/>
            <w:vAlign w:val="bottom"/>
          </w:tcPr>
          <w:p>
            <w:pPr>
              <w:spacing w:after="0"/>
              <w:rPr>
                <w:sz w:val="24"/>
                <w:szCs w:val="24"/>
                <w:color w:val="auto"/>
              </w:rPr>
            </w:pPr>
          </w:p>
        </w:tc>
        <w:tc>
          <w:tcPr>
            <w:tcW w:w="1060" w:type="dxa"/>
            <w:vAlign w:val="bottom"/>
          </w:tcPr>
          <w:p>
            <w:pPr>
              <w:ind w:left="400"/>
              <w:spacing w:after="0"/>
              <w:rPr>
                <w:sz w:val="20"/>
                <w:szCs w:val="20"/>
                <w:color w:val="auto"/>
              </w:rPr>
            </w:pPr>
            <w:r>
              <w:rPr>
                <w:rFonts w:ascii="Times New Roman" w:cs="Times New Roman" w:eastAsia="Times New Roman" w:hAnsi="Times New Roman"/>
                <w:sz w:val="22"/>
                <w:szCs w:val="22"/>
                <w:b w:val="1"/>
                <w:bCs w:val="1"/>
                <w:color w:val="auto"/>
              </w:rPr>
              <w:t>2.2.2.</w:t>
            </w:r>
          </w:p>
        </w:tc>
        <w:tc>
          <w:tcPr>
            <w:tcW w:w="5580" w:type="dxa"/>
            <w:vAlign w:val="bottom"/>
          </w:tcPr>
          <w:p>
            <w:pPr>
              <w:ind w:left="60"/>
              <w:spacing w:after="0"/>
              <w:rPr>
                <w:sz w:val="20"/>
                <w:szCs w:val="20"/>
                <w:color w:val="auto"/>
              </w:rPr>
            </w:pPr>
            <w:r>
              <w:rPr>
                <w:rFonts w:ascii="Times New Roman" w:cs="Times New Roman" w:eastAsia="Times New Roman" w:hAnsi="Times New Roman"/>
                <w:sz w:val="22"/>
                <w:szCs w:val="22"/>
                <w:b w:val="1"/>
                <w:bCs w:val="1"/>
                <w:color w:val="auto"/>
              </w:rPr>
              <w:t>Patogenez</w:t>
            </w:r>
          </w:p>
        </w:tc>
        <w:tc>
          <w:tcPr>
            <w:tcW w:w="920" w:type="dxa"/>
            <w:vAlign w:val="bottom"/>
          </w:tcPr>
          <w:p>
            <w:pPr>
              <w:spacing w:after="0"/>
              <w:rPr>
                <w:sz w:val="24"/>
                <w:szCs w:val="24"/>
                <w:color w:val="auto"/>
              </w:rPr>
            </w:pPr>
          </w:p>
        </w:tc>
      </w:tr>
      <w:tr>
        <w:trPr>
          <w:trHeight w:val="382"/>
        </w:trPr>
        <w:tc>
          <w:tcPr>
            <w:tcW w:w="600" w:type="dxa"/>
            <w:vAlign w:val="bottom"/>
          </w:tcPr>
          <w:p>
            <w:pPr>
              <w:spacing w:after="0"/>
              <w:rPr>
                <w:sz w:val="24"/>
                <w:szCs w:val="24"/>
                <w:color w:val="auto"/>
              </w:rPr>
            </w:pPr>
          </w:p>
        </w:tc>
        <w:tc>
          <w:tcPr>
            <w:tcW w:w="6640" w:type="dxa"/>
            <w:vAlign w:val="bottom"/>
            <w:gridSpan w:val="2"/>
          </w:tcPr>
          <w:p>
            <w:pPr>
              <w:ind w:left="400"/>
              <w:spacing w:after="0"/>
              <w:rPr>
                <w:sz w:val="20"/>
                <w:szCs w:val="20"/>
                <w:color w:val="auto"/>
              </w:rPr>
            </w:pPr>
            <w:r>
              <w:rPr>
                <w:rFonts w:ascii="Times New Roman" w:cs="Times New Roman" w:eastAsia="Times New Roman" w:hAnsi="Times New Roman"/>
                <w:sz w:val="22"/>
                <w:szCs w:val="22"/>
                <w:b w:val="1"/>
                <w:bCs w:val="1"/>
                <w:color w:val="auto"/>
              </w:rPr>
              <w:t xml:space="preserve">2.2.3.   </w:t>
            </w:r>
            <w:r>
              <w:rPr>
                <w:rFonts w:ascii="Times New Roman" w:cs="Times New Roman" w:eastAsia="Times New Roman" w:hAnsi="Times New Roman"/>
                <w:sz w:val="22"/>
                <w:szCs w:val="22"/>
                <w:b w:val="1"/>
                <w:bCs w:val="1"/>
                <w:color w:val="auto"/>
              </w:rPr>
              <w:t>Tanı Kriterleri,tanısal değerlendirme ve Sınıflandırma</w:t>
            </w:r>
          </w:p>
        </w:tc>
        <w:tc>
          <w:tcPr>
            <w:tcW w:w="920" w:type="dxa"/>
            <w:vAlign w:val="bottom"/>
          </w:tcPr>
          <w:p>
            <w:pPr>
              <w:ind w:left="500"/>
              <w:spacing w:after="0"/>
              <w:rPr>
                <w:sz w:val="20"/>
                <w:szCs w:val="20"/>
                <w:color w:val="auto"/>
              </w:rPr>
            </w:pPr>
            <w:r>
              <w:rPr>
                <w:rFonts w:ascii="Times New Roman" w:cs="Times New Roman" w:eastAsia="Times New Roman" w:hAnsi="Times New Roman"/>
                <w:sz w:val="22"/>
                <w:szCs w:val="22"/>
                <w:b w:val="1"/>
                <w:bCs w:val="1"/>
                <w:color w:val="auto"/>
              </w:rPr>
              <w:t>8</w:t>
            </w:r>
          </w:p>
        </w:tc>
      </w:tr>
      <w:tr>
        <w:trPr>
          <w:trHeight w:val="379"/>
        </w:trPr>
        <w:tc>
          <w:tcPr>
            <w:tcW w:w="600" w:type="dxa"/>
            <w:vAlign w:val="bottom"/>
          </w:tcPr>
          <w:p>
            <w:pPr>
              <w:spacing w:after="0"/>
              <w:rPr>
                <w:sz w:val="24"/>
                <w:szCs w:val="24"/>
                <w:color w:val="auto"/>
              </w:rPr>
            </w:pPr>
          </w:p>
        </w:tc>
        <w:tc>
          <w:tcPr>
            <w:tcW w:w="1060" w:type="dxa"/>
            <w:vAlign w:val="bottom"/>
          </w:tcPr>
          <w:p>
            <w:pPr>
              <w:ind w:left="400"/>
              <w:spacing w:after="0"/>
              <w:rPr>
                <w:sz w:val="20"/>
                <w:szCs w:val="20"/>
                <w:color w:val="auto"/>
              </w:rPr>
            </w:pPr>
            <w:r>
              <w:rPr>
                <w:rFonts w:ascii="Times New Roman" w:cs="Times New Roman" w:eastAsia="Times New Roman" w:hAnsi="Times New Roman"/>
                <w:sz w:val="22"/>
                <w:szCs w:val="22"/>
                <w:b w:val="1"/>
                <w:bCs w:val="1"/>
                <w:color w:val="auto"/>
              </w:rPr>
              <w:t>2.2.4.</w:t>
            </w:r>
          </w:p>
        </w:tc>
        <w:tc>
          <w:tcPr>
            <w:tcW w:w="5580" w:type="dxa"/>
            <w:vAlign w:val="bottom"/>
          </w:tcPr>
          <w:p>
            <w:pPr>
              <w:ind w:left="60"/>
              <w:spacing w:after="0"/>
              <w:rPr>
                <w:sz w:val="20"/>
                <w:szCs w:val="20"/>
                <w:color w:val="auto"/>
              </w:rPr>
            </w:pPr>
            <w:r>
              <w:rPr>
                <w:rFonts w:ascii="Times New Roman" w:cs="Times New Roman" w:eastAsia="Times New Roman" w:hAnsi="Times New Roman"/>
                <w:sz w:val="22"/>
                <w:szCs w:val="22"/>
                <w:b w:val="1"/>
                <w:bCs w:val="1"/>
                <w:color w:val="auto"/>
              </w:rPr>
              <w:t>Semptom ve Bulgular</w:t>
            </w:r>
          </w:p>
        </w:tc>
        <w:tc>
          <w:tcPr>
            <w:tcW w:w="920" w:type="dxa"/>
            <w:vAlign w:val="bottom"/>
          </w:tcPr>
          <w:p>
            <w:pPr>
              <w:ind w:left="480"/>
              <w:spacing w:after="0"/>
              <w:rPr>
                <w:sz w:val="20"/>
                <w:szCs w:val="20"/>
                <w:color w:val="auto"/>
              </w:rPr>
            </w:pPr>
            <w:r>
              <w:rPr>
                <w:rFonts w:ascii="Times New Roman" w:cs="Times New Roman" w:eastAsia="Times New Roman" w:hAnsi="Times New Roman"/>
                <w:sz w:val="22"/>
                <w:szCs w:val="22"/>
                <w:b w:val="1"/>
                <w:bCs w:val="1"/>
                <w:color w:val="auto"/>
              </w:rPr>
              <w:t>14</w:t>
            </w:r>
          </w:p>
        </w:tc>
      </w:tr>
      <w:tr>
        <w:trPr>
          <w:trHeight w:val="379"/>
        </w:trPr>
        <w:tc>
          <w:tcPr>
            <w:tcW w:w="600" w:type="dxa"/>
            <w:vAlign w:val="bottom"/>
          </w:tcPr>
          <w:p>
            <w:pPr>
              <w:spacing w:after="0"/>
              <w:rPr>
                <w:sz w:val="24"/>
                <w:szCs w:val="24"/>
                <w:color w:val="auto"/>
              </w:rPr>
            </w:pPr>
          </w:p>
        </w:tc>
        <w:tc>
          <w:tcPr>
            <w:tcW w:w="1060" w:type="dxa"/>
            <w:vAlign w:val="bottom"/>
          </w:tcPr>
          <w:p>
            <w:pPr>
              <w:ind w:left="400"/>
              <w:spacing w:after="0"/>
              <w:rPr>
                <w:sz w:val="20"/>
                <w:szCs w:val="20"/>
                <w:color w:val="auto"/>
              </w:rPr>
            </w:pPr>
            <w:r>
              <w:rPr>
                <w:rFonts w:ascii="Times New Roman" w:cs="Times New Roman" w:eastAsia="Times New Roman" w:hAnsi="Times New Roman"/>
                <w:sz w:val="22"/>
                <w:szCs w:val="22"/>
                <w:b w:val="1"/>
                <w:bCs w:val="1"/>
                <w:color w:val="auto"/>
              </w:rPr>
              <w:t>2.2.5.</w:t>
            </w:r>
          </w:p>
        </w:tc>
        <w:tc>
          <w:tcPr>
            <w:tcW w:w="5580" w:type="dxa"/>
            <w:vAlign w:val="bottom"/>
          </w:tcPr>
          <w:p>
            <w:pPr>
              <w:ind w:left="60"/>
              <w:spacing w:after="0"/>
              <w:rPr>
                <w:sz w:val="20"/>
                <w:szCs w:val="20"/>
                <w:color w:val="auto"/>
              </w:rPr>
            </w:pPr>
            <w:r>
              <w:rPr>
                <w:rFonts w:ascii="Times New Roman" w:cs="Times New Roman" w:eastAsia="Times New Roman" w:hAnsi="Times New Roman"/>
                <w:sz w:val="22"/>
                <w:szCs w:val="22"/>
                <w:b w:val="1"/>
                <w:bCs w:val="1"/>
                <w:color w:val="auto"/>
              </w:rPr>
              <w:t>Tedavi</w:t>
            </w:r>
          </w:p>
        </w:tc>
        <w:tc>
          <w:tcPr>
            <w:tcW w:w="920" w:type="dxa"/>
            <w:vAlign w:val="bottom"/>
          </w:tcPr>
          <w:p>
            <w:pPr>
              <w:jc w:val="right"/>
              <w:ind w:right="130"/>
              <w:spacing w:after="0"/>
              <w:rPr>
                <w:sz w:val="20"/>
                <w:szCs w:val="20"/>
                <w:color w:val="auto"/>
              </w:rPr>
            </w:pPr>
            <w:r>
              <w:rPr>
                <w:rFonts w:ascii="Times New Roman" w:cs="Times New Roman" w:eastAsia="Times New Roman" w:hAnsi="Times New Roman"/>
                <w:sz w:val="22"/>
                <w:szCs w:val="22"/>
                <w:b w:val="1"/>
                <w:bCs w:val="1"/>
                <w:color w:val="auto"/>
              </w:rPr>
              <w:t>17</w:t>
            </w:r>
          </w:p>
        </w:tc>
      </w:tr>
      <w:tr>
        <w:trPr>
          <w:trHeight w:val="379"/>
        </w:trPr>
        <w:tc>
          <w:tcPr>
            <w:tcW w:w="600" w:type="dxa"/>
            <w:vAlign w:val="bottom"/>
          </w:tcPr>
          <w:p>
            <w:pPr>
              <w:spacing w:after="0"/>
              <w:rPr>
                <w:sz w:val="24"/>
                <w:szCs w:val="24"/>
                <w:color w:val="auto"/>
              </w:rPr>
            </w:pPr>
          </w:p>
        </w:tc>
        <w:tc>
          <w:tcPr>
            <w:tcW w:w="6640" w:type="dxa"/>
            <w:vAlign w:val="bottom"/>
            <w:gridSpan w:val="2"/>
          </w:tcPr>
          <w:p>
            <w:pPr>
              <w:ind w:left="760"/>
              <w:spacing w:after="0"/>
              <w:rPr>
                <w:sz w:val="20"/>
                <w:szCs w:val="20"/>
                <w:color w:val="auto"/>
              </w:rPr>
            </w:pPr>
            <w:r>
              <w:rPr>
                <w:rFonts w:ascii="Times New Roman" w:cs="Times New Roman" w:eastAsia="Times New Roman" w:hAnsi="Times New Roman"/>
                <w:sz w:val="22"/>
                <w:szCs w:val="22"/>
                <w:b w:val="1"/>
                <w:bCs w:val="1"/>
                <w:color w:val="auto"/>
              </w:rPr>
              <w:t>2.2.5.1. Destek Tedavileri ve Genel Önlemler</w:t>
            </w:r>
          </w:p>
        </w:tc>
        <w:tc>
          <w:tcPr>
            <w:tcW w:w="920" w:type="dxa"/>
            <w:vAlign w:val="bottom"/>
          </w:tcPr>
          <w:p>
            <w:pPr>
              <w:jc w:val="right"/>
              <w:ind w:right="130"/>
              <w:spacing w:after="0"/>
              <w:rPr>
                <w:sz w:val="20"/>
                <w:szCs w:val="20"/>
                <w:color w:val="auto"/>
              </w:rPr>
            </w:pPr>
            <w:r>
              <w:rPr>
                <w:rFonts w:ascii="Times New Roman" w:cs="Times New Roman" w:eastAsia="Times New Roman" w:hAnsi="Times New Roman"/>
                <w:sz w:val="22"/>
                <w:szCs w:val="22"/>
                <w:b w:val="1"/>
                <w:bCs w:val="1"/>
                <w:color w:val="auto"/>
              </w:rPr>
              <w:t>17</w:t>
            </w:r>
          </w:p>
        </w:tc>
      </w:tr>
      <w:tr>
        <w:trPr>
          <w:trHeight w:val="379"/>
        </w:trPr>
        <w:tc>
          <w:tcPr>
            <w:tcW w:w="600" w:type="dxa"/>
            <w:vAlign w:val="bottom"/>
          </w:tcPr>
          <w:p>
            <w:pPr>
              <w:spacing w:after="0"/>
              <w:rPr>
                <w:sz w:val="24"/>
                <w:szCs w:val="24"/>
                <w:color w:val="auto"/>
              </w:rPr>
            </w:pPr>
          </w:p>
        </w:tc>
        <w:tc>
          <w:tcPr>
            <w:tcW w:w="6640" w:type="dxa"/>
            <w:vAlign w:val="bottom"/>
            <w:gridSpan w:val="2"/>
          </w:tcPr>
          <w:p>
            <w:pPr>
              <w:ind w:left="760"/>
              <w:spacing w:after="0"/>
              <w:rPr>
                <w:sz w:val="20"/>
                <w:szCs w:val="20"/>
                <w:color w:val="auto"/>
              </w:rPr>
            </w:pPr>
            <w:r>
              <w:rPr>
                <w:rFonts w:ascii="Times New Roman" w:cs="Times New Roman" w:eastAsia="Times New Roman" w:hAnsi="Times New Roman"/>
                <w:sz w:val="22"/>
                <w:szCs w:val="22"/>
                <w:b w:val="1"/>
                <w:bCs w:val="1"/>
                <w:color w:val="auto"/>
              </w:rPr>
              <w:t xml:space="preserve">2.2.5.2. </w:t>
            </w:r>
            <w:r>
              <w:rPr>
                <w:rFonts w:ascii="Times New Roman" w:cs="Times New Roman" w:eastAsia="Times New Roman" w:hAnsi="Times New Roman"/>
                <w:sz w:val="22"/>
                <w:szCs w:val="22"/>
                <w:b w:val="1"/>
                <w:bCs w:val="1"/>
                <w:color w:val="auto"/>
              </w:rPr>
              <w:t>Agresif Hastalık Tedavisi</w:t>
            </w:r>
          </w:p>
        </w:tc>
        <w:tc>
          <w:tcPr>
            <w:tcW w:w="920" w:type="dxa"/>
            <w:vAlign w:val="bottom"/>
          </w:tcPr>
          <w:p>
            <w:pPr>
              <w:ind w:left="480"/>
              <w:spacing w:after="0"/>
              <w:rPr>
                <w:sz w:val="20"/>
                <w:szCs w:val="20"/>
                <w:color w:val="auto"/>
              </w:rPr>
            </w:pPr>
            <w:r>
              <w:rPr>
                <w:rFonts w:ascii="Times New Roman" w:cs="Times New Roman" w:eastAsia="Times New Roman" w:hAnsi="Times New Roman"/>
                <w:sz w:val="22"/>
                <w:szCs w:val="22"/>
                <w:b w:val="1"/>
                <w:bCs w:val="1"/>
                <w:color w:val="auto"/>
              </w:rPr>
              <w:t>18</w:t>
            </w:r>
          </w:p>
        </w:tc>
      </w:tr>
      <w:tr>
        <w:trPr>
          <w:trHeight w:val="379"/>
        </w:trPr>
        <w:tc>
          <w:tcPr>
            <w:tcW w:w="600" w:type="dxa"/>
            <w:vAlign w:val="bottom"/>
          </w:tcPr>
          <w:p>
            <w:pPr>
              <w:spacing w:after="0"/>
              <w:rPr>
                <w:sz w:val="24"/>
                <w:szCs w:val="24"/>
                <w:color w:val="auto"/>
              </w:rPr>
            </w:pPr>
          </w:p>
        </w:tc>
        <w:tc>
          <w:tcPr>
            <w:tcW w:w="1060" w:type="dxa"/>
            <w:vAlign w:val="bottom"/>
          </w:tcPr>
          <w:p>
            <w:pPr>
              <w:ind w:left="400"/>
              <w:spacing w:after="0"/>
              <w:rPr>
                <w:sz w:val="20"/>
                <w:szCs w:val="20"/>
                <w:color w:val="auto"/>
              </w:rPr>
            </w:pPr>
            <w:r>
              <w:rPr>
                <w:rFonts w:ascii="Times New Roman" w:cs="Times New Roman" w:eastAsia="Times New Roman" w:hAnsi="Times New Roman"/>
                <w:sz w:val="22"/>
                <w:szCs w:val="22"/>
                <w:b w:val="1"/>
                <w:bCs w:val="1"/>
                <w:color w:val="auto"/>
              </w:rPr>
              <w:t>2.2.6.</w:t>
            </w:r>
          </w:p>
        </w:tc>
        <w:tc>
          <w:tcPr>
            <w:tcW w:w="5580" w:type="dxa"/>
            <w:vAlign w:val="bottom"/>
          </w:tcPr>
          <w:p>
            <w:pPr>
              <w:ind w:left="120"/>
              <w:spacing w:after="0"/>
              <w:rPr>
                <w:sz w:val="20"/>
                <w:szCs w:val="20"/>
                <w:color w:val="auto"/>
              </w:rPr>
            </w:pPr>
            <w:r>
              <w:rPr>
                <w:rFonts w:ascii="Times New Roman" w:cs="Times New Roman" w:eastAsia="Times New Roman" w:hAnsi="Times New Roman"/>
                <w:sz w:val="22"/>
                <w:szCs w:val="22"/>
                <w:b w:val="1"/>
                <w:bCs w:val="1"/>
                <w:color w:val="auto"/>
              </w:rPr>
              <w:t>Prognoz</w:t>
            </w:r>
          </w:p>
        </w:tc>
        <w:tc>
          <w:tcPr>
            <w:tcW w:w="920" w:type="dxa"/>
            <w:vAlign w:val="bottom"/>
          </w:tcPr>
          <w:p>
            <w:pPr>
              <w:ind w:left="500"/>
              <w:spacing w:after="0"/>
              <w:rPr>
                <w:sz w:val="20"/>
                <w:szCs w:val="20"/>
                <w:color w:val="auto"/>
              </w:rPr>
            </w:pPr>
            <w:r>
              <w:rPr>
                <w:rFonts w:ascii="Times New Roman" w:cs="Times New Roman" w:eastAsia="Times New Roman" w:hAnsi="Times New Roman"/>
                <w:sz w:val="22"/>
                <w:szCs w:val="22"/>
                <w:b w:val="1"/>
                <w:bCs w:val="1"/>
                <w:color w:val="auto"/>
              </w:rPr>
              <w:t>22</w:t>
            </w:r>
          </w:p>
        </w:tc>
      </w:tr>
      <w:tr>
        <w:trPr>
          <w:trHeight w:val="758"/>
        </w:trPr>
        <w:tc>
          <w:tcPr>
            <w:tcW w:w="600" w:type="dxa"/>
            <w:vAlign w:val="bottom"/>
          </w:tcPr>
          <w:p>
            <w:pPr>
              <w:ind w:left="280"/>
              <w:spacing w:after="0"/>
              <w:rPr>
                <w:sz w:val="20"/>
                <w:szCs w:val="20"/>
                <w:color w:val="auto"/>
              </w:rPr>
            </w:pPr>
            <w:r>
              <w:rPr>
                <w:rFonts w:ascii="Times New Roman" w:cs="Times New Roman" w:eastAsia="Times New Roman" w:hAnsi="Times New Roman"/>
                <w:sz w:val="22"/>
                <w:szCs w:val="22"/>
                <w:b w:val="1"/>
                <w:bCs w:val="1"/>
                <w:color w:val="auto"/>
              </w:rPr>
              <w:t>3.</w:t>
            </w:r>
          </w:p>
        </w:tc>
        <w:tc>
          <w:tcPr>
            <w:tcW w:w="6640" w:type="dxa"/>
            <w:vAlign w:val="bottom"/>
            <w:gridSpan w:val="2"/>
          </w:tcPr>
          <w:p>
            <w:pPr>
              <w:ind w:left="40"/>
              <w:spacing w:after="0"/>
              <w:rPr>
                <w:sz w:val="20"/>
                <w:szCs w:val="20"/>
                <w:color w:val="auto"/>
              </w:rPr>
            </w:pPr>
            <w:r>
              <w:rPr>
                <w:rFonts w:ascii="Times New Roman" w:cs="Times New Roman" w:eastAsia="Times New Roman" w:hAnsi="Times New Roman"/>
                <w:sz w:val="22"/>
                <w:szCs w:val="22"/>
                <w:b w:val="1"/>
                <w:bCs w:val="1"/>
                <w:color w:val="auto"/>
              </w:rPr>
              <w:t xml:space="preserve">BİREYLER </w:t>
            </w:r>
            <w:r>
              <w:rPr>
                <w:rFonts w:ascii="Times New Roman" w:cs="Times New Roman" w:eastAsia="Times New Roman" w:hAnsi="Times New Roman"/>
                <w:sz w:val="22"/>
                <w:szCs w:val="22"/>
                <w:b w:val="1"/>
                <w:bCs w:val="1"/>
                <w:color w:val="auto"/>
              </w:rPr>
              <w:t>ve YÖNTEM</w:t>
            </w: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24</w:t>
            </w:r>
          </w:p>
        </w:tc>
      </w:tr>
      <w:tr>
        <w:trPr>
          <w:trHeight w:val="379"/>
        </w:trPr>
        <w:tc>
          <w:tcPr>
            <w:tcW w:w="600" w:type="dxa"/>
            <w:vAlign w:val="bottom"/>
          </w:tcPr>
          <w:p>
            <w:pPr>
              <w:spacing w:after="0"/>
              <w:rPr>
                <w:sz w:val="24"/>
                <w:szCs w:val="24"/>
                <w:color w:val="auto"/>
              </w:rPr>
            </w:pPr>
          </w:p>
        </w:tc>
        <w:tc>
          <w:tcPr>
            <w:tcW w:w="6640" w:type="dxa"/>
            <w:vAlign w:val="bottom"/>
            <w:gridSpan w:val="2"/>
          </w:tcPr>
          <w:p>
            <w:pPr>
              <w:ind w:left="40"/>
              <w:spacing w:after="0"/>
              <w:rPr>
                <w:sz w:val="20"/>
                <w:szCs w:val="20"/>
                <w:color w:val="auto"/>
              </w:rPr>
            </w:pPr>
            <w:r>
              <w:rPr>
                <w:rFonts w:ascii="Times New Roman" w:cs="Times New Roman" w:eastAsia="Times New Roman" w:hAnsi="Times New Roman"/>
                <w:sz w:val="22"/>
                <w:szCs w:val="22"/>
                <w:b w:val="1"/>
                <w:bCs w:val="1"/>
                <w:color w:val="auto"/>
              </w:rPr>
              <w:t xml:space="preserve">3.1. </w:t>
            </w:r>
            <w:r>
              <w:rPr>
                <w:rFonts w:ascii="Times New Roman" w:cs="Times New Roman" w:eastAsia="Times New Roman" w:hAnsi="Times New Roman"/>
                <w:sz w:val="22"/>
                <w:szCs w:val="22"/>
                <w:b w:val="1"/>
                <w:bCs w:val="1"/>
                <w:color w:val="auto"/>
              </w:rPr>
              <w:t>ARAŞTIRMANIN TİPİ</w:t>
            </w: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24</w:t>
            </w:r>
          </w:p>
        </w:tc>
      </w:tr>
      <w:tr>
        <w:trPr>
          <w:trHeight w:val="382"/>
        </w:trPr>
        <w:tc>
          <w:tcPr>
            <w:tcW w:w="600" w:type="dxa"/>
            <w:vAlign w:val="bottom"/>
          </w:tcPr>
          <w:p>
            <w:pPr>
              <w:spacing w:after="0"/>
              <w:rPr>
                <w:sz w:val="24"/>
                <w:szCs w:val="24"/>
                <w:color w:val="auto"/>
              </w:rPr>
            </w:pPr>
          </w:p>
        </w:tc>
        <w:tc>
          <w:tcPr>
            <w:tcW w:w="6640" w:type="dxa"/>
            <w:vAlign w:val="bottom"/>
            <w:gridSpan w:val="2"/>
          </w:tcPr>
          <w:p>
            <w:pPr>
              <w:ind w:left="40"/>
              <w:spacing w:after="0"/>
              <w:rPr>
                <w:sz w:val="20"/>
                <w:szCs w:val="20"/>
                <w:color w:val="auto"/>
              </w:rPr>
            </w:pPr>
            <w:r>
              <w:rPr>
                <w:rFonts w:ascii="Times New Roman" w:cs="Times New Roman" w:eastAsia="Times New Roman" w:hAnsi="Times New Roman"/>
                <w:sz w:val="22"/>
                <w:szCs w:val="22"/>
                <w:b w:val="1"/>
                <w:bCs w:val="1"/>
                <w:color w:val="auto"/>
              </w:rPr>
              <w:t xml:space="preserve">3.2. </w:t>
            </w:r>
            <w:r>
              <w:rPr>
                <w:rFonts w:ascii="Times New Roman" w:cs="Times New Roman" w:eastAsia="Times New Roman" w:hAnsi="Times New Roman"/>
                <w:sz w:val="22"/>
                <w:szCs w:val="22"/>
                <w:b w:val="1"/>
                <w:bCs w:val="1"/>
                <w:color w:val="auto"/>
              </w:rPr>
              <w:t>ARAŞTIRMANIN YERİ, EVRENİ VE TARİHİ</w:t>
            </w: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24</w:t>
            </w:r>
          </w:p>
        </w:tc>
      </w:tr>
      <w:tr>
        <w:trPr>
          <w:trHeight w:val="379"/>
        </w:trPr>
        <w:tc>
          <w:tcPr>
            <w:tcW w:w="600" w:type="dxa"/>
            <w:vAlign w:val="bottom"/>
          </w:tcPr>
          <w:p>
            <w:pPr>
              <w:spacing w:after="0"/>
              <w:rPr>
                <w:sz w:val="24"/>
                <w:szCs w:val="24"/>
                <w:color w:val="auto"/>
              </w:rPr>
            </w:pPr>
          </w:p>
        </w:tc>
        <w:tc>
          <w:tcPr>
            <w:tcW w:w="6640" w:type="dxa"/>
            <w:vAlign w:val="bottom"/>
            <w:gridSpan w:val="2"/>
          </w:tcPr>
          <w:p>
            <w:pPr>
              <w:ind w:left="40"/>
              <w:spacing w:after="0"/>
              <w:rPr>
                <w:sz w:val="20"/>
                <w:szCs w:val="20"/>
                <w:color w:val="auto"/>
              </w:rPr>
            </w:pPr>
            <w:r>
              <w:rPr>
                <w:rFonts w:ascii="Times New Roman" w:cs="Times New Roman" w:eastAsia="Times New Roman" w:hAnsi="Times New Roman"/>
                <w:sz w:val="22"/>
                <w:szCs w:val="22"/>
                <w:b w:val="1"/>
                <w:bCs w:val="1"/>
                <w:color w:val="auto"/>
              </w:rPr>
              <w:t xml:space="preserve">3.3. </w:t>
            </w:r>
            <w:r>
              <w:rPr>
                <w:rFonts w:ascii="Times New Roman" w:cs="Times New Roman" w:eastAsia="Times New Roman" w:hAnsi="Times New Roman"/>
                <w:sz w:val="22"/>
                <w:szCs w:val="22"/>
                <w:b w:val="1"/>
                <w:bCs w:val="1"/>
                <w:color w:val="auto"/>
              </w:rPr>
              <w:t>ARAŞTIRMAYA DAHİL EDİLME KRİTERLERİ</w:t>
            </w: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24</w:t>
            </w:r>
          </w:p>
        </w:tc>
      </w:tr>
      <w:tr>
        <w:trPr>
          <w:trHeight w:val="379"/>
        </w:trPr>
        <w:tc>
          <w:tcPr>
            <w:tcW w:w="600" w:type="dxa"/>
            <w:vAlign w:val="bottom"/>
          </w:tcPr>
          <w:p>
            <w:pPr>
              <w:spacing w:after="0"/>
              <w:rPr>
                <w:sz w:val="24"/>
                <w:szCs w:val="24"/>
                <w:color w:val="auto"/>
              </w:rPr>
            </w:pPr>
          </w:p>
        </w:tc>
        <w:tc>
          <w:tcPr>
            <w:tcW w:w="6640" w:type="dxa"/>
            <w:vAlign w:val="bottom"/>
            <w:gridSpan w:val="2"/>
          </w:tcPr>
          <w:p>
            <w:pPr>
              <w:ind w:left="40"/>
              <w:spacing w:after="0"/>
              <w:rPr>
                <w:sz w:val="20"/>
                <w:szCs w:val="20"/>
                <w:color w:val="auto"/>
              </w:rPr>
            </w:pPr>
            <w:r>
              <w:rPr>
                <w:rFonts w:ascii="Times New Roman" w:cs="Times New Roman" w:eastAsia="Times New Roman" w:hAnsi="Times New Roman"/>
                <w:sz w:val="22"/>
                <w:szCs w:val="22"/>
                <w:b w:val="1"/>
                <w:bCs w:val="1"/>
                <w:color w:val="auto"/>
              </w:rPr>
              <w:t xml:space="preserve">3.4. </w:t>
            </w:r>
            <w:r>
              <w:rPr>
                <w:rFonts w:ascii="Times New Roman" w:cs="Times New Roman" w:eastAsia="Times New Roman" w:hAnsi="Times New Roman"/>
                <w:sz w:val="22"/>
                <w:szCs w:val="22"/>
                <w:b w:val="1"/>
                <w:bCs w:val="1"/>
                <w:color w:val="auto"/>
              </w:rPr>
              <w:t>ARAŞTIRMANIN ETİK KURUL ONAYI</w:t>
            </w: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24</w:t>
            </w:r>
          </w:p>
        </w:tc>
      </w:tr>
      <w:tr>
        <w:trPr>
          <w:trHeight w:val="379"/>
        </w:trPr>
        <w:tc>
          <w:tcPr>
            <w:tcW w:w="600" w:type="dxa"/>
            <w:vAlign w:val="bottom"/>
          </w:tcPr>
          <w:p>
            <w:pPr>
              <w:spacing w:after="0"/>
              <w:rPr>
                <w:sz w:val="24"/>
                <w:szCs w:val="24"/>
                <w:color w:val="auto"/>
              </w:rPr>
            </w:pPr>
          </w:p>
        </w:tc>
        <w:tc>
          <w:tcPr>
            <w:tcW w:w="6640" w:type="dxa"/>
            <w:vAlign w:val="bottom"/>
            <w:gridSpan w:val="2"/>
          </w:tcPr>
          <w:p>
            <w:pPr>
              <w:ind w:left="40"/>
              <w:spacing w:after="0"/>
              <w:rPr>
                <w:sz w:val="20"/>
                <w:szCs w:val="20"/>
                <w:color w:val="auto"/>
              </w:rPr>
            </w:pPr>
            <w:r>
              <w:rPr>
                <w:rFonts w:ascii="Times New Roman" w:cs="Times New Roman" w:eastAsia="Times New Roman" w:hAnsi="Times New Roman"/>
                <w:sz w:val="22"/>
                <w:szCs w:val="22"/>
                <w:b w:val="1"/>
                <w:bCs w:val="1"/>
                <w:color w:val="auto"/>
              </w:rPr>
              <w:t xml:space="preserve">3.5. </w:t>
            </w:r>
            <w:r>
              <w:rPr>
                <w:rFonts w:ascii="Times New Roman" w:cs="Times New Roman" w:eastAsia="Times New Roman" w:hAnsi="Times New Roman"/>
                <w:sz w:val="22"/>
                <w:szCs w:val="22"/>
                <w:b w:val="1"/>
                <w:bCs w:val="1"/>
                <w:color w:val="auto"/>
              </w:rPr>
              <w:t>ARAŞTIRMANIN YÖNTEMİ</w:t>
            </w: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25</w:t>
            </w:r>
          </w:p>
        </w:tc>
      </w:tr>
      <w:tr>
        <w:trPr>
          <w:trHeight w:val="379"/>
        </w:trPr>
        <w:tc>
          <w:tcPr>
            <w:tcW w:w="600" w:type="dxa"/>
            <w:vAlign w:val="bottom"/>
          </w:tcPr>
          <w:p>
            <w:pPr>
              <w:spacing w:after="0"/>
              <w:rPr>
                <w:sz w:val="24"/>
                <w:szCs w:val="24"/>
                <w:color w:val="auto"/>
              </w:rPr>
            </w:pPr>
          </w:p>
        </w:tc>
        <w:tc>
          <w:tcPr>
            <w:tcW w:w="1060" w:type="dxa"/>
            <w:vAlign w:val="bottom"/>
          </w:tcPr>
          <w:p>
            <w:pPr>
              <w:ind w:left="400"/>
              <w:spacing w:after="0"/>
              <w:rPr>
                <w:sz w:val="20"/>
                <w:szCs w:val="20"/>
                <w:color w:val="auto"/>
              </w:rPr>
            </w:pPr>
            <w:r>
              <w:rPr>
                <w:rFonts w:ascii="Times New Roman" w:cs="Times New Roman" w:eastAsia="Times New Roman" w:hAnsi="Times New Roman"/>
                <w:sz w:val="22"/>
                <w:szCs w:val="22"/>
                <w:b w:val="1"/>
                <w:bCs w:val="1"/>
                <w:color w:val="auto"/>
              </w:rPr>
              <w:t>3.5.1.</w:t>
            </w:r>
          </w:p>
        </w:tc>
        <w:tc>
          <w:tcPr>
            <w:tcW w:w="5580" w:type="dxa"/>
            <w:vAlign w:val="bottom"/>
          </w:tcPr>
          <w:p>
            <w:pPr>
              <w:ind w:left="60"/>
              <w:spacing w:after="0"/>
              <w:rPr>
                <w:sz w:val="20"/>
                <w:szCs w:val="20"/>
                <w:color w:val="auto"/>
              </w:rPr>
            </w:pPr>
            <w:r>
              <w:rPr>
                <w:rFonts w:ascii="Times New Roman" w:cs="Times New Roman" w:eastAsia="Times New Roman" w:hAnsi="Times New Roman"/>
                <w:sz w:val="22"/>
                <w:szCs w:val="22"/>
                <w:b w:val="1"/>
                <w:bCs w:val="1"/>
                <w:color w:val="auto"/>
              </w:rPr>
              <w:t>Değerlendirilen LAB Tetkikleri</w:t>
            </w: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25</w:t>
            </w:r>
          </w:p>
        </w:tc>
      </w:tr>
      <w:tr>
        <w:trPr>
          <w:trHeight w:val="379"/>
        </w:trPr>
        <w:tc>
          <w:tcPr>
            <w:tcW w:w="600" w:type="dxa"/>
            <w:vAlign w:val="bottom"/>
          </w:tcPr>
          <w:p>
            <w:pPr>
              <w:spacing w:after="0"/>
              <w:rPr>
                <w:sz w:val="24"/>
                <w:szCs w:val="24"/>
                <w:color w:val="auto"/>
              </w:rPr>
            </w:pPr>
          </w:p>
        </w:tc>
        <w:tc>
          <w:tcPr>
            <w:tcW w:w="6640" w:type="dxa"/>
            <w:vAlign w:val="bottom"/>
            <w:gridSpan w:val="2"/>
          </w:tcPr>
          <w:p>
            <w:pPr>
              <w:ind w:left="40"/>
              <w:spacing w:after="0"/>
              <w:rPr>
                <w:sz w:val="20"/>
                <w:szCs w:val="20"/>
                <w:color w:val="auto"/>
              </w:rPr>
            </w:pPr>
            <w:r>
              <w:rPr>
                <w:rFonts w:ascii="Times New Roman" w:cs="Times New Roman" w:eastAsia="Times New Roman" w:hAnsi="Times New Roman"/>
                <w:sz w:val="22"/>
                <w:szCs w:val="22"/>
                <w:b w:val="1"/>
                <w:bCs w:val="1"/>
                <w:color w:val="auto"/>
              </w:rPr>
              <w:t xml:space="preserve">3.6. </w:t>
            </w:r>
            <w:r>
              <w:rPr>
                <w:rFonts w:ascii="Times New Roman" w:cs="Times New Roman" w:eastAsia="Times New Roman" w:hAnsi="Times New Roman"/>
                <w:sz w:val="22"/>
                <w:szCs w:val="22"/>
                <w:b w:val="1"/>
                <w:bCs w:val="1"/>
                <w:color w:val="auto"/>
              </w:rPr>
              <w:t>İSTATİSTİKSEL ANALİZ</w:t>
            </w: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25</w:t>
            </w:r>
          </w:p>
        </w:tc>
      </w:tr>
      <w:tr>
        <w:trPr>
          <w:trHeight w:val="379"/>
        </w:trPr>
        <w:tc>
          <w:tcPr>
            <w:tcW w:w="600" w:type="dxa"/>
            <w:vAlign w:val="bottom"/>
          </w:tcPr>
          <w:p>
            <w:pPr>
              <w:spacing w:after="0"/>
              <w:rPr>
                <w:sz w:val="24"/>
                <w:szCs w:val="24"/>
                <w:color w:val="auto"/>
              </w:rPr>
            </w:pPr>
          </w:p>
        </w:tc>
        <w:tc>
          <w:tcPr>
            <w:tcW w:w="6640" w:type="dxa"/>
            <w:vAlign w:val="bottom"/>
            <w:gridSpan w:val="2"/>
          </w:tcPr>
          <w:p>
            <w:pPr>
              <w:ind w:left="40"/>
              <w:spacing w:after="0"/>
              <w:rPr>
                <w:sz w:val="20"/>
                <w:szCs w:val="20"/>
                <w:color w:val="auto"/>
              </w:rPr>
            </w:pPr>
            <w:r>
              <w:rPr>
                <w:rFonts w:ascii="Times New Roman" w:cs="Times New Roman" w:eastAsia="Times New Roman" w:hAnsi="Times New Roman"/>
                <w:sz w:val="22"/>
                <w:szCs w:val="22"/>
                <w:b w:val="1"/>
                <w:bCs w:val="1"/>
                <w:color w:val="auto"/>
              </w:rPr>
              <w:t xml:space="preserve">3.7. </w:t>
            </w:r>
            <w:r>
              <w:rPr>
                <w:rFonts w:ascii="Times New Roman" w:cs="Times New Roman" w:eastAsia="Times New Roman" w:hAnsi="Times New Roman"/>
                <w:sz w:val="22"/>
                <w:szCs w:val="22"/>
                <w:b w:val="1"/>
                <w:bCs w:val="1"/>
                <w:color w:val="auto"/>
              </w:rPr>
              <w:t>ARAŞTIRMANIN BÜTÇESİ</w:t>
            </w:r>
          </w:p>
        </w:tc>
        <w:tc>
          <w:tcPr>
            <w:tcW w:w="92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26</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-5624195</wp:posOffset>
            </wp:positionV>
            <wp:extent cx="4699000" cy="18542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14" w:right="1406" w:bottom="1440" w:gutter="0" w:footer="0" w:header="0"/>
        </w:sectPr>
      </w:pPr>
    </w:p>
    <w:bookmarkStart w:id="6" w:name="page7"/>
    <w:bookmarkEnd w:id="6"/>
    <w:p>
      <w:pPr>
        <w:jc w:val="right"/>
        <w:spacing w:after="0"/>
        <w:rPr>
          <w:sz w:val="20"/>
          <w:szCs w:val="20"/>
          <w:color w:val="auto"/>
        </w:rPr>
      </w:pPr>
      <w:r>
        <w:rPr>
          <w:rFonts w:ascii="Calibri" w:cs="Calibri" w:eastAsia="Calibri" w:hAnsi="Calibri"/>
          <w:sz w:val="22"/>
          <w:szCs w:val="22"/>
          <w:color w:val="auto"/>
        </w:rPr>
        <w:t>v</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tbl>
      <w:tblPr>
        <w:tblLayout w:type="fixed"/>
        <w:tblInd w:w="1120" w:type="dxa"/>
        <w:tblCellMar>
          <w:top w:w="0" w:type="dxa"/>
          <w:left w:w="0" w:type="dxa"/>
          <w:bottom w:w="0" w:type="dxa"/>
          <w:right w:w="0" w:type="dxa"/>
        </w:tblCellMar>
      </w:tblPr>
      <w:tr>
        <w:trPr>
          <w:trHeight w:val="253"/>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w w:val="84"/>
              </w:rPr>
              <w:t>4.</w:t>
            </w:r>
          </w:p>
        </w:tc>
        <w:tc>
          <w:tcPr>
            <w:tcW w:w="6740" w:type="dxa"/>
            <w:vAlign w:val="bottom"/>
          </w:tcPr>
          <w:p>
            <w:pPr>
              <w:ind w:left="100"/>
              <w:spacing w:after="0"/>
              <w:rPr>
                <w:sz w:val="20"/>
                <w:szCs w:val="20"/>
                <w:color w:val="auto"/>
              </w:rPr>
            </w:pPr>
            <w:r>
              <w:rPr>
                <w:rFonts w:ascii="Times New Roman" w:cs="Times New Roman" w:eastAsia="Times New Roman" w:hAnsi="Times New Roman"/>
                <w:sz w:val="22"/>
                <w:szCs w:val="22"/>
                <w:b w:val="1"/>
                <w:bCs w:val="1"/>
                <w:color w:val="auto"/>
              </w:rPr>
              <w:t>BULGULAR</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rPr>
              <w:t>27</w:t>
            </w:r>
          </w:p>
        </w:tc>
      </w:tr>
      <w:tr>
        <w:trPr>
          <w:trHeight w:val="379"/>
        </w:trPr>
        <w:tc>
          <w:tcPr>
            <w:tcW w:w="260" w:type="dxa"/>
            <w:vAlign w:val="bottom"/>
          </w:tcPr>
          <w:p>
            <w:pPr>
              <w:spacing w:after="0"/>
              <w:rPr>
                <w:sz w:val="24"/>
                <w:szCs w:val="24"/>
                <w:color w:val="auto"/>
              </w:rPr>
            </w:pPr>
          </w:p>
        </w:tc>
        <w:tc>
          <w:tcPr>
            <w:tcW w:w="6740" w:type="dxa"/>
            <w:vAlign w:val="bottom"/>
          </w:tcPr>
          <w:p>
            <w:pPr>
              <w:ind w:left="100"/>
              <w:spacing w:after="0"/>
              <w:rPr>
                <w:sz w:val="20"/>
                <w:szCs w:val="20"/>
                <w:color w:val="auto"/>
              </w:rPr>
            </w:pPr>
            <w:r>
              <w:rPr>
                <w:rFonts w:ascii="Times New Roman" w:cs="Times New Roman" w:eastAsia="Times New Roman" w:hAnsi="Times New Roman"/>
                <w:sz w:val="22"/>
                <w:szCs w:val="22"/>
                <w:b w:val="1"/>
                <w:bCs w:val="1"/>
                <w:color w:val="auto"/>
              </w:rPr>
              <w:t xml:space="preserve">4.1. </w:t>
            </w:r>
            <w:r>
              <w:rPr>
                <w:rFonts w:ascii="Times New Roman" w:cs="Times New Roman" w:eastAsia="Times New Roman" w:hAnsi="Times New Roman"/>
                <w:sz w:val="22"/>
                <w:szCs w:val="22"/>
                <w:b w:val="1"/>
                <w:bCs w:val="1"/>
                <w:color w:val="auto"/>
              </w:rPr>
              <w:t>Hastaların Başlıca Demografik Özellikleri ve Komorbiditeleri</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rPr>
              <w:t>27</w:t>
            </w:r>
          </w:p>
        </w:tc>
      </w:tr>
      <w:tr>
        <w:trPr>
          <w:trHeight w:val="379"/>
        </w:trPr>
        <w:tc>
          <w:tcPr>
            <w:tcW w:w="260" w:type="dxa"/>
            <w:vAlign w:val="bottom"/>
          </w:tcPr>
          <w:p>
            <w:pPr>
              <w:spacing w:after="0"/>
              <w:rPr>
                <w:sz w:val="24"/>
                <w:szCs w:val="24"/>
                <w:color w:val="auto"/>
              </w:rPr>
            </w:pPr>
          </w:p>
        </w:tc>
        <w:tc>
          <w:tcPr>
            <w:tcW w:w="6740" w:type="dxa"/>
            <w:vAlign w:val="bottom"/>
          </w:tcPr>
          <w:p>
            <w:pPr>
              <w:ind w:left="100"/>
              <w:spacing w:after="0"/>
              <w:rPr>
                <w:sz w:val="20"/>
                <w:szCs w:val="20"/>
                <w:color w:val="auto"/>
              </w:rPr>
            </w:pPr>
            <w:r>
              <w:rPr>
                <w:rFonts w:ascii="Times New Roman" w:cs="Times New Roman" w:eastAsia="Times New Roman" w:hAnsi="Times New Roman"/>
                <w:sz w:val="22"/>
                <w:szCs w:val="22"/>
                <w:b w:val="1"/>
                <w:bCs w:val="1"/>
                <w:color w:val="auto"/>
              </w:rPr>
              <w:t xml:space="preserve">4.2. </w:t>
            </w:r>
            <w:r>
              <w:rPr>
                <w:rFonts w:ascii="Times New Roman" w:cs="Times New Roman" w:eastAsia="Times New Roman" w:hAnsi="Times New Roman"/>
                <w:sz w:val="22"/>
                <w:szCs w:val="22"/>
                <w:b w:val="1"/>
                <w:bCs w:val="1"/>
                <w:color w:val="222222"/>
              </w:rPr>
              <w:t>Hastaların SM tanısını almasını kolaylaştıran veya almasına</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222222"/>
              </w:rPr>
              <w:t>28</w:t>
            </w:r>
          </w:p>
        </w:tc>
      </w:tr>
      <w:tr>
        <w:trPr>
          <w:trHeight w:val="379"/>
        </w:trPr>
        <w:tc>
          <w:tcPr>
            <w:tcW w:w="260" w:type="dxa"/>
            <w:vAlign w:val="bottom"/>
          </w:tcPr>
          <w:p>
            <w:pPr>
              <w:spacing w:after="0"/>
              <w:rPr>
                <w:sz w:val="24"/>
                <w:szCs w:val="24"/>
                <w:color w:val="auto"/>
              </w:rPr>
            </w:pPr>
          </w:p>
        </w:tc>
        <w:tc>
          <w:tcPr>
            <w:tcW w:w="674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222222"/>
              </w:rPr>
              <w:t>neden olan semptom ve bulgular</w:t>
            </w:r>
          </w:p>
        </w:tc>
        <w:tc>
          <w:tcPr>
            <w:tcW w:w="760" w:type="dxa"/>
            <w:vAlign w:val="bottom"/>
          </w:tcPr>
          <w:p>
            <w:pPr>
              <w:spacing w:after="0"/>
              <w:rPr>
                <w:sz w:val="24"/>
                <w:szCs w:val="24"/>
                <w:color w:val="auto"/>
              </w:rPr>
            </w:pPr>
          </w:p>
        </w:tc>
      </w:tr>
      <w:tr>
        <w:trPr>
          <w:trHeight w:val="379"/>
        </w:trPr>
        <w:tc>
          <w:tcPr>
            <w:tcW w:w="260" w:type="dxa"/>
            <w:vAlign w:val="bottom"/>
          </w:tcPr>
          <w:p>
            <w:pPr>
              <w:spacing w:after="0"/>
              <w:rPr>
                <w:sz w:val="24"/>
                <w:szCs w:val="24"/>
                <w:color w:val="auto"/>
              </w:rPr>
            </w:pPr>
          </w:p>
        </w:tc>
        <w:tc>
          <w:tcPr>
            <w:tcW w:w="6740" w:type="dxa"/>
            <w:vAlign w:val="bottom"/>
          </w:tcPr>
          <w:p>
            <w:pPr>
              <w:ind w:left="100"/>
              <w:spacing w:after="0"/>
              <w:rPr>
                <w:sz w:val="20"/>
                <w:szCs w:val="20"/>
                <w:color w:val="auto"/>
              </w:rPr>
            </w:pPr>
            <w:r>
              <w:rPr>
                <w:rFonts w:ascii="Times New Roman" w:cs="Times New Roman" w:eastAsia="Times New Roman" w:hAnsi="Times New Roman"/>
                <w:sz w:val="22"/>
                <w:szCs w:val="22"/>
                <w:b w:val="1"/>
                <w:bCs w:val="1"/>
                <w:color w:val="auto"/>
              </w:rPr>
              <w:t xml:space="preserve">4.3. </w:t>
            </w:r>
            <w:r>
              <w:rPr>
                <w:rFonts w:ascii="Times New Roman" w:cs="Times New Roman" w:eastAsia="Times New Roman" w:hAnsi="Times New Roman"/>
                <w:sz w:val="22"/>
                <w:szCs w:val="22"/>
                <w:b w:val="1"/>
                <w:bCs w:val="1"/>
                <w:color w:val="auto"/>
              </w:rPr>
              <w:t>Sistemik Mastositoz Nedeniyle Olduğu Düşünülen</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rPr>
              <w:t>30</w:t>
            </w:r>
          </w:p>
        </w:tc>
      </w:tr>
      <w:tr>
        <w:trPr>
          <w:trHeight w:val="379"/>
        </w:trPr>
        <w:tc>
          <w:tcPr>
            <w:tcW w:w="260" w:type="dxa"/>
            <w:vAlign w:val="bottom"/>
          </w:tcPr>
          <w:p>
            <w:pPr>
              <w:spacing w:after="0"/>
              <w:rPr>
                <w:sz w:val="24"/>
                <w:szCs w:val="24"/>
                <w:color w:val="auto"/>
              </w:rPr>
            </w:pPr>
          </w:p>
        </w:tc>
        <w:tc>
          <w:tcPr>
            <w:tcW w:w="6740" w:type="dxa"/>
            <w:vAlign w:val="bottom"/>
          </w:tcPr>
          <w:p>
            <w:pPr>
              <w:ind w:left="540"/>
              <w:spacing w:after="0"/>
              <w:rPr>
                <w:sz w:val="20"/>
                <w:szCs w:val="20"/>
                <w:color w:val="auto"/>
              </w:rPr>
            </w:pPr>
            <w:r>
              <w:rPr>
                <w:rFonts w:ascii="Times New Roman" w:cs="Times New Roman" w:eastAsia="Times New Roman" w:hAnsi="Times New Roman"/>
                <w:sz w:val="22"/>
                <w:szCs w:val="22"/>
                <w:b w:val="1"/>
                <w:bCs w:val="1"/>
                <w:color w:val="auto"/>
              </w:rPr>
              <w:t>Semptom ve Bulgular</w:t>
            </w:r>
          </w:p>
        </w:tc>
        <w:tc>
          <w:tcPr>
            <w:tcW w:w="760" w:type="dxa"/>
            <w:vAlign w:val="bottom"/>
          </w:tcPr>
          <w:p>
            <w:pPr>
              <w:spacing w:after="0"/>
              <w:rPr>
                <w:sz w:val="24"/>
                <w:szCs w:val="24"/>
                <w:color w:val="auto"/>
              </w:rPr>
            </w:pPr>
          </w:p>
        </w:tc>
      </w:tr>
      <w:tr>
        <w:trPr>
          <w:trHeight w:val="382"/>
        </w:trPr>
        <w:tc>
          <w:tcPr>
            <w:tcW w:w="260" w:type="dxa"/>
            <w:vAlign w:val="bottom"/>
          </w:tcPr>
          <w:p>
            <w:pPr>
              <w:spacing w:after="0"/>
              <w:rPr>
                <w:sz w:val="24"/>
                <w:szCs w:val="24"/>
                <w:color w:val="auto"/>
              </w:rPr>
            </w:pPr>
          </w:p>
        </w:tc>
        <w:tc>
          <w:tcPr>
            <w:tcW w:w="6740" w:type="dxa"/>
            <w:vAlign w:val="bottom"/>
          </w:tcPr>
          <w:p>
            <w:pPr>
              <w:ind w:left="100"/>
              <w:spacing w:after="0"/>
              <w:rPr>
                <w:sz w:val="20"/>
                <w:szCs w:val="20"/>
                <w:color w:val="auto"/>
              </w:rPr>
            </w:pPr>
            <w:r>
              <w:rPr>
                <w:rFonts w:ascii="Times New Roman" w:cs="Times New Roman" w:eastAsia="Times New Roman" w:hAnsi="Times New Roman"/>
                <w:sz w:val="22"/>
                <w:szCs w:val="22"/>
                <w:b w:val="1"/>
                <w:bCs w:val="1"/>
                <w:color w:val="auto"/>
              </w:rPr>
              <w:t>4.4. Sistemik Mastositoz Major ve Minör Kriterler</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rPr>
              <w:t>32</w:t>
            </w:r>
          </w:p>
        </w:tc>
      </w:tr>
      <w:tr>
        <w:trPr>
          <w:trHeight w:val="400"/>
        </w:trPr>
        <w:tc>
          <w:tcPr>
            <w:tcW w:w="260" w:type="dxa"/>
            <w:vAlign w:val="bottom"/>
          </w:tcPr>
          <w:p>
            <w:pPr>
              <w:spacing w:after="0"/>
              <w:rPr>
                <w:sz w:val="24"/>
                <w:szCs w:val="24"/>
                <w:color w:val="auto"/>
              </w:rPr>
            </w:pPr>
          </w:p>
        </w:tc>
        <w:tc>
          <w:tcPr>
            <w:tcW w:w="6740" w:type="dxa"/>
            <w:vAlign w:val="bottom"/>
          </w:tcPr>
          <w:p>
            <w:pPr>
              <w:ind w:left="100"/>
              <w:spacing w:after="0"/>
              <w:rPr>
                <w:sz w:val="20"/>
                <w:szCs w:val="20"/>
                <w:color w:val="auto"/>
              </w:rPr>
            </w:pPr>
            <w:r>
              <w:rPr>
                <w:rFonts w:ascii="Times New Roman" w:cs="Times New Roman" w:eastAsia="Times New Roman" w:hAnsi="Times New Roman"/>
                <w:sz w:val="22"/>
                <w:szCs w:val="22"/>
                <w:b w:val="1"/>
                <w:bCs w:val="1"/>
                <w:color w:val="auto"/>
              </w:rPr>
              <w:t xml:space="preserve">4.5. </w:t>
            </w:r>
            <w:r>
              <w:rPr>
                <w:rFonts w:ascii="Times New Roman" w:cs="Times New Roman" w:eastAsia="Times New Roman" w:hAnsi="Times New Roman"/>
                <w:sz w:val="24"/>
                <w:szCs w:val="24"/>
                <w:b w:val="1"/>
                <w:bCs w:val="1"/>
                <w:color w:val="222222"/>
              </w:rPr>
              <w:t>Hastaların ASM Tanısını Almasına Neden Olan Organ</w:t>
            </w:r>
          </w:p>
        </w:tc>
        <w:tc>
          <w:tcPr>
            <w:tcW w:w="76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222222"/>
              </w:rPr>
              <w:t>33</w:t>
            </w:r>
          </w:p>
        </w:tc>
      </w:tr>
      <w:tr>
        <w:trPr>
          <w:trHeight w:val="413"/>
        </w:trPr>
        <w:tc>
          <w:tcPr>
            <w:tcW w:w="260" w:type="dxa"/>
            <w:vAlign w:val="bottom"/>
          </w:tcPr>
          <w:p>
            <w:pPr>
              <w:spacing w:after="0"/>
              <w:rPr>
                <w:sz w:val="24"/>
                <w:szCs w:val="24"/>
                <w:color w:val="auto"/>
              </w:rPr>
            </w:pPr>
          </w:p>
        </w:tc>
        <w:tc>
          <w:tcPr>
            <w:tcW w:w="6740" w:type="dxa"/>
            <w:vAlign w:val="bottom"/>
          </w:tcPr>
          <w:p>
            <w:pPr>
              <w:ind w:left="240"/>
              <w:spacing w:after="0"/>
              <w:rPr>
                <w:sz w:val="20"/>
                <w:szCs w:val="20"/>
                <w:color w:val="auto"/>
              </w:rPr>
            </w:pPr>
            <w:r>
              <w:rPr>
                <w:rFonts w:ascii="Times New Roman" w:cs="Times New Roman" w:eastAsia="Times New Roman" w:hAnsi="Times New Roman"/>
                <w:sz w:val="24"/>
                <w:szCs w:val="24"/>
                <w:b w:val="1"/>
                <w:bCs w:val="1"/>
                <w:color w:val="222222"/>
              </w:rPr>
              <w:t>Disfonksiyonunun Neden Olduğu Semptom ve Bulgular</w:t>
            </w:r>
          </w:p>
        </w:tc>
        <w:tc>
          <w:tcPr>
            <w:tcW w:w="760" w:type="dxa"/>
            <w:vAlign w:val="bottom"/>
          </w:tcPr>
          <w:p>
            <w:pPr>
              <w:spacing w:after="0"/>
              <w:rPr>
                <w:sz w:val="24"/>
                <w:szCs w:val="24"/>
                <w:color w:val="auto"/>
              </w:rPr>
            </w:pPr>
          </w:p>
        </w:tc>
      </w:tr>
      <w:tr>
        <w:trPr>
          <w:trHeight w:val="416"/>
        </w:trPr>
        <w:tc>
          <w:tcPr>
            <w:tcW w:w="260" w:type="dxa"/>
            <w:vAlign w:val="bottom"/>
          </w:tcPr>
          <w:p>
            <w:pPr>
              <w:spacing w:after="0"/>
              <w:rPr>
                <w:sz w:val="24"/>
                <w:szCs w:val="24"/>
                <w:color w:val="auto"/>
              </w:rPr>
            </w:pPr>
          </w:p>
        </w:tc>
        <w:tc>
          <w:tcPr>
            <w:tcW w:w="6740" w:type="dxa"/>
            <w:vAlign w:val="bottom"/>
          </w:tcPr>
          <w:p>
            <w:pPr>
              <w:ind w:left="540"/>
              <w:spacing w:after="0"/>
              <w:rPr>
                <w:sz w:val="20"/>
                <w:szCs w:val="20"/>
                <w:color w:val="auto"/>
              </w:rPr>
            </w:pPr>
            <w:r>
              <w:rPr>
                <w:rFonts w:ascii="Times New Roman" w:cs="Times New Roman" w:eastAsia="Times New Roman" w:hAnsi="Times New Roman"/>
                <w:sz w:val="24"/>
                <w:szCs w:val="24"/>
                <w:b w:val="1"/>
                <w:bCs w:val="1"/>
                <w:color w:val="222222"/>
              </w:rPr>
              <w:t>(C bulguları)</w:t>
            </w:r>
          </w:p>
        </w:tc>
        <w:tc>
          <w:tcPr>
            <w:tcW w:w="760" w:type="dxa"/>
            <w:vAlign w:val="bottom"/>
          </w:tcPr>
          <w:p>
            <w:pPr>
              <w:spacing w:after="0"/>
              <w:rPr>
                <w:sz w:val="24"/>
                <w:szCs w:val="24"/>
                <w:color w:val="auto"/>
              </w:rPr>
            </w:pPr>
          </w:p>
        </w:tc>
      </w:tr>
      <w:tr>
        <w:trPr>
          <w:trHeight w:val="413"/>
        </w:trPr>
        <w:tc>
          <w:tcPr>
            <w:tcW w:w="260" w:type="dxa"/>
            <w:vAlign w:val="bottom"/>
          </w:tcPr>
          <w:p>
            <w:pPr>
              <w:spacing w:after="0"/>
              <w:rPr>
                <w:sz w:val="24"/>
                <w:szCs w:val="24"/>
                <w:color w:val="auto"/>
              </w:rPr>
            </w:pPr>
          </w:p>
        </w:tc>
        <w:tc>
          <w:tcPr>
            <w:tcW w:w="6740" w:type="dxa"/>
            <w:vAlign w:val="bottom"/>
          </w:tcPr>
          <w:p>
            <w:pPr>
              <w:ind w:left="100"/>
              <w:spacing w:after="0"/>
              <w:rPr>
                <w:sz w:val="20"/>
                <w:szCs w:val="20"/>
                <w:color w:val="auto"/>
              </w:rPr>
            </w:pPr>
            <w:r>
              <w:rPr>
                <w:rFonts w:ascii="Times New Roman" w:cs="Times New Roman" w:eastAsia="Times New Roman" w:hAnsi="Times New Roman"/>
                <w:sz w:val="22"/>
                <w:szCs w:val="22"/>
                <w:b w:val="1"/>
                <w:bCs w:val="1"/>
                <w:color w:val="auto"/>
              </w:rPr>
              <w:t xml:space="preserve">4.6. </w:t>
            </w:r>
            <w:r>
              <w:rPr>
                <w:rFonts w:ascii="Times New Roman" w:cs="Times New Roman" w:eastAsia="Times New Roman" w:hAnsi="Times New Roman"/>
                <w:sz w:val="24"/>
                <w:szCs w:val="24"/>
                <w:b w:val="1"/>
                <w:bCs w:val="1"/>
                <w:color w:val="222222"/>
              </w:rPr>
              <w:t>Sistemik Mastositozda Organ Disfonksiyonu</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rPr>
              <w:t>34</w:t>
            </w:r>
          </w:p>
        </w:tc>
      </w:tr>
      <w:tr>
        <w:trPr>
          <w:trHeight w:val="415"/>
        </w:trPr>
        <w:tc>
          <w:tcPr>
            <w:tcW w:w="260" w:type="dxa"/>
            <w:vAlign w:val="bottom"/>
          </w:tcPr>
          <w:p>
            <w:pPr>
              <w:spacing w:after="0"/>
              <w:rPr>
                <w:sz w:val="24"/>
                <w:szCs w:val="24"/>
                <w:color w:val="auto"/>
              </w:rPr>
            </w:pPr>
          </w:p>
        </w:tc>
        <w:tc>
          <w:tcPr>
            <w:tcW w:w="6740" w:type="dxa"/>
            <w:vAlign w:val="bottom"/>
          </w:tcPr>
          <w:p>
            <w:pPr>
              <w:ind w:left="100"/>
              <w:spacing w:after="0"/>
              <w:rPr>
                <w:sz w:val="20"/>
                <w:szCs w:val="20"/>
                <w:color w:val="auto"/>
              </w:rPr>
            </w:pPr>
            <w:r>
              <w:rPr>
                <w:rFonts w:ascii="Times New Roman" w:cs="Times New Roman" w:eastAsia="Times New Roman" w:hAnsi="Times New Roman"/>
                <w:sz w:val="22"/>
                <w:szCs w:val="22"/>
                <w:b w:val="1"/>
                <w:bCs w:val="1"/>
                <w:color w:val="auto"/>
              </w:rPr>
              <w:t xml:space="preserve">4.7. </w:t>
            </w:r>
            <w:r>
              <w:rPr>
                <w:rFonts w:ascii="Times New Roman" w:cs="Times New Roman" w:eastAsia="Times New Roman" w:hAnsi="Times New Roman"/>
                <w:sz w:val="24"/>
                <w:szCs w:val="24"/>
                <w:b w:val="1"/>
                <w:bCs w:val="1"/>
                <w:color w:val="222222"/>
              </w:rPr>
              <w:t>Laboratuvar Sonuçları</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rPr>
              <w:t>35</w:t>
            </w:r>
          </w:p>
        </w:tc>
      </w:tr>
      <w:tr>
        <w:trPr>
          <w:trHeight w:val="413"/>
        </w:trPr>
        <w:tc>
          <w:tcPr>
            <w:tcW w:w="260" w:type="dxa"/>
            <w:vAlign w:val="bottom"/>
          </w:tcPr>
          <w:p>
            <w:pPr>
              <w:spacing w:after="0"/>
              <w:rPr>
                <w:sz w:val="24"/>
                <w:szCs w:val="24"/>
                <w:color w:val="auto"/>
              </w:rPr>
            </w:pPr>
          </w:p>
        </w:tc>
        <w:tc>
          <w:tcPr>
            <w:tcW w:w="6740" w:type="dxa"/>
            <w:vAlign w:val="bottom"/>
          </w:tcPr>
          <w:p>
            <w:pPr>
              <w:ind w:left="100"/>
              <w:spacing w:after="0"/>
              <w:rPr>
                <w:sz w:val="20"/>
                <w:szCs w:val="20"/>
                <w:color w:val="auto"/>
              </w:rPr>
            </w:pPr>
            <w:r>
              <w:rPr>
                <w:rFonts w:ascii="Times New Roman" w:cs="Times New Roman" w:eastAsia="Times New Roman" w:hAnsi="Times New Roman"/>
                <w:sz w:val="22"/>
                <w:szCs w:val="22"/>
                <w:b w:val="1"/>
                <w:bCs w:val="1"/>
                <w:color w:val="auto"/>
              </w:rPr>
              <w:t xml:space="preserve">4.8. </w:t>
            </w:r>
            <w:r>
              <w:rPr>
                <w:rFonts w:ascii="Times New Roman" w:cs="Times New Roman" w:eastAsia="Times New Roman" w:hAnsi="Times New Roman"/>
                <w:sz w:val="24"/>
                <w:szCs w:val="24"/>
                <w:b w:val="1"/>
                <w:bCs w:val="1"/>
                <w:color w:val="222222"/>
              </w:rPr>
              <w:t>Sistemik Mastositozda Artan Mediatör Düzeyine</w:t>
            </w:r>
          </w:p>
        </w:tc>
        <w:tc>
          <w:tcPr>
            <w:tcW w:w="76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222222"/>
              </w:rPr>
              <w:t>36</w:t>
            </w:r>
          </w:p>
        </w:tc>
      </w:tr>
      <w:tr>
        <w:trPr>
          <w:trHeight w:val="415"/>
        </w:trPr>
        <w:tc>
          <w:tcPr>
            <w:tcW w:w="260" w:type="dxa"/>
            <w:vAlign w:val="bottom"/>
          </w:tcPr>
          <w:p>
            <w:pPr>
              <w:spacing w:after="0"/>
              <w:rPr>
                <w:sz w:val="24"/>
                <w:szCs w:val="24"/>
                <w:color w:val="auto"/>
              </w:rPr>
            </w:pPr>
          </w:p>
        </w:tc>
        <w:tc>
          <w:tcPr>
            <w:tcW w:w="6740" w:type="dxa"/>
            <w:vAlign w:val="bottom"/>
          </w:tcPr>
          <w:p>
            <w:pPr>
              <w:ind w:left="540"/>
              <w:spacing w:after="0"/>
              <w:rPr>
                <w:sz w:val="20"/>
                <w:szCs w:val="20"/>
                <w:color w:val="auto"/>
              </w:rPr>
            </w:pPr>
            <w:r>
              <w:rPr>
                <w:rFonts w:ascii="Times New Roman" w:cs="Times New Roman" w:eastAsia="Times New Roman" w:hAnsi="Times New Roman"/>
                <w:sz w:val="24"/>
                <w:szCs w:val="24"/>
                <w:b w:val="1"/>
                <w:bCs w:val="1"/>
                <w:color w:val="222222"/>
              </w:rPr>
              <w:t>Bağlı Gelişen Semptom ve Bulguların Tedavisi</w:t>
            </w:r>
          </w:p>
        </w:tc>
        <w:tc>
          <w:tcPr>
            <w:tcW w:w="760" w:type="dxa"/>
            <w:vAlign w:val="bottom"/>
          </w:tcPr>
          <w:p>
            <w:pPr>
              <w:spacing w:after="0"/>
              <w:rPr>
                <w:sz w:val="24"/>
                <w:szCs w:val="24"/>
                <w:color w:val="auto"/>
              </w:rPr>
            </w:pPr>
          </w:p>
        </w:tc>
      </w:tr>
      <w:tr>
        <w:trPr>
          <w:trHeight w:val="413"/>
        </w:trPr>
        <w:tc>
          <w:tcPr>
            <w:tcW w:w="260" w:type="dxa"/>
            <w:vAlign w:val="bottom"/>
          </w:tcPr>
          <w:p>
            <w:pPr>
              <w:spacing w:after="0"/>
              <w:rPr>
                <w:sz w:val="24"/>
                <w:szCs w:val="24"/>
                <w:color w:val="auto"/>
              </w:rPr>
            </w:pPr>
          </w:p>
        </w:tc>
        <w:tc>
          <w:tcPr>
            <w:tcW w:w="6740" w:type="dxa"/>
            <w:vAlign w:val="bottom"/>
          </w:tcPr>
          <w:p>
            <w:pPr>
              <w:ind w:left="100"/>
              <w:spacing w:after="0"/>
              <w:rPr>
                <w:sz w:val="20"/>
                <w:szCs w:val="20"/>
                <w:color w:val="auto"/>
              </w:rPr>
            </w:pPr>
            <w:r>
              <w:rPr>
                <w:rFonts w:ascii="Times New Roman" w:cs="Times New Roman" w:eastAsia="Times New Roman" w:hAnsi="Times New Roman"/>
                <w:sz w:val="22"/>
                <w:szCs w:val="22"/>
                <w:b w:val="1"/>
                <w:bCs w:val="1"/>
                <w:color w:val="auto"/>
              </w:rPr>
              <w:t xml:space="preserve">4.9. </w:t>
            </w:r>
            <w:r>
              <w:rPr>
                <w:rFonts w:ascii="Times New Roman" w:cs="Times New Roman" w:eastAsia="Times New Roman" w:hAnsi="Times New Roman"/>
                <w:sz w:val="24"/>
                <w:szCs w:val="24"/>
                <w:b w:val="1"/>
                <w:bCs w:val="1"/>
                <w:color w:val="222222"/>
              </w:rPr>
              <w:t>Sitoredüktif ve Hedefe Yönelik Tedaviler</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rPr>
              <w:t>36</w:t>
            </w:r>
          </w:p>
        </w:tc>
      </w:tr>
      <w:tr>
        <w:trPr>
          <w:trHeight w:val="394"/>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w w:val="84"/>
              </w:rPr>
              <w:t>5.</w:t>
            </w:r>
          </w:p>
        </w:tc>
        <w:tc>
          <w:tcPr>
            <w:tcW w:w="6740" w:type="dxa"/>
            <w:vAlign w:val="bottom"/>
          </w:tcPr>
          <w:p>
            <w:pPr>
              <w:ind w:left="100"/>
              <w:spacing w:after="0"/>
              <w:rPr>
                <w:sz w:val="20"/>
                <w:szCs w:val="20"/>
                <w:color w:val="auto"/>
              </w:rPr>
            </w:pPr>
            <w:r>
              <w:rPr>
                <w:rFonts w:ascii="Times New Roman" w:cs="Times New Roman" w:eastAsia="Times New Roman" w:hAnsi="Times New Roman"/>
                <w:sz w:val="22"/>
                <w:szCs w:val="22"/>
                <w:b w:val="1"/>
                <w:bCs w:val="1"/>
                <w:color w:val="auto"/>
              </w:rPr>
              <w:t>TARTIŞMA</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rPr>
              <w:t>39</w:t>
            </w:r>
          </w:p>
        </w:tc>
      </w:tr>
      <w:tr>
        <w:trPr>
          <w:trHeight w:val="379"/>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w w:val="84"/>
              </w:rPr>
              <w:t>6.</w:t>
            </w:r>
          </w:p>
        </w:tc>
        <w:tc>
          <w:tcPr>
            <w:tcW w:w="6740" w:type="dxa"/>
            <w:vAlign w:val="bottom"/>
          </w:tcPr>
          <w:p>
            <w:pPr>
              <w:ind w:left="100"/>
              <w:spacing w:after="0"/>
              <w:rPr>
                <w:sz w:val="20"/>
                <w:szCs w:val="20"/>
                <w:color w:val="auto"/>
              </w:rPr>
            </w:pPr>
            <w:r>
              <w:rPr>
                <w:rFonts w:ascii="Times New Roman" w:cs="Times New Roman" w:eastAsia="Times New Roman" w:hAnsi="Times New Roman"/>
                <w:sz w:val="22"/>
                <w:szCs w:val="22"/>
                <w:b w:val="1"/>
                <w:bCs w:val="1"/>
                <w:color w:val="auto"/>
              </w:rPr>
              <w:t>SONUÇ VE ÖNERİLER</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rPr>
              <w:t>45</w:t>
            </w:r>
          </w:p>
        </w:tc>
      </w:tr>
      <w:tr>
        <w:trPr>
          <w:trHeight w:val="379"/>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w w:val="84"/>
              </w:rPr>
              <w:t>7.</w:t>
            </w:r>
          </w:p>
        </w:tc>
        <w:tc>
          <w:tcPr>
            <w:tcW w:w="6740" w:type="dxa"/>
            <w:vAlign w:val="bottom"/>
          </w:tcPr>
          <w:p>
            <w:pPr>
              <w:ind w:left="100"/>
              <w:spacing w:after="0"/>
              <w:rPr>
                <w:sz w:val="20"/>
                <w:szCs w:val="20"/>
                <w:color w:val="auto"/>
              </w:rPr>
            </w:pPr>
            <w:r>
              <w:rPr>
                <w:rFonts w:ascii="Times New Roman" w:cs="Times New Roman" w:eastAsia="Times New Roman" w:hAnsi="Times New Roman"/>
                <w:sz w:val="22"/>
                <w:szCs w:val="22"/>
                <w:b w:val="1"/>
                <w:bCs w:val="1"/>
                <w:color w:val="auto"/>
              </w:rPr>
              <w:t>KAYNAKLAR</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rPr>
              <w:t>50</w:t>
            </w:r>
          </w:p>
        </w:tc>
      </w:tr>
      <w:tr>
        <w:trPr>
          <w:trHeight w:val="540"/>
        </w:trPr>
        <w:tc>
          <w:tcPr>
            <w:tcW w:w="260" w:type="dxa"/>
            <w:vAlign w:val="bottom"/>
          </w:tcPr>
          <w:p>
            <w:pPr>
              <w:spacing w:after="0"/>
              <w:rPr>
                <w:sz w:val="24"/>
                <w:szCs w:val="24"/>
                <w:color w:val="auto"/>
              </w:rPr>
            </w:pPr>
          </w:p>
        </w:tc>
        <w:tc>
          <w:tcPr>
            <w:tcW w:w="6740" w:type="dxa"/>
            <w:vAlign w:val="bottom"/>
          </w:tcPr>
          <w:p>
            <w:pPr>
              <w:ind w:left="180"/>
              <w:spacing w:after="0"/>
              <w:rPr>
                <w:sz w:val="20"/>
                <w:szCs w:val="20"/>
                <w:color w:val="auto"/>
              </w:rPr>
            </w:pPr>
            <w:r>
              <w:rPr>
                <w:rFonts w:ascii="Times New Roman" w:cs="Times New Roman" w:eastAsia="Times New Roman" w:hAnsi="Times New Roman"/>
                <w:sz w:val="22"/>
                <w:szCs w:val="22"/>
                <w:b w:val="1"/>
                <w:bCs w:val="1"/>
                <w:color w:val="auto"/>
              </w:rPr>
              <w:t>EKLER</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rPr>
              <w:t>49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-2096135</wp:posOffset>
            </wp:positionV>
            <wp:extent cx="4699000" cy="18542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14" w:right="1406" w:bottom="1440" w:gutter="0" w:footer="0" w:header="0"/>
        </w:sectPr>
      </w:pPr>
    </w:p>
    <w:bookmarkStart w:id="7" w:name="page8"/>
    <w:bookmarkEnd w:id="7"/>
    <w:p>
      <w:pPr>
        <w:jc w:val="right"/>
        <w:spacing w:after="0"/>
        <w:rPr>
          <w:sz w:val="20"/>
          <w:szCs w:val="20"/>
          <w:color w:val="auto"/>
        </w:rPr>
      </w:pPr>
      <w:r>
        <w:rPr>
          <w:rFonts w:ascii="Calibri" w:cs="Calibri" w:eastAsia="Calibri" w:hAnsi="Calibri"/>
          <w:sz w:val="22"/>
          <w:szCs w:val="22"/>
          <w:color w:val="auto"/>
        </w:rPr>
        <w:t>vi</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4040"/>
        <w:spacing w:after="0"/>
        <w:rPr>
          <w:sz w:val="20"/>
          <w:szCs w:val="20"/>
          <w:color w:val="auto"/>
        </w:rPr>
      </w:pPr>
      <w:r>
        <w:rPr>
          <w:rFonts w:ascii="Times New Roman" w:cs="Times New Roman" w:eastAsia="Times New Roman" w:hAnsi="Times New Roman"/>
          <w:sz w:val="24"/>
          <w:szCs w:val="24"/>
          <w:b w:val="1"/>
          <w:bCs w:val="1"/>
          <w:color w:val="auto"/>
        </w:rPr>
        <w:t>KISALTMALAR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ACE: Anjiotensin dönüştürücü enzim</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AKHN: Allojeneik Kök Hücre Nakli</w:t>
      </w:r>
    </w:p>
    <w:p>
      <w:pPr>
        <w:spacing w:after="0" w:line="30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AML: Akut Myeloblastik Lösemi</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ASM: Agresif Sistemik Mastositoz</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Asp: Asparajin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190500</wp:posOffset>
            </wp:positionV>
            <wp:extent cx="5414010" cy="21869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5414010" cy="2186940"/>
                    </a:xfrm>
                    <a:prstGeom prst="rect">
                      <a:avLst/>
                    </a:prstGeom>
                    <a:noFill/>
                  </pic:spPr>
                </pic:pic>
              </a:graphicData>
            </a:graphic>
          </wp:anchor>
        </w:drawing>
      </w:r>
    </w:p>
    <w:p>
      <w:pPr>
        <w:spacing w:after="0" w:line="27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BAL: Bronkoalveoler lavaj</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CD: Cluster of differantiation</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FGF: Fibroblast growth factor</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GİS: Gastrointestinal</w:t>
      </w:r>
    </w:p>
    <w:p>
      <w:pPr>
        <w:spacing w:after="0" w:line="30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Hb: Hemoglobin</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HR: Hazard Ratio</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HSM: Hepatosplenomegali</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IFN-</w:t>
      </w:r>
      <w:r>
        <w:rPr>
          <w:rFonts w:ascii="Times New Roman" w:cs="Times New Roman" w:eastAsia="Times New Roman" w:hAnsi="Times New Roman"/>
          <w:sz w:val="24"/>
          <w:szCs w:val="24"/>
          <w:color w:val="auto"/>
        </w:rPr>
        <w:t>Alfa: İnterferon Alfa</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 xml:space="preserve">IL: </w:t>
      </w:r>
      <w:r>
        <w:rPr>
          <w:rFonts w:ascii="Times New Roman" w:cs="Times New Roman" w:eastAsia="Times New Roman" w:hAnsi="Times New Roman"/>
          <w:sz w:val="24"/>
          <w:szCs w:val="24"/>
          <w:color w:val="auto"/>
        </w:rPr>
        <w:t>İnterlökin</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Ig: İmmünoglobülin</w:t>
      </w:r>
    </w:p>
    <w:p>
      <w:pPr>
        <w:spacing w:after="0" w:line="30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İSM: İndol</w:t>
      </w:r>
      <w:r>
        <w:rPr>
          <w:rFonts w:ascii="Times New Roman" w:cs="Times New Roman" w:eastAsia="Times New Roman" w:hAnsi="Times New Roman"/>
          <w:sz w:val="24"/>
          <w:szCs w:val="24"/>
          <w:color w:val="auto"/>
        </w:rPr>
        <w:t>an Sistemik Mastositoz</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KCFT: Karaciğer Fonksiyon Testleri</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KİAB: Kemik İliği Aspirasyon Biyopsisi</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KML: Kronik Myelositik Lösemi</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KMML: Kronik Myelomonositik Lösemi</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KMD: Kemik Mineral Dansitometri</w:t>
      </w:r>
    </w:p>
    <w:p>
      <w:pPr>
        <w:sectPr>
          <w:pgSz w:w="11900" w:h="16838" w:orient="portrait"/>
          <w:cols w:equalWidth="0" w:num="1">
            <w:col w:w="9060"/>
          </w:cols>
          <w:pgMar w:left="1440" w:top="714" w:right="1406" w:bottom="1440" w:gutter="0" w:footer="0" w:header="0"/>
        </w:sectPr>
      </w:pPr>
    </w:p>
    <w:bookmarkStart w:id="8" w:name="page9"/>
    <w:bookmarkEnd w:id="8"/>
    <w:p>
      <w:pPr>
        <w:jc w:val="right"/>
        <w:spacing w:after="0"/>
        <w:rPr>
          <w:sz w:val="20"/>
          <w:szCs w:val="20"/>
          <w:color w:val="auto"/>
        </w:rPr>
      </w:pPr>
      <w:r>
        <w:rPr>
          <w:rFonts w:ascii="Calibri" w:cs="Calibri" w:eastAsia="Calibri" w:hAnsi="Calibri"/>
          <w:sz w:val="22"/>
          <w:szCs w:val="22"/>
          <w:color w:val="auto"/>
        </w:rPr>
        <w:t>vii</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LAP: Lenfadenopati</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MDS: Myelodisplastik Sendrom</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MHL: Mast Hücreli Lösemi</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MM: Multipl Myelom</w:t>
      </w:r>
    </w:p>
    <w:p>
      <w:pPr>
        <w:spacing w:after="0" w:line="30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MPN: Myeloproliferatif Neoplazi</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NSAİİ: Steroid Olmayan Antiinflamatuar İlaçlar</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PCP: Pneumocystis Carinii Pnömonisi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190500</wp:posOffset>
            </wp:positionV>
            <wp:extent cx="5414010" cy="21869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5414010" cy="2186940"/>
                    </a:xfrm>
                    <a:prstGeom prst="rect">
                      <a:avLst/>
                    </a:prstGeom>
                    <a:noFill/>
                  </pic:spPr>
                </pic:pic>
              </a:graphicData>
            </a:graphic>
          </wp:anchor>
        </w:drawing>
      </w:r>
    </w:p>
    <w:p>
      <w:pPr>
        <w:spacing w:after="0" w:line="27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PCR: Polimeraz zincir reaksiyonu</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PGD-2: Prostoglandin D2</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11-PGF2alfa: 11 Beta prostoglandin F2 alfa</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PHT: Portal Hipertansiyon</w:t>
      </w:r>
    </w:p>
    <w:p>
      <w:pPr>
        <w:spacing w:after="0" w:line="30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PPI: Proton Pompa İnhibitörü</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SCF: Stem Cell Factor</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SM-AHN: Asosiye hematolojik neoplazi ile birlikte sistemik mastositoz</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SM: Sistemik Mastositoz</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SSM: Smoldering Sistemik Mastositoz</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 xml:space="preserve">TH-2: Tip 2 </w:t>
      </w:r>
      <w:r>
        <w:rPr>
          <w:rFonts w:ascii="Times New Roman" w:cs="Times New Roman" w:eastAsia="Times New Roman" w:hAnsi="Times New Roman"/>
          <w:sz w:val="24"/>
          <w:szCs w:val="24"/>
          <w:color w:val="auto"/>
        </w:rPr>
        <w:t>Yardımcı T hücresi</w:t>
      </w:r>
    </w:p>
    <w:p>
      <w:pPr>
        <w:spacing w:after="0" w:line="30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ÜP: Ürtikerya Pigmentoza</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Val:Valin</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VIP: Vazoaktif intestinal peptid</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WHO: Dünya Sağlık Örgütü</w:t>
      </w:r>
    </w:p>
    <w:p>
      <w:pPr>
        <w:sectPr>
          <w:pgSz w:w="11900" w:h="16838" w:orient="portrait"/>
          <w:cols w:equalWidth="0" w:num="1">
            <w:col w:w="9060"/>
          </w:cols>
          <w:pgMar w:left="1440" w:top="714" w:right="1406" w:bottom="1440" w:gutter="0" w:footer="0" w:header="0"/>
        </w:sectPr>
      </w:pPr>
    </w:p>
    <w:bookmarkStart w:id="9" w:name="page10"/>
    <w:bookmarkEnd w:id="9"/>
    <w:p>
      <w:pPr>
        <w:ind w:left="8800"/>
        <w:spacing w:after="0"/>
        <w:rPr>
          <w:sz w:val="20"/>
          <w:szCs w:val="20"/>
          <w:color w:val="auto"/>
        </w:rPr>
      </w:pPr>
      <w:r>
        <w:rPr>
          <w:rFonts w:ascii="Calibri" w:cs="Calibri" w:eastAsia="Calibri" w:hAnsi="Calibri"/>
          <w:sz w:val="22"/>
          <w:szCs w:val="22"/>
          <w:color w:val="auto"/>
        </w:rPr>
        <w:t>viii</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4040"/>
        <w:spacing w:after="0"/>
        <w:rPr>
          <w:sz w:val="20"/>
          <w:szCs w:val="20"/>
          <w:color w:val="auto"/>
        </w:rPr>
      </w:pPr>
      <w:r>
        <w:rPr>
          <w:rFonts w:ascii="Times New Roman" w:cs="Times New Roman" w:eastAsia="Times New Roman" w:hAnsi="Times New Roman"/>
          <w:sz w:val="24"/>
          <w:szCs w:val="24"/>
          <w:b w:val="1"/>
          <w:bCs w:val="1"/>
          <w:color w:val="auto"/>
        </w:rPr>
        <w:t>GRAFİK DİZİNİ</w:t>
      </w:r>
    </w:p>
    <w:p>
      <w:pPr>
        <w:spacing w:after="0" w:line="298" w:lineRule="exact"/>
        <w:rPr>
          <w:sz w:val="20"/>
          <w:szCs w:val="20"/>
          <w:color w:val="auto"/>
        </w:rPr>
      </w:pPr>
    </w:p>
    <w:tbl>
      <w:tblPr>
        <w:tblLayout w:type="fixed"/>
        <w:tblInd w:w="840" w:type="dxa"/>
        <w:tblCellMar>
          <w:top w:w="0" w:type="dxa"/>
          <w:left w:w="0" w:type="dxa"/>
          <w:bottom w:w="0" w:type="dxa"/>
          <w:right w:w="0" w:type="dxa"/>
        </w:tblCellMar>
      </w:tblPr>
      <w:tr>
        <w:trPr>
          <w:trHeight w:val="276"/>
        </w:trPr>
        <w:tc>
          <w:tcPr>
            <w:tcW w:w="516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Şekil</w:t>
            </w:r>
            <w:r>
              <w:rPr>
                <w:rFonts w:ascii="Times New Roman" w:cs="Times New Roman" w:eastAsia="Times New Roman" w:hAnsi="Times New Roman"/>
                <w:sz w:val="24"/>
                <w:szCs w:val="24"/>
                <w:b w:val="1"/>
                <w:bCs w:val="1"/>
                <w:color w:val="auto"/>
              </w:rPr>
              <w:t>-1</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Tanısal Algoritma</w:t>
            </w:r>
          </w:p>
        </w:tc>
        <w:tc>
          <w:tcPr>
            <w:tcW w:w="286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10</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tbl>
      <w:tblPr>
        <w:tblLayout w:type="fixed"/>
        <w:tblInd w:w="840" w:type="dxa"/>
        <w:tblCellMar>
          <w:top w:w="0" w:type="dxa"/>
          <w:left w:w="0" w:type="dxa"/>
          <w:bottom w:w="0" w:type="dxa"/>
          <w:right w:w="0" w:type="dxa"/>
        </w:tblCellMar>
      </w:tblPr>
      <w:tr>
        <w:trPr>
          <w:trHeight w:val="276"/>
        </w:trPr>
        <w:tc>
          <w:tcPr>
            <w:tcW w:w="640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Şekil</w:t>
            </w:r>
            <w:r>
              <w:rPr>
                <w:rFonts w:ascii="Times New Roman" w:cs="Times New Roman" w:eastAsia="Times New Roman" w:hAnsi="Times New Roman"/>
                <w:sz w:val="24"/>
                <w:szCs w:val="24"/>
                <w:b w:val="1"/>
                <w:bCs w:val="1"/>
                <w:color w:val="auto"/>
              </w:rPr>
              <w:t>-2</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Sistemik Mastosit</w:t>
            </w:r>
            <w:r>
              <w:rPr>
                <w:rFonts w:ascii="Times New Roman" w:cs="Times New Roman" w:eastAsia="Times New Roman" w:hAnsi="Times New Roman"/>
                <w:sz w:val="24"/>
                <w:szCs w:val="24"/>
                <w:color w:val="auto"/>
              </w:rPr>
              <w:t>oz Semptom ve Bulguları</w:t>
            </w:r>
          </w:p>
        </w:tc>
        <w:tc>
          <w:tcPr>
            <w:tcW w:w="162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14</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tbl>
      <w:tblPr>
        <w:tblLayout w:type="fixed"/>
        <w:tblInd w:w="800" w:type="dxa"/>
        <w:tblCellMar>
          <w:top w:w="0" w:type="dxa"/>
          <w:left w:w="0" w:type="dxa"/>
          <w:bottom w:w="0" w:type="dxa"/>
          <w:right w:w="0" w:type="dxa"/>
        </w:tblCellMar>
      </w:tblPr>
      <w:tr>
        <w:trPr>
          <w:trHeight w:val="276"/>
        </w:trPr>
        <w:tc>
          <w:tcPr>
            <w:tcW w:w="6280" w:type="dxa"/>
            <w:vAlign w:val="bottom"/>
          </w:tcPr>
          <w:p>
            <w:pPr>
              <w:ind w:left="40"/>
              <w:spacing w:after="0"/>
              <w:rPr>
                <w:sz w:val="20"/>
                <w:szCs w:val="20"/>
                <w:color w:val="auto"/>
              </w:rPr>
            </w:pPr>
            <w:r>
              <w:rPr>
                <w:rFonts w:ascii="Times New Roman" w:cs="Times New Roman" w:eastAsia="Times New Roman" w:hAnsi="Times New Roman"/>
                <w:sz w:val="24"/>
                <w:szCs w:val="24"/>
                <w:b w:val="1"/>
                <w:bCs w:val="1"/>
                <w:color w:val="auto"/>
              </w:rPr>
              <w:t>Şekil</w:t>
            </w:r>
            <w:r>
              <w:rPr>
                <w:rFonts w:ascii="Times New Roman" w:cs="Times New Roman" w:eastAsia="Times New Roman" w:hAnsi="Times New Roman"/>
                <w:sz w:val="24"/>
                <w:szCs w:val="24"/>
                <w:b w:val="1"/>
                <w:bCs w:val="1"/>
                <w:color w:val="auto"/>
              </w:rPr>
              <w:t>-3</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Kaplan Me</w:t>
            </w:r>
            <w:r>
              <w:rPr>
                <w:rFonts w:ascii="Times New Roman" w:cs="Times New Roman" w:eastAsia="Times New Roman" w:hAnsi="Times New Roman"/>
                <w:sz w:val="24"/>
                <w:szCs w:val="24"/>
                <w:color w:val="auto"/>
              </w:rPr>
              <w:t>ier Sağ Kalım Analiz Grafiği</w:t>
            </w:r>
          </w:p>
        </w:tc>
        <w:tc>
          <w:tcPr>
            <w:tcW w:w="2000" w:type="dxa"/>
            <w:vAlign w:val="bottom"/>
          </w:tcPr>
          <w:p>
            <w:pPr>
              <w:jc w:val="right"/>
              <w:ind w:right="100"/>
              <w:spacing w:after="0"/>
              <w:rPr>
                <w:sz w:val="20"/>
                <w:szCs w:val="20"/>
                <w:color w:val="auto"/>
              </w:rPr>
            </w:pPr>
            <w:r>
              <w:rPr>
                <w:rFonts w:ascii="Times New Roman" w:cs="Times New Roman" w:eastAsia="Times New Roman" w:hAnsi="Times New Roman"/>
                <w:sz w:val="24"/>
                <w:szCs w:val="24"/>
                <w:b w:val="1"/>
                <w:bCs w:val="1"/>
                <w:color w:val="auto"/>
              </w:rPr>
              <w:t>38</w:t>
            </w:r>
          </w:p>
        </w:tc>
      </w:tr>
      <w:tr>
        <w:trPr>
          <w:trHeight w:val="875"/>
        </w:trPr>
        <w:tc>
          <w:tcPr>
            <w:tcW w:w="6280" w:type="dxa"/>
            <w:vAlign w:val="bottom"/>
          </w:tcPr>
          <w:p>
            <w:pPr>
              <w:spacing w:after="0"/>
              <w:rPr>
                <w:sz w:val="24"/>
                <w:szCs w:val="24"/>
                <w:color w:val="auto"/>
              </w:rPr>
            </w:pPr>
          </w:p>
        </w:tc>
        <w:tc>
          <w:tcPr>
            <w:tcW w:w="2000" w:type="dxa"/>
            <w:vAlign w:val="bottom"/>
          </w:tcPr>
          <w:p>
            <w:pPr>
              <w:spacing w:after="0"/>
              <w:rPr>
                <w:sz w:val="24"/>
                <w:szCs w:val="24"/>
                <w:color w:val="auto"/>
              </w:rPr>
            </w:pPr>
          </w:p>
        </w:tc>
      </w:tr>
      <w:tr>
        <w:trPr>
          <w:trHeight w:val="3444"/>
        </w:trPr>
        <w:tc>
          <w:tcPr>
            <w:tcW w:w="6280" w:type="dxa"/>
            <w:vAlign w:val="bottom"/>
          </w:tcPr>
          <w:p>
            <w:pPr>
              <w:spacing w:after="0"/>
              <w:rPr>
                <w:sz w:val="24"/>
                <w:szCs w:val="24"/>
                <w:color w:val="auto"/>
              </w:rPr>
            </w:pPr>
          </w:p>
        </w:tc>
        <w:tc>
          <w:tcPr>
            <w:tcW w:w="200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-2059305</wp:posOffset>
            </wp:positionV>
            <wp:extent cx="4699000" cy="18542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80"/>
          </w:cols>
          <w:pgMar w:left="1440" w:top="714" w:right="1386" w:bottom="1440" w:gutter="0" w:footer="0" w:header="0"/>
        </w:sectPr>
      </w:pPr>
    </w:p>
    <w:bookmarkStart w:id="10" w:name="page11"/>
    <w:bookmarkEnd w:id="10"/>
    <w:p>
      <w:pPr>
        <w:jc w:val="right"/>
        <w:spacing w:after="0"/>
        <w:rPr>
          <w:sz w:val="20"/>
          <w:szCs w:val="20"/>
          <w:color w:val="auto"/>
        </w:rPr>
      </w:pPr>
      <w:r>
        <w:rPr>
          <w:rFonts w:ascii="Calibri" w:cs="Calibri" w:eastAsia="Calibri" w:hAnsi="Calibri"/>
          <w:sz w:val="22"/>
          <w:szCs w:val="22"/>
          <w:color w:val="auto"/>
        </w:rPr>
        <w:t>ix</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4100"/>
        <w:spacing w:after="0"/>
        <w:rPr>
          <w:sz w:val="20"/>
          <w:szCs w:val="20"/>
          <w:color w:val="auto"/>
        </w:rPr>
      </w:pPr>
      <w:r>
        <w:rPr>
          <w:rFonts w:ascii="Times New Roman" w:cs="Times New Roman" w:eastAsia="Times New Roman" w:hAnsi="Times New Roman"/>
          <w:sz w:val="24"/>
          <w:szCs w:val="24"/>
          <w:b w:val="1"/>
          <w:bCs w:val="1"/>
          <w:color w:val="auto"/>
        </w:rPr>
        <w:t>TABLO DİZİNİ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tbl>
      <w:tblPr>
        <w:tblLayout w:type="fixed"/>
        <w:tblInd w:w="820" w:type="dxa"/>
        <w:tblCellMar>
          <w:top w:w="0" w:type="dxa"/>
          <w:left w:w="0" w:type="dxa"/>
          <w:bottom w:w="0" w:type="dxa"/>
          <w:right w:w="0" w:type="dxa"/>
        </w:tblCellMar>
      </w:tblPr>
      <w:tr>
        <w:trPr>
          <w:trHeight w:val="276"/>
        </w:trPr>
        <w:tc>
          <w:tcPr>
            <w:tcW w:w="20" w:type="dxa"/>
            <w:vAlign w:val="bottom"/>
          </w:tcPr>
          <w:p>
            <w:pPr>
              <w:spacing w:after="0"/>
              <w:rPr>
                <w:sz w:val="23"/>
                <w:szCs w:val="23"/>
                <w:color w:val="auto"/>
              </w:rPr>
            </w:pPr>
          </w:p>
        </w:tc>
        <w:tc>
          <w:tcPr>
            <w:tcW w:w="746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Tablo 4.1. Demografik Özellikler</w:t>
            </w:r>
          </w:p>
        </w:tc>
        <w:tc>
          <w:tcPr>
            <w:tcW w:w="580" w:type="dxa"/>
            <w:vAlign w:val="bottom"/>
          </w:tcPr>
          <w:p>
            <w:pPr>
              <w:jc w:val="right"/>
              <w:ind w:right="100"/>
              <w:spacing w:after="0"/>
              <w:rPr>
                <w:sz w:val="20"/>
                <w:szCs w:val="20"/>
                <w:color w:val="auto"/>
              </w:rPr>
            </w:pPr>
            <w:r>
              <w:rPr>
                <w:rFonts w:ascii="Times New Roman" w:cs="Times New Roman" w:eastAsia="Times New Roman" w:hAnsi="Times New Roman"/>
                <w:sz w:val="24"/>
                <w:szCs w:val="24"/>
                <w:color w:val="auto"/>
              </w:rPr>
              <w:t>27</w:t>
            </w:r>
          </w:p>
        </w:tc>
      </w:tr>
      <w:tr>
        <w:trPr>
          <w:trHeight w:val="725"/>
        </w:trPr>
        <w:tc>
          <w:tcPr>
            <w:tcW w:w="20" w:type="dxa"/>
            <w:vAlign w:val="bottom"/>
          </w:tcPr>
          <w:p>
            <w:pPr>
              <w:spacing w:after="0"/>
              <w:rPr>
                <w:sz w:val="24"/>
                <w:szCs w:val="24"/>
                <w:color w:val="auto"/>
              </w:rPr>
            </w:pPr>
          </w:p>
        </w:tc>
        <w:tc>
          <w:tcPr>
            <w:tcW w:w="7460" w:type="dxa"/>
            <w:vAlign w:val="bottom"/>
          </w:tcPr>
          <w:p>
            <w:pPr>
              <w:spacing w:after="0"/>
              <w:rPr>
                <w:sz w:val="24"/>
                <w:szCs w:val="24"/>
                <w:color w:val="auto"/>
              </w:rPr>
            </w:pPr>
          </w:p>
        </w:tc>
        <w:tc>
          <w:tcPr>
            <w:tcW w:w="580" w:type="dxa"/>
            <w:vAlign w:val="bottom"/>
          </w:tcPr>
          <w:p>
            <w:pPr>
              <w:spacing w:after="0"/>
              <w:rPr>
                <w:sz w:val="24"/>
                <w:szCs w:val="24"/>
                <w:color w:val="auto"/>
              </w:rPr>
            </w:pPr>
          </w:p>
        </w:tc>
      </w:tr>
      <w:tr>
        <w:trPr>
          <w:trHeight w:val="273"/>
        </w:trPr>
        <w:tc>
          <w:tcPr>
            <w:tcW w:w="20" w:type="dxa"/>
            <w:vAlign w:val="bottom"/>
          </w:tcPr>
          <w:p>
            <w:pPr>
              <w:spacing w:after="0"/>
              <w:rPr>
                <w:sz w:val="23"/>
                <w:szCs w:val="23"/>
                <w:color w:val="auto"/>
              </w:rPr>
            </w:pPr>
          </w:p>
        </w:tc>
        <w:tc>
          <w:tcPr>
            <w:tcW w:w="7460" w:type="dxa"/>
            <w:vAlign w:val="bottom"/>
          </w:tcPr>
          <w:p>
            <w:pPr>
              <w:ind w:left="100"/>
              <w:spacing w:after="0" w:line="273" w:lineRule="exact"/>
              <w:rPr>
                <w:sz w:val="20"/>
                <w:szCs w:val="20"/>
                <w:color w:val="auto"/>
              </w:rPr>
            </w:pPr>
            <w:r>
              <w:rPr>
                <w:rFonts w:ascii="Times New Roman" w:cs="Times New Roman" w:eastAsia="Times New Roman" w:hAnsi="Times New Roman"/>
                <w:sz w:val="24"/>
                <w:szCs w:val="24"/>
                <w:color w:val="auto"/>
              </w:rPr>
              <w:t xml:space="preserve">Tablo 4.2. </w:t>
            </w:r>
            <w:r>
              <w:rPr>
                <w:rFonts w:ascii="Times New Roman" w:cs="Times New Roman" w:eastAsia="Times New Roman" w:hAnsi="Times New Roman"/>
                <w:sz w:val="24"/>
                <w:szCs w:val="24"/>
                <w:color w:val="222222"/>
              </w:rPr>
              <w:t>Hastaların SM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T</w:t>
            </w:r>
            <w:r>
              <w:rPr>
                <w:rFonts w:ascii="Times New Roman" w:cs="Times New Roman" w:eastAsia="Times New Roman" w:hAnsi="Times New Roman"/>
                <w:sz w:val="24"/>
                <w:szCs w:val="24"/>
                <w:color w:val="222222"/>
              </w:rPr>
              <w:t>anısını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A</w:t>
            </w:r>
            <w:r>
              <w:rPr>
                <w:rFonts w:ascii="Times New Roman" w:cs="Times New Roman" w:eastAsia="Times New Roman" w:hAnsi="Times New Roman"/>
                <w:sz w:val="24"/>
                <w:szCs w:val="24"/>
                <w:color w:val="222222"/>
              </w:rPr>
              <w:t>lmasını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K</w:t>
            </w:r>
            <w:r>
              <w:rPr>
                <w:rFonts w:ascii="Times New Roman" w:cs="Times New Roman" w:eastAsia="Times New Roman" w:hAnsi="Times New Roman"/>
                <w:sz w:val="24"/>
                <w:szCs w:val="24"/>
                <w:color w:val="222222"/>
              </w:rPr>
              <w:t>olaylaştıran veya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A</w:t>
            </w:r>
            <w:r>
              <w:rPr>
                <w:rFonts w:ascii="Times New Roman" w:cs="Times New Roman" w:eastAsia="Times New Roman" w:hAnsi="Times New Roman"/>
                <w:sz w:val="24"/>
                <w:szCs w:val="24"/>
                <w:color w:val="222222"/>
              </w:rPr>
              <w:t>lmasına</w:t>
            </w:r>
          </w:p>
        </w:tc>
        <w:tc>
          <w:tcPr>
            <w:tcW w:w="580" w:type="dxa"/>
            <w:vAlign w:val="bottom"/>
          </w:tcPr>
          <w:p>
            <w:pPr>
              <w:jc w:val="right"/>
              <w:ind w:right="100"/>
              <w:spacing w:after="0" w:line="273" w:lineRule="exact"/>
              <w:rPr>
                <w:sz w:val="20"/>
                <w:szCs w:val="20"/>
                <w:color w:val="auto"/>
              </w:rPr>
            </w:pPr>
            <w:r>
              <w:rPr>
                <w:rFonts w:ascii="Times New Roman" w:cs="Times New Roman" w:eastAsia="Times New Roman" w:hAnsi="Times New Roman"/>
                <w:sz w:val="24"/>
                <w:szCs w:val="24"/>
                <w:color w:val="auto"/>
              </w:rPr>
              <w:t>28</w:t>
            </w:r>
          </w:p>
        </w:tc>
      </w:tr>
      <w:tr>
        <w:trPr>
          <w:trHeight w:val="413"/>
        </w:trPr>
        <w:tc>
          <w:tcPr>
            <w:tcW w:w="20" w:type="dxa"/>
            <w:vAlign w:val="bottom"/>
          </w:tcPr>
          <w:p>
            <w:pPr>
              <w:spacing w:after="0"/>
              <w:rPr>
                <w:sz w:val="24"/>
                <w:szCs w:val="24"/>
                <w:color w:val="auto"/>
              </w:rPr>
            </w:pPr>
          </w:p>
        </w:tc>
        <w:tc>
          <w:tcPr>
            <w:tcW w:w="7460" w:type="dxa"/>
            <w:vAlign w:val="bottom"/>
          </w:tcPr>
          <w:p>
            <w:pPr>
              <w:ind w:left="100"/>
              <w:spacing w:after="0"/>
              <w:rPr>
                <w:sz w:val="20"/>
                <w:szCs w:val="20"/>
                <w:color w:val="auto"/>
              </w:rPr>
            </w:pPr>
            <w:r>
              <w:rPr>
                <w:rFonts w:ascii="Times New Roman" w:cs="Times New Roman" w:eastAsia="Times New Roman" w:hAnsi="Times New Roman"/>
                <w:sz w:val="24"/>
                <w:szCs w:val="24"/>
                <w:color w:val="222222"/>
              </w:rPr>
              <w:t>Neden Olan Semptom ve Bulgular</w:t>
            </w:r>
          </w:p>
        </w:tc>
        <w:tc>
          <w:tcPr>
            <w:tcW w:w="580" w:type="dxa"/>
            <w:vAlign w:val="bottom"/>
          </w:tcPr>
          <w:p>
            <w:pPr>
              <w:spacing w:after="0"/>
              <w:rPr>
                <w:sz w:val="24"/>
                <w:szCs w:val="24"/>
                <w:color w:val="auto"/>
              </w:rPr>
            </w:pPr>
          </w:p>
        </w:tc>
      </w:tr>
      <w:tr>
        <w:trPr>
          <w:trHeight w:val="586"/>
        </w:trPr>
        <w:tc>
          <w:tcPr>
            <w:tcW w:w="20" w:type="dxa"/>
            <w:vAlign w:val="bottom"/>
          </w:tcPr>
          <w:p>
            <w:pPr>
              <w:spacing w:after="0"/>
              <w:rPr>
                <w:sz w:val="24"/>
                <w:szCs w:val="24"/>
                <w:color w:val="auto"/>
              </w:rPr>
            </w:pPr>
          </w:p>
        </w:tc>
        <w:tc>
          <w:tcPr>
            <w:tcW w:w="746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 xml:space="preserve">Tablo 4.3. </w:t>
            </w:r>
            <w:r>
              <w:rPr>
                <w:rFonts w:ascii="Times New Roman" w:cs="Times New Roman" w:eastAsia="Times New Roman" w:hAnsi="Times New Roman"/>
                <w:sz w:val="24"/>
                <w:szCs w:val="24"/>
                <w:color w:val="222222"/>
              </w:rPr>
              <w:t>Sistemik Mastositoz Nedeniyle O</w:t>
            </w:r>
            <w:r>
              <w:rPr>
                <w:rFonts w:ascii="Times New Roman" w:cs="Times New Roman" w:eastAsia="Times New Roman" w:hAnsi="Times New Roman"/>
                <w:sz w:val="24"/>
                <w:szCs w:val="24"/>
                <w:color w:val="222222"/>
              </w:rPr>
              <w:t>lduğu</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D</w:t>
            </w:r>
            <w:r>
              <w:rPr>
                <w:rFonts w:ascii="Times New Roman" w:cs="Times New Roman" w:eastAsia="Times New Roman" w:hAnsi="Times New Roman"/>
                <w:sz w:val="24"/>
                <w:szCs w:val="24"/>
                <w:color w:val="222222"/>
              </w:rPr>
              <w:t>üşünülen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Semptom ve</w:t>
            </w:r>
          </w:p>
        </w:tc>
        <w:tc>
          <w:tcPr>
            <w:tcW w:w="580" w:type="dxa"/>
            <w:vAlign w:val="bottom"/>
          </w:tcPr>
          <w:p>
            <w:pPr>
              <w:jc w:val="right"/>
              <w:ind w:right="100"/>
              <w:spacing w:after="0"/>
              <w:rPr>
                <w:sz w:val="20"/>
                <w:szCs w:val="20"/>
                <w:color w:val="auto"/>
              </w:rPr>
            </w:pPr>
            <w:r>
              <w:rPr>
                <w:rFonts w:ascii="Times New Roman" w:cs="Times New Roman" w:eastAsia="Times New Roman" w:hAnsi="Times New Roman"/>
                <w:sz w:val="24"/>
                <w:szCs w:val="24"/>
                <w:color w:val="auto"/>
              </w:rPr>
              <w:t>30</w:t>
            </w:r>
          </w:p>
        </w:tc>
      </w:tr>
      <w:tr>
        <w:trPr>
          <w:trHeight w:val="415"/>
        </w:trPr>
        <w:tc>
          <w:tcPr>
            <w:tcW w:w="20" w:type="dxa"/>
            <w:vAlign w:val="bottom"/>
          </w:tcPr>
          <w:p>
            <w:pPr>
              <w:spacing w:after="0"/>
              <w:rPr>
                <w:sz w:val="24"/>
                <w:szCs w:val="24"/>
                <w:color w:val="auto"/>
              </w:rPr>
            </w:pPr>
          </w:p>
        </w:tc>
        <w:tc>
          <w:tcPr>
            <w:tcW w:w="7460" w:type="dxa"/>
            <w:vAlign w:val="bottom"/>
          </w:tcPr>
          <w:p>
            <w:pPr>
              <w:ind w:left="100"/>
              <w:spacing w:after="0"/>
              <w:rPr>
                <w:sz w:val="20"/>
                <w:szCs w:val="20"/>
                <w:color w:val="auto"/>
              </w:rPr>
            </w:pPr>
            <w:r>
              <w:rPr>
                <w:rFonts w:ascii="Times New Roman" w:cs="Times New Roman" w:eastAsia="Times New Roman" w:hAnsi="Times New Roman"/>
                <w:sz w:val="24"/>
                <w:szCs w:val="24"/>
                <w:color w:val="222222"/>
              </w:rPr>
              <w:t>Bulgular</w:t>
            </w:r>
          </w:p>
        </w:tc>
        <w:tc>
          <w:tcPr>
            <w:tcW w:w="580" w:type="dxa"/>
            <w:vAlign w:val="bottom"/>
          </w:tcPr>
          <w:p>
            <w:pPr>
              <w:spacing w:after="0"/>
              <w:rPr>
                <w:sz w:val="24"/>
                <w:szCs w:val="24"/>
                <w:color w:val="auto"/>
              </w:rPr>
            </w:pPr>
          </w:p>
        </w:tc>
      </w:tr>
      <w:tr>
        <w:trPr>
          <w:trHeight w:val="689"/>
        </w:trPr>
        <w:tc>
          <w:tcPr>
            <w:tcW w:w="20" w:type="dxa"/>
            <w:vAlign w:val="bottom"/>
          </w:tcPr>
          <w:p>
            <w:pPr>
              <w:spacing w:after="0"/>
              <w:rPr>
                <w:sz w:val="24"/>
                <w:szCs w:val="24"/>
                <w:color w:val="auto"/>
              </w:rPr>
            </w:pPr>
          </w:p>
        </w:tc>
        <w:tc>
          <w:tcPr>
            <w:tcW w:w="746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 xml:space="preserve">Tablo 4.4. </w:t>
            </w:r>
            <w:r>
              <w:rPr>
                <w:rFonts w:ascii="Times New Roman" w:cs="Times New Roman" w:eastAsia="Times New Roman" w:hAnsi="Times New Roman"/>
                <w:sz w:val="24"/>
                <w:szCs w:val="24"/>
                <w:color w:val="222222"/>
              </w:rPr>
              <w:t>Sistemik  Mastositoz Majör ve Minör Kriterler</w:t>
            </w:r>
          </w:p>
        </w:tc>
        <w:tc>
          <w:tcPr>
            <w:tcW w:w="580" w:type="dxa"/>
            <w:vAlign w:val="bottom"/>
          </w:tcPr>
          <w:p>
            <w:pPr>
              <w:jc w:val="right"/>
              <w:ind w:right="100"/>
              <w:spacing w:after="0"/>
              <w:rPr>
                <w:sz w:val="20"/>
                <w:szCs w:val="20"/>
                <w:color w:val="auto"/>
              </w:rPr>
            </w:pPr>
            <w:r>
              <w:rPr>
                <w:rFonts w:ascii="Times New Roman" w:cs="Times New Roman" w:eastAsia="Times New Roman" w:hAnsi="Times New Roman"/>
                <w:sz w:val="24"/>
                <w:szCs w:val="24"/>
                <w:color w:val="auto"/>
              </w:rPr>
              <w:t>32</w:t>
            </w:r>
          </w:p>
        </w:tc>
      </w:tr>
      <w:tr>
        <w:trPr>
          <w:trHeight w:val="998"/>
        </w:trPr>
        <w:tc>
          <w:tcPr>
            <w:tcW w:w="20" w:type="dxa"/>
            <w:vAlign w:val="bottom"/>
          </w:tcPr>
          <w:p>
            <w:pPr>
              <w:spacing w:after="0"/>
              <w:rPr>
                <w:sz w:val="24"/>
                <w:szCs w:val="24"/>
                <w:color w:val="auto"/>
              </w:rPr>
            </w:pPr>
          </w:p>
        </w:tc>
        <w:tc>
          <w:tcPr>
            <w:tcW w:w="746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 xml:space="preserve">Tablo 4.5. </w:t>
            </w:r>
            <w:r>
              <w:rPr>
                <w:rFonts w:ascii="Times New Roman" w:cs="Times New Roman" w:eastAsia="Times New Roman" w:hAnsi="Times New Roman"/>
                <w:sz w:val="24"/>
                <w:szCs w:val="24"/>
                <w:color w:val="222222"/>
              </w:rPr>
              <w:t>Hastaların ASM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T</w:t>
            </w:r>
            <w:r>
              <w:rPr>
                <w:rFonts w:ascii="Times New Roman" w:cs="Times New Roman" w:eastAsia="Times New Roman" w:hAnsi="Times New Roman"/>
                <w:sz w:val="24"/>
                <w:szCs w:val="24"/>
                <w:color w:val="222222"/>
              </w:rPr>
              <w:t>anısını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A</w:t>
            </w:r>
            <w:r>
              <w:rPr>
                <w:rFonts w:ascii="Times New Roman" w:cs="Times New Roman" w:eastAsia="Times New Roman" w:hAnsi="Times New Roman"/>
                <w:sz w:val="24"/>
                <w:szCs w:val="24"/>
                <w:color w:val="222222"/>
              </w:rPr>
              <w:t>lmasına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Neden Olan Organ</w:t>
            </w:r>
          </w:p>
        </w:tc>
        <w:tc>
          <w:tcPr>
            <w:tcW w:w="580" w:type="dxa"/>
            <w:vAlign w:val="bottom"/>
          </w:tcPr>
          <w:p>
            <w:pPr>
              <w:jc w:val="right"/>
              <w:ind w:right="100"/>
              <w:spacing w:after="0"/>
              <w:rPr>
                <w:sz w:val="20"/>
                <w:szCs w:val="20"/>
                <w:color w:val="auto"/>
              </w:rPr>
            </w:pPr>
            <w:r>
              <w:rPr>
                <w:rFonts w:ascii="Times New Roman" w:cs="Times New Roman" w:eastAsia="Times New Roman" w:hAnsi="Times New Roman"/>
                <w:sz w:val="24"/>
                <w:szCs w:val="24"/>
                <w:color w:val="auto"/>
              </w:rPr>
              <w:t>33</w:t>
            </w:r>
          </w:p>
        </w:tc>
      </w:tr>
      <w:tr>
        <w:trPr>
          <w:trHeight w:val="415"/>
        </w:trPr>
        <w:tc>
          <w:tcPr>
            <w:tcW w:w="20" w:type="dxa"/>
            <w:vAlign w:val="bottom"/>
          </w:tcPr>
          <w:p>
            <w:pPr>
              <w:spacing w:after="0"/>
              <w:rPr>
                <w:sz w:val="24"/>
                <w:szCs w:val="24"/>
                <w:color w:val="auto"/>
              </w:rPr>
            </w:pPr>
          </w:p>
        </w:tc>
        <w:tc>
          <w:tcPr>
            <w:tcW w:w="7460" w:type="dxa"/>
            <w:vAlign w:val="bottom"/>
          </w:tcPr>
          <w:p>
            <w:pPr>
              <w:ind w:left="100"/>
              <w:spacing w:after="0"/>
              <w:rPr>
                <w:sz w:val="20"/>
                <w:szCs w:val="20"/>
                <w:color w:val="auto"/>
              </w:rPr>
            </w:pPr>
            <w:r>
              <w:rPr>
                <w:rFonts w:ascii="Times New Roman" w:cs="Times New Roman" w:eastAsia="Times New Roman" w:hAnsi="Times New Roman"/>
                <w:sz w:val="24"/>
                <w:szCs w:val="24"/>
                <w:color w:val="222222"/>
              </w:rPr>
              <w:t>Disfonksiyonunun Neden O</w:t>
            </w:r>
            <w:r>
              <w:rPr>
                <w:rFonts w:ascii="Times New Roman" w:cs="Times New Roman" w:eastAsia="Times New Roman" w:hAnsi="Times New Roman"/>
                <w:sz w:val="24"/>
                <w:szCs w:val="24"/>
                <w:color w:val="222222"/>
              </w:rPr>
              <w:t>lduğu</w:t>
            </w:r>
            <w:r>
              <w:rPr>
                <w:rFonts w:ascii="Times New Roman" w:cs="Times New Roman" w:eastAsia="Times New Roman" w:hAnsi="Times New Roman"/>
                <w:sz w:val="24"/>
                <w:szCs w:val="24"/>
                <w:color w:val="222222"/>
              </w:rPr>
              <w:t xml:space="preserve"> Semptom ve B</w:t>
            </w:r>
            <w:r>
              <w:rPr>
                <w:rFonts w:ascii="Times New Roman" w:cs="Times New Roman" w:eastAsia="Times New Roman" w:hAnsi="Times New Roman"/>
                <w:sz w:val="24"/>
                <w:szCs w:val="24"/>
                <w:color w:val="222222"/>
              </w:rPr>
              <w:t>ulgular (C bulguları)</w:t>
            </w:r>
          </w:p>
        </w:tc>
        <w:tc>
          <w:tcPr>
            <w:tcW w:w="580" w:type="dxa"/>
            <w:vAlign w:val="bottom"/>
          </w:tcPr>
          <w:p>
            <w:pPr>
              <w:spacing w:after="0"/>
              <w:rPr>
                <w:sz w:val="24"/>
                <w:szCs w:val="24"/>
                <w:color w:val="auto"/>
              </w:rPr>
            </w:pPr>
          </w:p>
        </w:tc>
      </w:tr>
      <w:tr>
        <w:trPr>
          <w:trHeight w:val="689"/>
        </w:trPr>
        <w:tc>
          <w:tcPr>
            <w:tcW w:w="20" w:type="dxa"/>
            <w:vAlign w:val="bottom"/>
          </w:tcPr>
          <w:p>
            <w:pPr>
              <w:spacing w:after="0"/>
              <w:rPr>
                <w:sz w:val="24"/>
                <w:szCs w:val="24"/>
                <w:color w:val="auto"/>
              </w:rPr>
            </w:pPr>
          </w:p>
        </w:tc>
        <w:tc>
          <w:tcPr>
            <w:tcW w:w="746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 xml:space="preserve">Tablo 4.6. </w:t>
            </w:r>
            <w:r>
              <w:rPr>
                <w:rFonts w:ascii="Times New Roman" w:cs="Times New Roman" w:eastAsia="Times New Roman" w:hAnsi="Times New Roman"/>
                <w:sz w:val="24"/>
                <w:szCs w:val="24"/>
                <w:color w:val="222222"/>
              </w:rPr>
              <w:t>Sistemik Mastositozda Organ Disfonksiyonu</w:t>
            </w:r>
          </w:p>
        </w:tc>
        <w:tc>
          <w:tcPr>
            <w:tcW w:w="580" w:type="dxa"/>
            <w:vAlign w:val="bottom"/>
          </w:tcPr>
          <w:p>
            <w:pPr>
              <w:jc w:val="right"/>
              <w:ind w:right="100"/>
              <w:spacing w:after="0"/>
              <w:rPr>
                <w:sz w:val="20"/>
                <w:szCs w:val="20"/>
                <w:color w:val="auto"/>
              </w:rPr>
            </w:pPr>
            <w:r>
              <w:rPr>
                <w:rFonts w:ascii="Times New Roman" w:cs="Times New Roman" w:eastAsia="Times New Roman" w:hAnsi="Times New Roman"/>
                <w:sz w:val="24"/>
                <w:szCs w:val="24"/>
                <w:color w:val="auto"/>
              </w:rPr>
              <w:t>34</w:t>
            </w:r>
          </w:p>
        </w:tc>
      </w:tr>
      <w:tr>
        <w:trPr>
          <w:trHeight w:val="1001"/>
        </w:trPr>
        <w:tc>
          <w:tcPr>
            <w:tcW w:w="20" w:type="dxa"/>
            <w:vAlign w:val="bottom"/>
          </w:tcPr>
          <w:p>
            <w:pPr>
              <w:spacing w:after="0"/>
              <w:rPr>
                <w:sz w:val="24"/>
                <w:szCs w:val="24"/>
                <w:color w:val="auto"/>
              </w:rPr>
            </w:pPr>
          </w:p>
        </w:tc>
        <w:tc>
          <w:tcPr>
            <w:tcW w:w="746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 xml:space="preserve">Tablo 4.7. </w:t>
            </w:r>
            <w:r>
              <w:rPr>
                <w:rFonts w:ascii="Times New Roman" w:cs="Times New Roman" w:eastAsia="Times New Roman" w:hAnsi="Times New Roman"/>
                <w:sz w:val="24"/>
                <w:szCs w:val="24"/>
                <w:color w:val="222222"/>
              </w:rPr>
              <w:t>Laboratuvar S</w:t>
            </w:r>
            <w:r>
              <w:rPr>
                <w:rFonts w:ascii="Times New Roman" w:cs="Times New Roman" w:eastAsia="Times New Roman" w:hAnsi="Times New Roman"/>
                <w:sz w:val="24"/>
                <w:szCs w:val="24"/>
                <w:color w:val="222222"/>
              </w:rPr>
              <w:t>onuçları</w:t>
            </w:r>
          </w:p>
        </w:tc>
        <w:tc>
          <w:tcPr>
            <w:tcW w:w="580" w:type="dxa"/>
            <w:vAlign w:val="bottom"/>
          </w:tcPr>
          <w:p>
            <w:pPr>
              <w:jc w:val="right"/>
              <w:ind w:right="100"/>
              <w:spacing w:after="0"/>
              <w:rPr>
                <w:sz w:val="20"/>
                <w:szCs w:val="20"/>
                <w:color w:val="auto"/>
              </w:rPr>
            </w:pPr>
            <w:r>
              <w:rPr>
                <w:rFonts w:ascii="Times New Roman" w:cs="Times New Roman" w:eastAsia="Times New Roman" w:hAnsi="Times New Roman"/>
                <w:sz w:val="24"/>
                <w:szCs w:val="24"/>
                <w:color w:val="auto"/>
              </w:rPr>
              <w:t>35</w:t>
            </w:r>
          </w:p>
        </w:tc>
      </w:tr>
      <w:tr>
        <w:trPr>
          <w:trHeight w:val="998"/>
        </w:trPr>
        <w:tc>
          <w:tcPr>
            <w:tcW w:w="20" w:type="dxa"/>
            <w:vAlign w:val="bottom"/>
          </w:tcPr>
          <w:p>
            <w:pPr>
              <w:spacing w:after="0"/>
              <w:rPr>
                <w:sz w:val="24"/>
                <w:szCs w:val="24"/>
                <w:color w:val="auto"/>
              </w:rPr>
            </w:pPr>
          </w:p>
        </w:tc>
        <w:tc>
          <w:tcPr>
            <w:tcW w:w="746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 xml:space="preserve">Tablo 4.8. </w:t>
            </w:r>
            <w:r>
              <w:rPr>
                <w:rFonts w:ascii="Times New Roman" w:cs="Times New Roman" w:eastAsia="Times New Roman" w:hAnsi="Times New Roman"/>
                <w:sz w:val="24"/>
                <w:szCs w:val="24"/>
                <w:color w:val="222222"/>
              </w:rPr>
              <w:t>Sistemik Mastositozda Artan Mediatör Düzeyine Ba</w:t>
            </w:r>
            <w:r>
              <w:rPr>
                <w:rFonts w:ascii="Times New Roman" w:cs="Times New Roman" w:eastAsia="Times New Roman" w:hAnsi="Times New Roman"/>
                <w:sz w:val="24"/>
                <w:szCs w:val="24"/>
                <w:color w:val="222222"/>
              </w:rPr>
              <w:t>ğlı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G</w:t>
            </w:r>
            <w:r>
              <w:rPr>
                <w:rFonts w:ascii="Times New Roman" w:cs="Times New Roman" w:eastAsia="Times New Roman" w:hAnsi="Times New Roman"/>
                <w:sz w:val="24"/>
                <w:szCs w:val="24"/>
                <w:color w:val="222222"/>
              </w:rPr>
              <w:t>elişen</w:t>
            </w:r>
          </w:p>
        </w:tc>
        <w:tc>
          <w:tcPr>
            <w:tcW w:w="580" w:type="dxa"/>
            <w:vAlign w:val="bottom"/>
          </w:tcPr>
          <w:p>
            <w:pPr>
              <w:jc w:val="right"/>
              <w:ind w:right="100"/>
              <w:spacing w:after="0"/>
              <w:rPr>
                <w:sz w:val="20"/>
                <w:szCs w:val="20"/>
                <w:color w:val="auto"/>
              </w:rPr>
            </w:pPr>
            <w:r>
              <w:rPr>
                <w:rFonts w:ascii="Times New Roman" w:cs="Times New Roman" w:eastAsia="Times New Roman" w:hAnsi="Times New Roman"/>
                <w:sz w:val="24"/>
                <w:szCs w:val="24"/>
                <w:color w:val="auto"/>
              </w:rPr>
              <w:t>36</w:t>
            </w:r>
          </w:p>
        </w:tc>
      </w:tr>
      <w:tr>
        <w:trPr>
          <w:trHeight w:val="413"/>
        </w:trPr>
        <w:tc>
          <w:tcPr>
            <w:tcW w:w="20" w:type="dxa"/>
            <w:vAlign w:val="bottom"/>
          </w:tcPr>
          <w:p>
            <w:pPr>
              <w:spacing w:after="0"/>
              <w:rPr>
                <w:sz w:val="24"/>
                <w:szCs w:val="24"/>
                <w:color w:val="auto"/>
              </w:rPr>
            </w:pPr>
          </w:p>
        </w:tc>
        <w:tc>
          <w:tcPr>
            <w:tcW w:w="7460" w:type="dxa"/>
            <w:vAlign w:val="bottom"/>
          </w:tcPr>
          <w:p>
            <w:pPr>
              <w:ind w:left="100"/>
              <w:spacing w:after="0"/>
              <w:rPr>
                <w:sz w:val="20"/>
                <w:szCs w:val="20"/>
                <w:color w:val="auto"/>
              </w:rPr>
            </w:pPr>
            <w:r>
              <w:rPr>
                <w:rFonts w:ascii="Times New Roman" w:cs="Times New Roman" w:eastAsia="Times New Roman" w:hAnsi="Times New Roman"/>
                <w:sz w:val="24"/>
                <w:szCs w:val="24"/>
                <w:color w:val="222222"/>
              </w:rPr>
              <w:t>Semptom ve B</w:t>
            </w:r>
            <w:r>
              <w:rPr>
                <w:rFonts w:ascii="Times New Roman" w:cs="Times New Roman" w:eastAsia="Times New Roman" w:hAnsi="Times New Roman"/>
                <w:sz w:val="24"/>
                <w:szCs w:val="24"/>
                <w:color w:val="222222"/>
              </w:rPr>
              <w:t>ulguların</w:t>
            </w:r>
            <w:r>
              <w:rPr>
                <w:rFonts w:ascii="Times New Roman" w:cs="Times New Roman" w:eastAsia="Times New Roman" w:hAnsi="Times New Roman"/>
                <w:sz w:val="24"/>
                <w:szCs w:val="24"/>
                <w:color w:val="222222"/>
              </w:rPr>
              <w:t xml:space="preserve"> Tedavisi</w:t>
            </w:r>
          </w:p>
        </w:tc>
        <w:tc>
          <w:tcPr>
            <w:tcW w:w="580" w:type="dxa"/>
            <w:vAlign w:val="bottom"/>
          </w:tcPr>
          <w:p>
            <w:pPr>
              <w:spacing w:after="0"/>
              <w:rPr>
                <w:sz w:val="24"/>
                <w:szCs w:val="24"/>
                <w:color w:val="auto"/>
              </w:rPr>
            </w:pPr>
          </w:p>
        </w:tc>
      </w:tr>
      <w:tr>
        <w:trPr>
          <w:trHeight w:val="418"/>
        </w:trPr>
        <w:tc>
          <w:tcPr>
            <w:tcW w:w="20" w:type="dxa"/>
            <w:vAlign w:val="bottom"/>
          </w:tcPr>
          <w:p>
            <w:pPr>
              <w:spacing w:after="0"/>
              <w:rPr>
                <w:sz w:val="24"/>
                <w:szCs w:val="24"/>
                <w:color w:val="auto"/>
              </w:rPr>
            </w:pPr>
          </w:p>
        </w:tc>
        <w:tc>
          <w:tcPr>
            <w:tcW w:w="7460" w:type="dxa"/>
            <w:vAlign w:val="bottom"/>
          </w:tcPr>
          <w:p>
            <w:pPr>
              <w:spacing w:after="0"/>
              <w:rPr>
                <w:sz w:val="24"/>
                <w:szCs w:val="24"/>
                <w:color w:val="auto"/>
              </w:rPr>
            </w:pPr>
          </w:p>
        </w:tc>
        <w:tc>
          <w:tcPr>
            <w:tcW w:w="580" w:type="dxa"/>
            <w:vAlign w:val="bottom"/>
          </w:tcPr>
          <w:p>
            <w:pPr>
              <w:spacing w:after="0"/>
              <w:rPr>
                <w:sz w:val="24"/>
                <w:szCs w:val="24"/>
                <w:color w:val="auto"/>
              </w:rPr>
            </w:pPr>
          </w:p>
        </w:tc>
      </w:tr>
      <w:tr>
        <w:trPr>
          <w:trHeight w:val="273"/>
        </w:trPr>
        <w:tc>
          <w:tcPr>
            <w:tcW w:w="20" w:type="dxa"/>
            <w:vAlign w:val="bottom"/>
          </w:tcPr>
          <w:p>
            <w:pPr>
              <w:spacing w:after="0"/>
              <w:rPr>
                <w:sz w:val="23"/>
                <w:szCs w:val="23"/>
                <w:color w:val="auto"/>
              </w:rPr>
            </w:pPr>
          </w:p>
        </w:tc>
        <w:tc>
          <w:tcPr>
            <w:tcW w:w="7460" w:type="dxa"/>
            <w:vAlign w:val="bottom"/>
          </w:tcPr>
          <w:p>
            <w:pPr>
              <w:ind w:left="100"/>
              <w:spacing w:after="0" w:line="273" w:lineRule="exact"/>
              <w:rPr>
                <w:sz w:val="20"/>
                <w:szCs w:val="20"/>
                <w:color w:val="auto"/>
              </w:rPr>
            </w:pPr>
            <w:r>
              <w:rPr>
                <w:rFonts w:ascii="Times New Roman" w:cs="Times New Roman" w:eastAsia="Times New Roman" w:hAnsi="Times New Roman"/>
                <w:sz w:val="24"/>
                <w:szCs w:val="24"/>
                <w:color w:val="auto"/>
              </w:rPr>
              <w:t xml:space="preserve">Tablo 4.9. </w:t>
            </w:r>
            <w:r>
              <w:rPr>
                <w:rFonts w:ascii="Times New Roman" w:cs="Times New Roman" w:eastAsia="Times New Roman" w:hAnsi="Times New Roman"/>
                <w:sz w:val="24"/>
                <w:szCs w:val="24"/>
                <w:color w:val="222222"/>
              </w:rPr>
              <w:t>Sitoredüktif ve Hedefe Yönelik Tedaviler</w:t>
            </w:r>
          </w:p>
        </w:tc>
        <w:tc>
          <w:tcPr>
            <w:tcW w:w="580" w:type="dxa"/>
            <w:vAlign w:val="bottom"/>
          </w:tcPr>
          <w:p>
            <w:pPr>
              <w:jc w:val="right"/>
              <w:ind w:right="100"/>
              <w:spacing w:after="0" w:line="273" w:lineRule="exact"/>
              <w:rPr>
                <w:sz w:val="20"/>
                <w:szCs w:val="20"/>
                <w:color w:val="auto"/>
              </w:rPr>
            </w:pPr>
            <w:r>
              <w:rPr>
                <w:rFonts w:ascii="Times New Roman" w:cs="Times New Roman" w:eastAsia="Times New Roman" w:hAnsi="Times New Roman"/>
                <w:sz w:val="24"/>
                <w:szCs w:val="24"/>
                <w:color w:val="auto"/>
              </w:rPr>
              <w:t>37</w:t>
            </w:r>
          </w:p>
        </w:tc>
      </w:tr>
      <w:tr>
        <w:trPr>
          <w:trHeight w:val="1311"/>
        </w:trPr>
        <w:tc>
          <w:tcPr>
            <w:tcW w:w="20" w:type="dxa"/>
            <w:vAlign w:val="bottom"/>
            <w:tcBorders>
              <w:bottom w:val="single" w:sz="8" w:color="auto"/>
            </w:tcBorders>
          </w:tcPr>
          <w:p>
            <w:pPr>
              <w:spacing w:after="0"/>
              <w:rPr>
                <w:sz w:val="24"/>
                <w:szCs w:val="24"/>
                <w:color w:val="auto"/>
              </w:rPr>
            </w:pPr>
          </w:p>
        </w:tc>
        <w:tc>
          <w:tcPr>
            <w:tcW w:w="746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-4655185</wp:posOffset>
            </wp:positionV>
            <wp:extent cx="4699000" cy="18542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14" w:right="1406" w:bottom="1440" w:gutter="0" w:footer="0" w:header="0"/>
        </w:sectPr>
      </w:pPr>
    </w:p>
    <w:bookmarkStart w:id="11" w:name="page12"/>
    <w:bookmarkEnd w:id="11"/>
    <w:p>
      <w:pPr>
        <w:ind w:left="8940"/>
        <w:spacing w:after="0"/>
        <w:rPr>
          <w:sz w:val="20"/>
          <w:szCs w:val="20"/>
          <w:color w:val="auto"/>
        </w:rPr>
      </w:pPr>
      <w:r>
        <w:rPr>
          <w:rFonts w:ascii="Calibri" w:cs="Calibri" w:eastAsia="Calibri" w:hAnsi="Calibri"/>
          <w:sz w:val="22"/>
          <w:szCs w:val="22"/>
          <w:color w:val="auto"/>
        </w:rPr>
        <w:t>1</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3960" w:hanging="364"/>
        <w:spacing w:after="0"/>
        <w:tabs>
          <w:tab w:leader="none" w:pos="3960" w:val="left"/>
        </w:tabs>
        <w:numPr>
          <w:ilvl w:val="0"/>
          <w:numId w:val="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GİRİŞ ve AMAÇ</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both"/>
        <w:ind w:left="840" w:firstLine="708"/>
        <w:spacing w:after="0" w:line="354" w:lineRule="auto"/>
        <w:rPr>
          <w:sz w:val="20"/>
          <w:szCs w:val="20"/>
          <w:color w:val="auto"/>
        </w:rPr>
      </w:pPr>
      <w:r>
        <w:rPr>
          <w:rFonts w:ascii="Times New Roman" w:cs="Times New Roman" w:eastAsia="Times New Roman" w:hAnsi="Times New Roman"/>
          <w:sz w:val="24"/>
          <w:szCs w:val="24"/>
          <w:color w:val="auto"/>
        </w:rPr>
        <w:t xml:space="preserve">Mastositoz bir veya daha fazla organ sisteminde hem immünfenotip hem de morfolojik olarak anormal </w:t>
      </w:r>
      <w:r>
        <w:rPr>
          <w:rFonts w:ascii="Times New Roman" w:cs="Times New Roman" w:eastAsia="Times New Roman" w:hAnsi="Times New Roman"/>
          <w:sz w:val="24"/>
          <w:szCs w:val="24"/>
          <w:color w:val="auto"/>
        </w:rPr>
        <w:t>mast hücrelerinin aşırı bir biçimde çoğalma ve</w:t>
      </w:r>
      <w:r>
        <w:rPr>
          <w:rFonts w:ascii="Times New Roman" w:cs="Times New Roman" w:eastAsia="Times New Roman" w:hAnsi="Times New Roman"/>
          <w:sz w:val="24"/>
          <w:szCs w:val="24"/>
          <w:color w:val="auto"/>
        </w:rPr>
        <w:t xml:space="preserve"> birikmesiyle karakterize nadir görülen klonal bir neoplazidir (1-3).</w:t>
      </w:r>
    </w:p>
    <w:p>
      <w:pPr>
        <w:spacing w:after="0" w:line="180" w:lineRule="exact"/>
        <w:rPr>
          <w:sz w:val="20"/>
          <w:szCs w:val="20"/>
          <w:color w:val="auto"/>
        </w:rPr>
      </w:pPr>
    </w:p>
    <w:p>
      <w:pPr>
        <w:jc w:val="both"/>
        <w:ind w:left="840" w:firstLine="708"/>
        <w:spacing w:after="0" w:line="358" w:lineRule="auto"/>
        <w:rPr>
          <w:sz w:val="20"/>
          <w:szCs w:val="20"/>
          <w:color w:val="auto"/>
        </w:rPr>
      </w:pPr>
      <w:r>
        <w:rPr>
          <w:rFonts w:ascii="Times New Roman" w:cs="Times New Roman" w:eastAsia="Times New Roman" w:hAnsi="Times New Roman"/>
          <w:sz w:val="24"/>
          <w:szCs w:val="24"/>
          <w:color w:val="auto"/>
        </w:rPr>
        <w:t xml:space="preserve">Mastositoz; sistemik mastositoz(SM) ve kütanöz mastositoz olmak üzere </w:t>
      </w:r>
      <w:r>
        <w:rPr>
          <w:rFonts w:ascii="Times New Roman" w:cs="Times New Roman" w:eastAsia="Times New Roman" w:hAnsi="Times New Roman"/>
          <w:sz w:val="24"/>
          <w:szCs w:val="24"/>
          <w:color w:val="auto"/>
        </w:rPr>
        <w:t>ikiye ayrılır. Mastositoz hem erişkin hem de çocukluk çağında görülebilir. Çocukluk çağında vakaların %80’i ilk 1 yıl içinde ve cilde sınırlı prezente olur. Genellikle kendi kendini sınırlar ve adölesan dönemde de tamame</w:t>
      </w:r>
      <w:r>
        <w:rPr>
          <w:rFonts w:ascii="Times New Roman" w:cs="Times New Roman" w:eastAsia="Times New Roman" w:hAnsi="Times New Roman"/>
          <w:sz w:val="24"/>
          <w:szCs w:val="24"/>
          <w:color w:val="auto"/>
        </w:rPr>
        <w:t>n düzelir (4-7).</w:t>
      </w:r>
      <w:r>
        <w:rPr>
          <w:rFonts w:ascii="Times New Roman" w:cs="Times New Roman" w:eastAsia="Times New Roman" w:hAnsi="Times New Roman"/>
          <w:sz w:val="24"/>
          <w:szCs w:val="24"/>
          <w:color w:val="auto"/>
        </w:rPr>
        <w:t xml:space="preserve"> Erişkinlerde ise hastalık daha çok ekstrakütanöz tutulum ile karakterize çoklu organ yetmezliği ile seyredebilen ve azalmış sağ kalıma neden olan </w:t>
      </w:r>
      <w:r>
        <w:rPr>
          <w:rFonts w:ascii="Times New Roman" w:cs="Times New Roman" w:eastAsia="Times New Roman" w:hAnsi="Times New Roman"/>
          <w:sz w:val="24"/>
          <w:szCs w:val="24"/>
          <w:color w:val="auto"/>
        </w:rPr>
        <w:t>SM</w:t>
      </w:r>
      <w:r>
        <w:rPr>
          <w:rFonts w:ascii="Times New Roman" w:cs="Times New Roman" w:eastAsia="Times New Roman" w:hAnsi="Times New Roman"/>
          <w:sz w:val="24"/>
          <w:szCs w:val="24"/>
          <w:color w:val="auto"/>
        </w:rPr>
        <w:t xml:space="preserve"> şeklinde seyretmektedir </w:t>
      </w:r>
      <w:r>
        <w:rPr>
          <w:rFonts w:ascii="Times New Roman" w:cs="Times New Roman" w:eastAsia="Times New Roman" w:hAnsi="Times New Roman"/>
          <w:sz w:val="24"/>
          <w:szCs w:val="24"/>
          <w:color w:val="auto"/>
        </w:rPr>
        <w:t>(8).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-513080</wp:posOffset>
            </wp:positionV>
            <wp:extent cx="4699000" cy="18542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55" w:lineRule="exact"/>
        <w:rPr>
          <w:sz w:val="20"/>
          <w:szCs w:val="20"/>
          <w:color w:val="auto"/>
        </w:rPr>
      </w:pPr>
    </w:p>
    <w:p>
      <w:pPr>
        <w:jc w:val="both"/>
        <w:ind w:left="840" w:firstLine="708"/>
        <w:spacing w:after="0" w:line="354" w:lineRule="auto"/>
        <w:rPr>
          <w:sz w:val="20"/>
          <w:szCs w:val="20"/>
          <w:color w:val="auto"/>
        </w:rPr>
      </w:pPr>
      <w:r>
        <w:rPr>
          <w:rFonts w:ascii="Times New Roman" w:cs="Times New Roman" w:eastAsia="Times New Roman" w:hAnsi="Times New Roman"/>
          <w:sz w:val="24"/>
          <w:szCs w:val="24"/>
          <w:color w:val="auto"/>
        </w:rPr>
        <w:t xml:space="preserve">SM </w:t>
      </w:r>
      <w:r>
        <w:rPr>
          <w:rFonts w:ascii="Times New Roman" w:cs="Times New Roman" w:eastAsia="Times New Roman" w:hAnsi="Times New Roman"/>
          <w:sz w:val="24"/>
          <w:szCs w:val="24"/>
          <w:color w:val="auto"/>
        </w:rPr>
        <w:t>neoplastik mast hücrelerinin dalak, karaciğer,</w:t>
      </w:r>
      <w:r>
        <w:rPr>
          <w:rFonts w:ascii="Times New Roman" w:cs="Times New Roman" w:eastAsia="Times New Roman" w:hAnsi="Times New Roman"/>
          <w:sz w:val="24"/>
          <w:szCs w:val="24"/>
          <w:color w:val="auto"/>
        </w:rPr>
        <w:t xml:space="preserve"> gastrointestinal sistem ve </w:t>
      </w:r>
      <w:r>
        <w:rPr>
          <w:rFonts w:ascii="Times New Roman" w:cs="Times New Roman" w:eastAsia="Times New Roman" w:hAnsi="Times New Roman"/>
          <w:sz w:val="24"/>
          <w:szCs w:val="24"/>
          <w:color w:val="auto"/>
        </w:rPr>
        <w:t xml:space="preserve">kemik iliği gibi çeşitli </w:t>
      </w:r>
      <w:r>
        <w:rPr>
          <w:rFonts w:ascii="Times New Roman" w:cs="Times New Roman" w:eastAsia="Times New Roman" w:hAnsi="Times New Roman"/>
          <w:sz w:val="24"/>
          <w:szCs w:val="24"/>
          <w:color w:val="auto"/>
        </w:rPr>
        <w:t>organ sistemlerini diffüz veya fokal infiltre etmesiyle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karakterizedir (2, 9-11).</w:t>
      </w:r>
    </w:p>
    <w:p>
      <w:pPr>
        <w:spacing w:after="0" w:line="180" w:lineRule="exact"/>
        <w:rPr>
          <w:sz w:val="20"/>
          <w:szCs w:val="20"/>
          <w:color w:val="auto"/>
        </w:rPr>
      </w:pPr>
    </w:p>
    <w:p>
      <w:pPr>
        <w:jc w:val="both"/>
        <w:ind w:left="840" w:firstLine="708"/>
        <w:spacing w:after="0" w:line="356" w:lineRule="auto"/>
        <w:rPr>
          <w:sz w:val="20"/>
          <w:szCs w:val="20"/>
          <w:color w:val="auto"/>
        </w:rPr>
      </w:pPr>
      <w:r>
        <w:rPr>
          <w:rFonts w:ascii="Times New Roman" w:cs="Times New Roman" w:eastAsia="Times New Roman" w:hAnsi="Times New Roman"/>
          <w:sz w:val="24"/>
          <w:szCs w:val="24"/>
          <w:color w:val="auto"/>
        </w:rPr>
        <w:t xml:space="preserve">SM, ürtikeryal lezyonlar, </w:t>
      </w:r>
      <w:r>
        <w:rPr>
          <w:rFonts w:ascii="Times New Roman" w:cs="Times New Roman" w:eastAsia="Times New Roman" w:hAnsi="Times New Roman"/>
          <w:sz w:val="24"/>
          <w:szCs w:val="24"/>
          <w:color w:val="auto"/>
        </w:rPr>
        <w:t>kaşıntı, yüzde kızarma, anafilaksi, nefes darlığı,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bulantı</w:t>
      </w:r>
      <w:r>
        <w:rPr>
          <w:rFonts w:ascii="Times New Roman" w:cs="Times New Roman" w:eastAsia="Times New Roman" w:hAnsi="Times New Roman"/>
          <w:sz w:val="24"/>
          <w:szCs w:val="24"/>
          <w:color w:val="auto"/>
        </w:rPr>
        <w:t>-kusma, ishal, sekonder osteoporoz, depresyon, kognitif disfonksiyon ,</w:t>
      </w:r>
      <w:r>
        <w:rPr>
          <w:rFonts w:ascii="Times New Roman" w:cs="Times New Roman" w:eastAsia="Times New Roman" w:hAnsi="Times New Roman"/>
          <w:sz w:val="24"/>
          <w:szCs w:val="24"/>
          <w:color w:val="auto"/>
        </w:rPr>
        <w:t xml:space="preserve"> artmış uyuklama hissi, kas iskelet ağrısı, anksiyete ve konstitüsyonel semptomlar gibi mediator salınımı nedeniyle oluşan semptomlara </w:t>
      </w:r>
      <w:r>
        <w:rPr>
          <w:rFonts w:ascii="Times New Roman" w:cs="Times New Roman" w:eastAsia="Times New Roman" w:hAnsi="Times New Roman"/>
          <w:sz w:val="24"/>
          <w:szCs w:val="24"/>
          <w:color w:val="auto"/>
        </w:rPr>
        <w:t>ve bulgulara neden olabilir(12-14).</w:t>
      </w:r>
    </w:p>
    <w:p>
      <w:pPr>
        <w:spacing w:after="0" w:line="180" w:lineRule="exact"/>
        <w:rPr>
          <w:sz w:val="20"/>
          <w:szCs w:val="20"/>
          <w:color w:val="auto"/>
        </w:rPr>
      </w:pPr>
    </w:p>
    <w:p>
      <w:pPr>
        <w:jc w:val="both"/>
        <w:ind w:left="840" w:firstLine="708"/>
        <w:spacing w:after="0" w:line="356" w:lineRule="auto"/>
        <w:rPr>
          <w:sz w:val="20"/>
          <w:szCs w:val="20"/>
          <w:color w:val="auto"/>
        </w:rPr>
      </w:pPr>
      <w:r>
        <w:rPr>
          <w:rFonts w:ascii="Times New Roman" w:cs="Times New Roman" w:eastAsia="Times New Roman" w:hAnsi="Times New Roman"/>
          <w:sz w:val="24"/>
          <w:szCs w:val="24"/>
          <w:color w:val="auto"/>
        </w:rPr>
        <w:t xml:space="preserve">Bu çalışmada klinik olarak farklı semptom ve bulgular </w:t>
      </w:r>
      <w:r>
        <w:rPr>
          <w:rFonts w:ascii="Times New Roman" w:cs="Times New Roman" w:eastAsia="Times New Roman" w:hAnsi="Times New Roman"/>
          <w:sz w:val="24"/>
          <w:szCs w:val="24"/>
          <w:color w:val="auto"/>
        </w:rPr>
        <w:t>ile karakterize nadir</w:t>
      </w:r>
      <w:r>
        <w:rPr>
          <w:rFonts w:ascii="Times New Roman" w:cs="Times New Roman" w:eastAsia="Times New Roman" w:hAnsi="Times New Roman"/>
          <w:sz w:val="24"/>
          <w:szCs w:val="24"/>
          <w:color w:val="auto"/>
        </w:rPr>
        <w:t xml:space="preserve"> bir hastalık olan </w:t>
      </w:r>
      <w:r>
        <w:rPr>
          <w:rFonts w:ascii="Times New Roman" w:cs="Times New Roman" w:eastAsia="Times New Roman" w:hAnsi="Times New Roman"/>
          <w:sz w:val="24"/>
          <w:szCs w:val="24"/>
          <w:color w:val="auto"/>
        </w:rPr>
        <w:t>SM</w:t>
      </w:r>
      <w:r>
        <w:rPr>
          <w:rFonts w:ascii="Times New Roman" w:cs="Times New Roman" w:eastAsia="Times New Roman" w:hAnsi="Times New Roman"/>
          <w:sz w:val="24"/>
          <w:szCs w:val="24"/>
          <w:color w:val="auto"/>
        </w:rPr>
        <w:t xml:space="preserve"> tanısı almış ve kliniğimizde takip edilmiş olan hastalar retrospektif olarak klinik ve demografik özellikler, laboratuvar bulguları ve tedavi durumları açısından incelenecektir.</w:t>
      </w:r>
    </w:p>
    <w:p>
      <w:pPr>
        <w:sectPr>
          <w:pgSz w:w="11900" w:h="16838" w:orient="portrait"/>
          <w:cols w:equalWidth="0" w:num="1">
            <w:col w:w="9060"/>
          </w:cols>
          <w:pgMar w:left="1440" w:top="714" w:right="1406" w:bottom="1440" w:gutter="0" w:footer="0" w:header="0"/>
        </w:sectPr>
      </w:pPr>
    </w:p>
    <w:bookmarkStart w:id="12" w:name="page13"/>
    <w:bookmarkEnd w:id="12"/>
    <w:p>
      <w:pPr>
        <w:ind w:left="8940"/>
        <w:spacing w:after="0"/>
        <w:rPr>
          <w:sz w:val="20"/>
          <w:szCs w:val="20"/>
          <w:color w:val="auto"/>
        </w:rPr>
      </w:pPr>
      <w:r>
        <w:rPr>
          <w:rFonts w:ascii="Calibri" w:cs="Calibri" w:eastAsia="Calibri" w:hAnsi="Calibri"/>
          <w:sz w:val="22"/>
          <w:szCs w:val="22"/>
          <w:color w:val="auto"/>
        </w:rPr>
        <w:t>2</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3040"/>
        <w:spacing w:after="0"/>
        <w:rPr>
          <w:sz w:val="20"/>
          <w:szCs w:val="20"/>
          <w:color w:val="auto"/>
        </w:rPr>
      </w:pPr>
      <w:r>
        <w:rPr>
          <w:rFonts w:ascii="Times New Roman" w:cs="Times New Roman" w:eastAsia="Times New Roman" w:hAnsi="Times New Roman"/>
          <w:sz w:val="24"/>
          <w:szCs w:val="24"/>
          <w:b w:val="1"/>
          <w:bCs w:val="1"/>
          <w:color w:val="auto"/>
        </w:rPr>
        <w:t>2. GENEL BİLGİLER</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auto"/>
        </w:rPr>
        <w:t xml:space="preserve">2.1. </w:t>
      </w:r>
      <w:r>
        <w:rPr>
          <w:rFonts w:ascii="Times New Roman" w:cs="Times New Roman" w:eastAsia="Times New Roman" w:hAnsi="Times New Roman"/>
          <w:sz w:val="24"/>
          <w:szCs w:val="24"/>
          <w:b w:val="1"/>
          <w:bCs w:val="1"/>
          <w:color w:val="auto"/>
        </w:rPr>
        <w:t>Mast Hücre Fonksiyonu ve Gelişimi:</w:t>
      </w: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both"/>
        <w:ind w:left="840" w:firstLine="917"/>
        <w:spacing w:after="0" w:line="354" w:lineRule="auto"/>
        <w:rPr>
          <w:sz w:val="20"/>
          <w:szCs w:val="20"/>
          <w:color w:val="auto"/>
        </w:rPr>
      </w:pPr>
      <w:r>
        <w:rPr>
          <w:rFonts w:ascii="Times New Roman" w:cs="Times New Roman" w:eastAsia="Times New Roman" w:hAnsi="Times New Roman"/>
          <w:sz w:val="24"/>
          <w:szCs w:val="24"/>
          <w:color w:val="auto"/>
        </w:rPr>
        <w:t xml:space="preserve">Mast hücreleri </w:t>
      </w:r>
      <w:r>
        <w:rPr>
          <w:rFonts w:ascii="Times New Roman" w:cs="Times New Roman" w:eastAsia="Times New Roman" w:hAnsi="Times New Roman"/>
          <w:sz w:val="24"/>
          <w:szCs w:val="24"/>
          <w:color w:val="auto"/>
        </w:rPr>
        <w:t>farklı sayılarda da olsa hemen hemen tüm dokularda</w:t>
      </w:r>
      <w:r>
        <w:rPr>
          <w:rFonts w:ascii="Times New Roman" w:cs="Times New Roman" w:eastAsia="Times New Roman" w:hAnsi="Times New Roman"/>
          <w:sz w:val="24"/>
          <w:szCs w:val="24"/>
          <w:color w:val="auto"/>
        </w:rPr>
        <w:t xml:space="preserve"> bulunurlar. </w:t>
      </w:r>
      <w:r>
        <w:rPr>
          <w:rFonts w:ascii="Times New Roman" w:cs="Times New Roman" w:eastAsia="Times New Roman" w:hAnsi="Times New Roman"/>
          <w:sz w:val="24"/>
          <w:szCs w:val="24"/>
          <w:color w:val="222222"/>
        </w:rPr>
        <w:t>S</w:t>
      </w:r>
      <w:r>
        <w:rPr>
          <w:rFonts w:ascii="Times New Roman" w:cs="Times New Roman" w:eastAsia="Times New Roman" w:hAnsi="Times New Roman"/>
          <w:sz w:val="24"/>
          <w:szCs w:val="24"/>
          <w:color w:val="222222"/>
        </w:rPr>
        <w:t>olunum, sindirim ve ürogenital sistemleri kaplayan mukozal zarların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 xml:space="preserve">içine girerek vücudun giriş portallarında </w:t>
      </w:r>
      <w:r>
        <w:rPr>
          <w:rFonts w:ascii="Times New Roman" w:cs="Times New Roman" w:eastAsia="Times New Roman" w:hAnsi="Times New Roman"/>
          <w:sz w:val="24"/>
          <w:szCs w:val="24"/>
          <w:color w:val="222222"/>
        </w:rPr>
        <w:t>koruyucu</w:t>
      </w:r>
      <w:r>
        <w:rPr>
          <w:rFonts w:ascii="Times New Roman" w:cs="Times New Roman" w:eastAsia="Times New Roman" w:hAnsi="Times New Roman"/>
          <w:sz w:val="24"/>
          <w:szCs w:val="24"/>
          <w:color w:val="222222"/>
        </w:rPr>
        <w:t xml:space="preserve"> olarak konumlandırılırlar </w:t>
      </w:r>
      <w:r>
        <w:rPr>
          <w:rFonts w:ascii="Times New Roman" w:cs="Times New Roman" w:eastAsia="Times New Roman" w:hAnsi="Times New Roman"/>
          <w:sz w:val="24"/>
          <w:szCs w:val="24"/>
          <w:color w:val="222222"/>
        </w:rPr>
        <w:t>(15-17).</w:t>
      </w:r>
    </w:p>
    <w:p>
      <w:pPr>
        <w:spacing w:after="0" w:line="200" w:lineRule="exact"/>
        <w:rPr>
          <w:sz w:val="20"/>
          <w:szCs w:val="20"/>
          <w:color w:val="auto"/>
        </w:rPr>
      </w:pPr>
    </w:p>
    <w:p>
      <w:pPr>
        <w:spacing w:after="0" w:line="235" w:lineRule="exact"/>
        <w:rPr>
          <w:sz w:val="20"/>
          <w:szCs w:val="20"/>
          <w:color w:val="auto"/>
        </w:rPr>
      </w:pPr>
    </w:p>
    <w:p>
      <w:pPr>
        <w:jc w:val="both"/>
        <w:ind w:left="840" w:firstLine="917"/>
        <w:spacing w:after="0" w:line="358" w:lineRule="auto"/>
        <w:rPr>
          <w:sz w:val="20"/>
          <w:szCs w:val="20"/>
          <w:color w:val="auto"/>
        </w:rPr>
      </w:pPr>
      <w:r>
        <w:rPr>
          <w:rFonts w:ascii="Times New Roman" w:cs="Times New Roman" w:eastAsia="Times New Roman" w:hAnsi="Times New Roman"/>
          <w:sz w:val="24"/>
          <w:szCs w:val="24"/>
          <w:color w:val="222222"/>
        </w:rPr>
        <w:t>Mast h</w:t>
      </w:r>
      <w:r>
        <w:rPr>
          <w:rFonts w:ascii="Times New Roman" w:cs="Times New Roman" w:eastAsia="Times New Roman" w:hAnsi="Times New Roman"/>
          <w:sz w:val="24"/>
          <w:szCs w:val="24"/>
          <w:color w:val="222222"/>
        </w:rPr>
        <w:t>ücreleri kemik iliği ve dalakta yerleşik bulunan pluripotent CD34</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kök hücrelerden köken alır </w:t>
      </w:r>
      <w:r>
        <w:rPr>
          <w:rFonts w:ascii="Times New Roman" w:cs="Times New Roman" w:eastAsia="Times New Roman" w:hAnsi="Times New Roman"/>
          <w:sz w:val="24"/>
          <w:szCs w:val="24"/>
          <w:color w:val="222222"/>
        </w:rPr>
        <w:t>(18-20). Mi</w:t>
      </w:r>
      <w:r>
        <w:rPr>
          <w:rFonts w:ascii="Times New Roman" w:cs="Times New Roman" w:eastAsia="Times New Roman" w:hAnsi="Times New Roman"/>
          <w:sz w:val="24"/>
          <w:szCs w:val="24"/>
          <w:color w:val="222222"/>
        </w:rPr>
        <w:t xml:space="preserve">yeloid yolak üzerinden gelişim basamaklarını </w:t>
      </w:r>
      <w:r>
        <w:rPr>
          <w:rFonts w:ascii="Times New Roman" w:cs="Times New Roman" w:eastAsia="Times New Roman" w:hAnsi="Times New Roman"/>
          <w:sz w:val="24"/>
          <w:szCs w:val="24"/>
          <w:color w:val="222222"/>
        </w:rPr>
        <w:t xml:space="preserve">tamamlarlar. Mast hücre progenitörleri </w:t>
      </w:r>
      <w:r>
        <w:rPr>
          <w:rFonts w:ascii="Times New Roman" w:cs="Times New Roman" w:eastAsia="Times New Roman" w:hAnsi="Times New Roman"/>
          <w:sz w:val="24"/>
          <w:szCs w:val="24"/>
          <w:color w:val="222222"/>
        </w:rPr>
        <w:t>hematopoietik dokudan ayrıldıklarında bu</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hücrelerden bazıları birden fazla hücre türüne farklılaşabilme yetisine sahipken bazıları yalnızca </w:t>
      </w:r>
      <w:r>
        <w:rPr>
          <w:rFonts w:ascii="Times New Roman" w:cs="Times New Roman" w:eastAsia="Times New Roman" w:hAnsi="Times New Roman"/>
          <w:sz w:val="24"/>
          <w:szCs w:val="24"/>
          <w:color w:val="222222"/>
        </w:rPr>
        <w:t>mast h</w:t>
      </w:r>
      <w:r>
        <w:rPr>
          <w:rFonts w:ascii="Times New Roman" w:cs="Times New Roman" w:eastAsia="Times New Roman" w:hAnsi="Times New Roman"/>
          <w:sz w:val="24"/>
          <w:szCs w:val="24"/>
          <w:color w:val="222222"/>
        </w:rPr>
        <w:t xml:space="preserve">ücrelerine farklılaşabilmektedir </w:t>
      </w:r>
      <w:r>
        <w:rPr>
          <w:rFonts w:ascii="Times New Roman" w:cs="Times New Roman" w:eastAsia="Times New Roman" w:hAnsi="Times New Roman"/>
          <w:sz w:val="24"/>
          <w:szCs w:val="24"/>
          <w:color w:val="222222"/>
        </w:rPr>
        <w:t>(21, 22).</w:t>
      </w:r>
      <w:r>
        <w:rPr>
          <w:rFonts w:ascii="Times New Roman" w:cs="Times New Roman" w:eastAsia="Times New Roman" w:hAnsi="Times New Roman"/>
          <w:sz w:val="24"/>
          <w:szCs w:val="24"/>
          <w:color w:val="222222"/>
        </w:rPr>
        <w:t xml:space="preserve"> Dolaşıma çıkan bu hücrelerin farklı dokulara göç edip o dokularda yerleşerek prolifere oldukları bilinmektedir. Bu dokulara göç etme ve bu dokularda farklılaşıp çoğalma süreçleri </w:t>
      </w:r>
      <w:r>
        <w:rPr>
          <w:rFonts w:ascii="Times New Roman" w:cs="Times New Roman" w:eastAsia="Times New Roman" w:hAnsi="Times New Roman"/>
          <w:sz w:val="24"/>
          <w:szCs w:val="24"/>
          <w:color w:val="222222"/>
        </w:rPr>
        <w:t xml:space="preserve">sitokinler, büyüme faktörleri, kemokinler ve spesifik yüzey reseptörlerini de </w:t>
      </w:r>
      <w:r>
        <w:rPr>
          <w:rFonts w:ascii="Times New Roman" w:cs="Times New Roman" w:eastAsia="Times New Roman" w:hAnsi="Times New Roman"/>
          <w:sz w:val="24"/>
          <w:szCs w:val="24"/>
          <w:color w:val="222222"/>
        </w:rPr>
        <w:t xml:space="preserve">bünyesine alan karmaşık bir ağ tarafından düzenlenir </w:t>
      </w:r>
      <w:r>
        <w:rPr>
          <w:rFonts w:ascii="Times New Roman" w:cs="Times New Roman" w:eastAsia="Times New Roman" w:hAnsi="Times New Roman"/>
          <w:sz w:val="24"/>
          <w:szCs w:val="24"/>
          <w:color w:val="222222"/>
        </w:rPr>
        <w:t>(23, 24).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-2096135</wp:posOffset>
            </wp:positionV>
            <wp:extent cx="5414010" cy="21031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414010" cy="2103120"/>
                    </a:xfrm>
                    <a:prstGeom prst="rect">
                      <a:avLst/>
                    </a:prstGeom>
                    <a:noFill/>
                  </pic:spPr>
                </pic:pic>
              </a:graphicData>
            </a:graphic>
          </wp:anchor>
        </w:drawing>
      </w:r>
    </w:p>
    <w:p>
      <w:pPr>
        <w:spacing w:after="0" w:line="200" w:lineRule="exact"/>
        <w:rPr>
          <w:sz w:val="20"/>
          <w:szCs w:val="20"/>
          <w:color w:val="auto"/>
        </w:rPr>
      </w:pPr>
    </w:p>
    <w:p>
      <w:pPr>
        <w:spacing w:after="0" w:line="213" w:lineRule="exact"/>
        <w:rPr>
          <w:sz w:val="20"/>
          <w:szCs w:val="20"/>
          <w:color w:val="auto"/>
        </w:rPr>
      </w:pPr>
    </w:p>
    <w:p>
      <w:pPr>
        <w:jc w:val="both"/>
        <w:ind w:left="840" w:firstLine="917"/>
        <w:spacing w:after="0" w:line="359" w:lineRule="auto"/>
        <w:rPr>
          <w:sz w:val="20"/>
          <w:szCs w:val="20"/>
          <w:color w:val="auto"/>
        </w:rPr>
      </w:pPr>
      <w:r>
        <w:rPr>
          <w:rFonts w:ascii="Times New Roman" w:cs="Times New Roman" w:eastAsia="Times New Roman" w:hAnsi="Times New Roman"/>
          <w:sz w:val="24"/>
          <w:szCs w:val="24"/>
          <w:color w:val="222222"/>
        </w:rPr>
        <w:t xml:space="preserve">SCF, büyüme faktörlerinin en önemlilerinden biridir. </w:t>
      </w:r>
      <w:r>
        <w:rPr>
          <w:rFonts w:ascii="Times New Roman" w:cs="Times New Roman" w:eastAsia="Times New Roman" w:hAnsi="Times New Roman"/>
          <w:sz w:val="24"/>
          <w:szCs w:val="24"/>
          <w:color w:val="222222"/>
        </w:rPr>
        <w:t>SCF aynı zamanda kit</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ligand ya da steel faktör olarak da adlandırılır. </w:t>
      </w:r>
      <w:r>
        <w:rPr>
          <w:rFonts w:ascii="Times New Roman" w:cs="Times New Roman" w:eastAsia="Times New Roman" w:hAnsi="Times New Roman"/>
          <w:sz w:val="24"/>
          <w:szCs w:val="24"/>
          <w:color w:val="222222"/>
        </w:rPr>
        <w:t>SCF,</w:t>
      </w:r>
      <w:r>
        <w:rPr>
          <w:rFonts w:ascii="Times New Roman" w:cs="Times New Roman" w:eastAsia="Times New Roman" w:hAnsi="Times New Roman"/>
          <w:sz w:val="24"/>
          <w:szCs w:val="24"/>
          <w:color w:val="222222"/>
        </w:rPr>
        <w:t xml:space="preserve"> stromal hücreler tarafından özellikle de endotel ve fibroblastlar tarafından üretilir. SCF</w:t>
      </w:r>
      <w:r>
        <w:rPr>
          <w:rFonts w:ascii="Times New Roman" w:cs="Times New Roman" w:eastAsia="Times New Roman" w:hAnsi="Times New Roman"/>
          <w:sz w:val="24"/>
          <w:szCs w:val="24"/>
          <w:color w:val="222222"/>
        </w:rPr>
        <w:t>, mast hücreleri ve mast</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hücre progenitörleri üzerindeki etkilerini </w:t>
      </w:r>
      <w:r>
        <w:rPr>
          <w:rFonts w:ascii="Times New Roman" w:cs="Times New Roman" w:eastAsia="Times New Roman" w:hAnsi="Times New Roman"/>
          <w:sz w:val="24"/>
          <w:szCs w:val="24"/>
          <w:i w:val="1"/>
          <w:iCs w:val="1"/>
          <w:color w:val="222222"/>
        </w:rPr>
        <w:t>C-KIT</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protoonkogeni tarafından kodlanan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ve SCF için tirozin kinaz reseptör yapısında olan K</w:t>
      </w:r>
      <w:r>
        <w:rPr>
          <w:rFonts w:ascii="Times New Roman" w:cs="Times New Roman" w:eastAsia="Times New Roman" w:hAnsi="Times New Roman"/>
          <w:sz w:val="24"/>
          <w:szCs w:val="24"/>
          <w:color w:val="222222"/>
        </w:rPr>
        <w:t>I</w:t>
      </w:r>
      <w:r>
        <w:rPr>
          <w:rFonts w:ascii="Times New Roman" w:cs="Times New Roman" w:eastAsia="Times New Roman" w:hAnsi="Times New Roman"/>
          <w:sz w:val="24"/>
          <w:szCs w:val="24"/>
          <w:color w:val="222222"/>
        </w:rPr>
        <w:t xml:space="preserve">T aracılığı ile </w:t>
      </w:r>
      <w:r>
        <w:rPr>
          <w:rFonts w:ascii="Times New Roman" w:cs="Times New Roman" w:eastAsia="Times New Roman" w:hAnsi="Times New Roman"/>
          <w:sz w:val="24"/>
          <w:szCs w:val="24"/>
          <w:color w:val="222222"/>
        </w:rPr>
        <w:t>gösterir (25).</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Reseptör tirozin kinaz aktivitesi olan KIT (CD117) hematopoetik kök hücreleri </w:t>
      </w:r>
      <w:r>
        <w:rPr>
          <w:rFonts w:ascii="Times New Roman" w:cs="Times New Roman" w:eastAsia="Times New Roman" w:hAnsi="Times New Roman"/>
          <w:sz w:val="24"/>
          <w:szCs w:val="24"/>
          <w:color w:val="222222"/>
        </w:rPr>
        <w:t>tarafından m</w:t>
      </w:r>
      <w:r>
        <w:rPr>
          <w:rFonts w:ascii="Times New Roman" w:cs="Times New Roman" w:eastAsia="Times New Roman" w:hAnsi="Times New Roman"/>
          <w:sz w:val="24"/>
          <w:szCs w:val="24"/>
          <w:color w:val="222222"/>
        </w:rPr>
        <w:t>iyeloid diferansiyasyon süreci boyunca ekprese edilir, bu nedenle de</w:t>
      </w:r>
      <w:r>
        <w:rPr>
          <w:rFonts w:ascii="Times New Roman" w:cs="Times New Roman" w:eastAsia="Times New Roman" w:hAnsi="Times New Roman"/>
          <w:sz w:val="24"/>
          <w:szCs w:val="24"/>
          <w:color w:val="222222"/>
        </w:rPr>
        <w:t xml:space="preserve"> prekürsör mast hücrelerini saptamak için bir marker olarak kullanılabilir. Mast hücreleri diğer hücrelerin aksine tüm yaşam süresi boyunca </w:t>
      </w:r>
      <w:r>
        <w:rPr>
          <w:rFonts w:ascii="Times New Roman" w:cs="Times New Roman" w:eastAsia="Times New Roman" w:hAnsi="Times New Roman"/>
          <w:sz w:val="24"/>
          <w:szCs w:val="24"/>
          <w:color w:val="222222"/>
        </w:rPr>
        <w:t>KIT eksprese ederler ve</w:t>
      </w:r>
      <w:r>
        <w:rPr>
          <w:rFonts w:ascii="Times New Roman" w:cs="Times New Roman" w:eastAsia="Times New Roman" w:hAnsi="Times New Roman"/>
          <w:sz w:val="24"/>
          <w:szCs w:val="24"/>
          <w:color w:val="222222"/>
        </w:rPr>
        <w:t xml:space="preserve"> bu sayede SCF’nin etkileri de devam edebilir </w:t>
      </w:r>
      <w:r>
        <w:rPr>
          <w:rFonts w:ascii="Times New Roman" w:cs="Times New Roman" w:eastAsia="Times New Roman" w:hAnsi="Times New Roman"/>
          <w:sz w:val="24"/>
          <w:szCs w:val="24"/>
          <w:color w:val="222222"/>
        </w:rPr>
        <w:t>(21, 26). SCF</w:t>
      </w:r>
      <w:r>
        <w:rPr>
          <w:rFonts w:ascii="Times New Roman" w:cs="Times New Roman" w:eastAsia="Times New Roman" w:hAnsi="Times New Roman"/>
          <w:sz w:val="24"/>
          <w:szCs w:val="24"/>
          <w:color w:val="222222"/>
        </w:rPr>
        <w:t xml:space="preserve">’nin </w:t>
      </w:r>
      <w:r>
        <w:rPr>
          <w:rFonts w:ascii="Times New Roman" w:cs="Times New Roman" w:eastAsia="Times New Roman" w:hAnsi="Times New Roman"/>
          <w:sz w:val="24"/>
          <w:szCs w:val="24"/>
          <w:color w:val="222222"/>
        </w:rPr>
        <w:t>mast hücre büyüme</w:t>
      </w:r>
      <w:r>
        <w:rPr>
          <w:rFonts w:ascii="Times New Roman" w:cs="Times New Roman" w:eastAsia="Times New Roman" w:hAnsi="Times New Roman"/>
          <w:sz w:val="24"/>
          <w:szCs w:val="24"/>
          <w:color w:val="222222"/>
        </w:rPr>
        <w:t xml:space="preserve"> ve farklılaşmasının tüm basamaklarına etki ettiği </w:t>
      </w:r>
      <w:r>
        <w:rPr>
          <w:rFonts w:ascii="Times New Roman" w:cs="Times New Roman" w:eastAsia="Times New Roman" w:hAnsi="Times New Roman"/>
          <w:sz w:val="24"/>
          <w:szCs w:val="24"/>
          <w:color w:val="222222"/>
        </w:rPr>
        <w:t>in vitro</w:t>
      </w:r>
      <w:r>
        <w:rPr>
          <w:rFonts w:ascii="Times New Roman" w:cs="Times New Roman" w:eastAsia="Times New Roman" w:hAnsi="Times New Roman"/>
          <w:sz w:val="24"/>
          <w:szCs w:val="24"/>
          <w:color w:val="222222"/>
        </w:rPr>
        <w:t xml:space="preserve"> gösterilmiştir</w:t>
      </w:r>
      <w:r>
        <w:rPr>
          <w:rFonts w:ascii="Times New Roman" w:cs="Times New Roman" w:eastAsia="Times New Roman" w:hAnsi="Times New Roman"/>
          <w:sz w:val="24"/>
          <w:szCs w:val="24"/>
          <w:color w:val="222222"/>
        </w:rPr>
        <w:t>. SCF</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haricinde in vitro TH-2 tip sitokinlerin IL-3, IL-4, IL-5, IL9 ve IL-</w:t>
      </w:r>
      <w:r>
        <w:rPr>
          <w:rFonts w:ascii="Times New Roman" w:cs="Times New Roman" w:eastAsia="Times New Roman" w:hAnsi="Times New Roman"/>
          <w:sz w:val="24"/>
          <w:szCs w:val="24"/>
          <w:color w:val="222222"/>
        </w:rPr>
        <w:t>10’un mast</w:t>
      </w:r>
      <w:r>
        <w:rPr>
          <w:rFonts w:ascii="Times New Roman" w:cs="Times New Roman" w:eastAsia="Times New Roman" w:hAnsi="Times New Roman"/>
          <w:sz w:val="24"/>
          <w:szCs w:val="24"/>
          <w:color w:val="222222"/>
        </w:rPr>
        <w:t xml:space="preserve"> hücrelerinin proliferasyon ve </w:t>
      </w:r>
      <w:r>
        <w:rPr>
          <w:rFonts w:ascii="Times New Roman" w:cs="Times New Roman" w:eastAsia="Times New Roman" w:hAnsi="Times New Roman"/>
          <w:sz w:val="24"/>
          <w:szCs w:val="24"/>
          <w:color w:val="222222"/>
        </w:rPr>
        <w:t>farklılaşmasında rol oynadıkları gözlemlenmiştir</w:t>
      </w:r>
      <w:r>
        <w:rPr>
          <w:rFonts w:ascii="Times New Roman" w:cs="Times New Roman" w:eastAsia="Times New Roman" w:hAnsi="Times New Roman"/>
          <w:sz w:val="24"/>
          <w:szCs w:val="24"/>
          <w:color w:val="222222"/>
        </w:rPr>
        <w:t xml:space="preserve"> (15).</w:t>
      </w:r>
    </w:p>
    <w:p>
      <w:pPr>
        <w:sectPr>
          <w:pgSz w:w="11900" w:h="16838" w:orient="portrait"/>
          <w:cols w:equalWidth="0" w:num="1">
            <w:col w:w="9060"/>
          </w:cols>
          <w:pgMar w:left="1440" w:top="714" w:right="1406" w:bottom="1440" w:gutter="0" w:footer="0" w:header="0"/>
        </w:sectPr>
      </w:pPr>
    </w:p>
    <w:bookmarkStart w:id="13" w:name="page14"/>
    <w:bookmarkEnd w:id="13"/>
    <w:p>
      <w:pPr>
        <w:jc w:val="right"/>
        <w:spacing w:after="0"/>
        <w:rPr>
          <w:sz w:val="20"/>
          <w:szCs w:val="20"/>
          <w:color w:val="auto"/>
        </w:rPr>
      </w:pPr>
      <w:r>
        <w:rPr>
          <w:rFonts w:ascii="Calibri" w:cs="Calibri" w:eastAsia="Calibri" w:hAnsi="Calibri"/>
          <w:sz w:val="22"/>
          <w:szCs w:val="22"/>
          <w:color w:val="auto"/>
        </w:rPr>
        <w:t>3</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left="840" w:firstLine="917"/>
        <w:spacing w:after="0" w:line="354" w:lineRule="auto"/>
        <w:rPr>
          <w:sz w:val="20"/>
          <w:szCs w:val="20"/>
          <w:color w:val="auto"/>
        </w:rPr>
      </w:pPr>
      <w:r>
        <w:rPr>
          <w:rFonts w:ascii="Times New Roman" w:cs="Times New Roman" w:eastAsia="Times New Roman" w:hAnsi="Times New Roman"/>
          <w:sz w:val="24"/>
          <w:szCs w:val="24"/>
          <w:color w:val="222222"/>
        </w:rPr>
        <w:t xml:space="preserve">Mast hücrelerinin dolaşımdan ayrılıp diferansiye olup dokulara yerleşmeleri endotel hücreleri ve spesifik integrin ve Ig süpergen ailesi reseptörleri gibi çeşitli adezyon molekülleri ile etkileşmesiyle gerçekleşmektedir </w:t>
      </w:r>
      <w:r>
        <w:rPr>
          <w:rFonts w:ascii="Times New Roman" w:cs="Times New Roman" w:eastAsia="Times New Roman" w:hAnsi="Times New Roman"/>
          <w:sz w:val="24"/>
          <w:szCs w:val="24"/>
          <w:color w:val="222222"/>
        </w:rPr>
        <w:t>(18, 27-29).</w:t>
      </w:r>
    </w:p>
    <w:p>
      <w:pPr>
        <w:spacing w:after="0" w:line="200" w:lineRule="exact"/>
        <w:rPr>
          <w:sz w:val="20"/>
          <w:szCs w:val="20"/>
          <w:color w:val="auto"/>
        </w:rPr>
      </w:pPr>
    </w:p>
    <w:p>
      <w:pPr>
        <w:spacing w:after="0" w:line="235" w:lineRule="exact"/>
        <w:rPr>
          <w:sz w:val="20"/>
          <w:szCs w:val="20"/>
          <w:color w:val="auto"/>
        </w:rPr>
      </w:pPr>
    </w:p>
    <w:p>
      <w:pPr>
        <w:jc w:val="both"/>
        <w:ind w:left="840" w:firstLine="917"/>
        <w:spacing w:after="0" w:line="357" w:lineRule="auto"/>
        <w:rPr>
          <w:sz w:val="20"/>
          <w:szCs w:val="20"/>
          <w:color w:val="auto"/>
        </w:rPr>
      </w:pPr>
      <w:r>
        <w:rPr>
          <w:rFonts w:ascii="Times New Roman" w:cs="Times New Roman" w:eastAsia="Times New Roman" w:hAnsi="Times New Roman"/>
          <w:sz w:val="24"/>
          <w:szCs w:val="24"/>
          <w:color w:val="222222"/>
        </w:rPr>
        <w:t xml:space="preserve">Mast hücreleri toluidin mavisi gibi bazik boyalarla metakromatik boyanma </w:t>
      </w:r>
      <w:r>
        <w:rPr>
          <w:rFonts w:ascii="Times New Roman" w:cs="Times New Roman" w:eastAsia="Times New Roman" w:hAnsi="Times New Roman"/>
          <w:sz w:val="24"/>
          <w:szCs w:val="24"/>
          <w:color w:val="222222"/>
        </w:rPr>
        <w:t xml:space="preserve">özelliğine sahiptir. Histolojik olarak oval ya da iğsi şekilde olabilirler, nükleusları </w:t>
      </w:r>
      <w:r>
        <w:rPr>
          <w:rFonts w:ascii="Times New Roman" w:cs="Times New Roman" w:eastAsia="Times New Roman" w:hAnsi="Times New Roman"/>
          <w:sz w:val="24"/>
          <w:szCs w:val="24"/>
          <w:color w:val="222222"/>
        </w:rPr>
        <w:t xml:space="preserve">ovaldir ve eksentrik veya santral </w:t>
      </w:r>
      <w:r>
        <w:rPr>
          <w:rFonts w:ascii="Times New Roman" w:cs="Times New Roman" w:eastAsia="Times New Roman" w:hAnsi="Times New Roman"/>
          <w:sz w:val="24"/>
          <w:szCs w:val="24"/>
          <w:color w:val="222222"/>
        </w:rPr>
        <w:t>yerleşimli o</w:t>
      </w:r>
      <w:r>
        <w:rPr>
          <w:rFonts w:ascii="Times New Roman" w:cs="Times New Roman" w:eastAsia="Times New Roman" w:hAnsi="Times New Roman"/>
          <w:sz w:val="24"/>
          <w:szCs w:val="24"/>
          <w:color w:val="222222"/>
        </w:rPr>
        <w:t xml:space="preserve">labilirler. Mast hücrelerinin </w:t>
      </w:r>
      <w:r>
        <w:rPr>
          <w:rFonts w:ascii="Times New Roman" w:cs="Times New Roman" w:eastAsia="Times New Roman" w:hAnsi="Times New Roman"/>
          <w:sz w:val="24"/>
          <w:szCs w:val="24"/>
          <w:color w:val="222222"/>
        </w:rPr>
        <w:t xml:space="preserve">metakromatik boyanma özelliğine sahip olmasının başlıca nedeni mediatörleri içeren </w:t>
      </w:r>
      <w:r>
        <w:rPr>
          <w:rFonts w:ascii="Times New Roman" w:cs="Times New Roman" w:eastAsia="Times New Roman" w:hAnsi="Times New Roman"/>
          <w:sz w:val="24"/>
          <w:szCs w:val="24"/>
          <w:color w:val="222222"/>
        </w:rPr>
        <w:t xml:space="preserve">bazofilik </w:t>
      </w:r>
      <w:r>
        <w:rPr>
          <w:rFonts w:ascii="Times New Roman" w:cs="Times New Roman" w:eastAsia="Times New Roman" w:hAnsi="Times New Roman"/>
          <w:sz w:val="24"/>
          <w:szCs w:val="24"/>
          <w:color w:val="222222"/>
        </w:rPr>
        <w:t>granüllere sahip olmasıdır. Ortalama yaşam süreleri 2</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3 ay civarındadır</w:t>
      </w:r>
      <w:r>
        <w:rPr>
          <w:rFonts w:ascii="Times New Roman" w:cs="Times New Roman" w:eastAsia="Times New Roman" w:hAnsi="Times New Roman"/>
          <w:sz w:val="24"/>
          <w:szCs w:val="24"/>
          <w:color w:val="222222"/>
        </w:rPr>
        <w:t xml:space="preserve"> (30, 31).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7620</wp:posOffset>
            </wp:positionV>
            <wp:extent cx="5414010" cy="21031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5414010" cy="2103120"/>
                    </a:xfrm>
                    <a:prstGeom prst="rect">
                      <a:avLst/>
                    </a:prstGeom>
                    <a:noFill/>
                  </pic:spPr>
                </pic:pic>
              </a:graphicData>
            </a:graphic>
          </wp:anchor>
        </w:drawing>
      </w:r>
    </w:p>
    <w:p>
      <w:pPr>
        <w:spacing w:after="0" w:line="200" w:lineRule="exact"/>
        <w:rPr>
          <w:sz w:val="20"/>
          <w:szCs w:val="20"/>
          <w:color w:val="auto"/>
        </w:rPr>
      </w:pPr>
    </w:p>
    <w:p>
      <w:pPr>
        <w:spacing w:after="0" w:line="214" w:lineRule="exact"/>
        <w:rPr>
          <w:sz w:val="20"/>
          <w:szCs w:val="20"/>
          <w:color w:val="auto"/>
        </w:rPr>
      </w:pPr>
    </w:p>
    <w:p>
      <w:pPr>
        <w:jc w:val="both"/>
        <w:ind w:left="840" w:firstLine="917"/>
        <w:spacing w:after="0" w:line="358" w:lineRule="auto"/>
        <w:rPr>
          <w:sz w:val="20"/>
          <w:szCs w:val="20"/>
          <w:color w:val="auto"/>
        </w:rPr>
      </w:pPr>
      <w:r>
        <w:rPr>
          <w:rFonts w:ascii="Times New Roman" w:cs="Times New Roman" w:eastAsia="Times New Roman" w:hAnsi="Times New Roman"/>
          <w:sz w:val="24"/>
          <w:szCs w:val="24"/>
          <w:color w:val="222222"/>
        </w:rPr>
        <w:t xml:space="preserve">Mast hücreleri hem doğal hem de edinilmiş bağışıklık sistemi için önemli hücrelerdir. Her iki bağışıklık sistemini hem indükleyebilir hem de amplifiye </w:t>
      </w:r>
      <w:r>
        <w:rPr>
          <w:rFonts w:ascii="Times New Roman" w:cs="Times New Roman" w:eastAsia="Times New Roman" w:hAnsi="Times New Roman"/>
          <w:sz w:val="24"/>
          <w:szCs w:val="24"/>
          <w:color w:val="222222"/>
        </w:rPr>
        <w:t>edebilirler (32, 33). Mast h</w:t>
      </w:r>
      <w:r>
        <w:rPr>
          <w:rFonts w:ascii="Times New Roman" w:cs="Times New Roman" w:eastAsia="Times New Roman" w:hAnsi="Times New Roman"/>
          <w:sz w:val="24"/>
          <w:szCs w:val="24"/>
          <w:color w:val="222222"/>
        </w:rPr>
        <w:t>ücreleri bazı viral ve bakteriyel proteinler (antijenler) ile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etkileştiklerinde degranüle olarak sitokin ve kemotaktik mediyatörler açığa çıkararak efektör hücrelerin enfeksiyon bölgesine çekilmesini sağlar </w:t>
      </w:r>
      <w:r>
        <w:rPr>
          <w:rFonts w:ascii="Times New Roman" w:cs="Times New Roman" w:eastAsia="Times New Roman" w:hAnsi="Times New Roman"/>
          <w:sz w:val="24"/>
          <w:szCs w:val="24"/>
          <w:color w:val="222222"/>
        </w:rPr>
        <w:t>(34)</w:t>
      </w:r>
      <w:r>
        <w:rPr>
          <w:rFonts w:ascii="Times New Roman" w:cs="Times New Roman" w:eastAsia="Times New Roman" w:hAnsi="Times New Roman"/>
          <w:sz w:val="24"/>
          <w:szCs w:val="24"/>
          <w:color w:val="222222"/>
        </w:rPr>
        <w:t xml:space="preserve">. Mediatörler aracılığı </w:t>
      </w:r>
      <w:r>
        <w:rPr>
          <w:rFonts w:ascii="Times New Roman" w:cs="Times New Roman" w:eastAsia="Times New Roman" w:hAnsi="Times New Roman"/>
          <w:sz w:val="24"/>
          <w:szCs w:val="24"/>
          <w:color w:val="222222"/>
        </w:rPr>
        <w:t>ile kompleman aktivasyonu amplifiye edebilirler (35).</w:t>
      </w:r>
    </w:p>
    <w:p>
      <w:pPr>
        <w:spacing w:after="0" w:line="200" w:lineRule="exact"/>
        <w:rPr>
          <w:sz w:val="20"/>
          <w:szCs w:val="20"/>
          <w:color w:val="auto"/>
        </w:rPr>
      </w:pPr>
    </w:p>
    <w:p>
      <w:pPr>
        <w:spacing w:after="0" w:line="230" w:lineRule="exact"/>
        <w:rPr>
          <w:sz w:val="20"/>
          <w:szCs w:val="20"/>
          <w:color w:val="auto"/>
        </w:rPr>
      </w:pPr>
    </w:p>
    <w:p>
      <w:pPr>
        <w:jc w:val="both"/>
        <w:ind w:left="840" w:firstLine="917"/>
        <w:spacing w:after="0" w:line="357" w:lineRule="auto"/>
        <w:rPr>
          <w:sz w:val="20"/>
          <w:szCs w:val="20"/>
          <w:color w:val="auto"/>
        </w:rPr>
      </w:pPr>
      <w:r>
        <w:rPr>
          <w:rFonts w:ascii="Times New Roman" w:cs="Times New Roman" w:eastAsia="Times New Roman" w:hAnsi="Times New Roman"/>
          <w:sz w:val="24"/>
          <w:szCs w:val="24"/>
          <w:color w:val="222222"/>
        </w:rPr>
        <w:t xml:space="preserve">Mast hücrelerinin alerjik yanıtta çok önemli rolleri mevcuttur. Salgıladıkları mediatörler aracılığı ile bronkokonstrüksiyon, damar duvar geçirgenliğinde artış, </w:t>
      </w:r>
      <w:r>
        <w:rPr>
          <w:rFonts w:ascii="Times New Roman" w:cs="Times New Roman" w:eastAsia="Times New Roman" w:hAnsi="Times New Roman"/>
          <w:sz w:val="24"/>
          <w:szCs w:val="24"/>
          <w:color w:val="222222"/>
        </w:rPr>
        <w:t>gastrointestinal sistem (</w:t>
      </w:r>
      <w:r>
        <w:rPr>
          <w:rFonts w:ascii="Times New Roman" w:cs="Times New Roman" w:eastAsia="Times New Roman" w:hAnsi="Times New Roman"/>
          <w:sz w:val="24"/>
          <w:szCs w:val="24"/>
          <w:color w:val="222222"/>
        </w:rPr>
        <w:t>GİS</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 xml:space="preserve"> motilite artışı </w:t>
      </w:r>
      <w:r>
        <w:rPr>
          <w:rFonts w:ascii="Times New Roman" w:cs="Times New Roman" w:eastAsia="Times New Roman" w:hAnsi="Times New Roman"/>
          <w:sz w:val="24"/>
          <w:szCs w:val="24"/>
          <w:color w:val="222222"/>
        </w:rPr>
        <w:t>ve ödem gibi belirti</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ve bulgulara neden olabilirler (36). Alerjik reaksiyonun hem erken hem de geç </w:t>
      </w:r>
      <w:r>
        <w:rPr>
          <w:rFonts w:ascii="Times New Roman" w:cs="Times New Roman" w:eastAsia="Times New Roman" w:hAnsi="Times New Roman"/>
          <w:sz w:val="24"/>
          <w:szCs w:val="24"/>
          <w:color w:val="222222"/>
        </w:rPr>
        <w:t xml:space="preserve">fazında etkilidirler </w:t>
      </w:r>
      <w:r>
        <w:rPr>
          <w:rFonts w:ascii="Times New Roman" w:cs="Times New Roman" w:eastAsia="Times New Roman" w:hAnsi="Times New Roman"/>
          <w:sz w:val="24"/>
          <w:szCs w:val="24"/>
          <w:color w:val="222222"/>
        </w:rPr>
        <w:t>(37, 38).</w:t>
      </w:r>
    </w:p>
    <w:p>
      <w:pPr>
        <w:spacing w:after="0" w:line="268"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222222"/>
        </w:rPr>
        <w:t>Mast Hücreleri aktive olduklarında çeşitli mediatörleri dolaşıma salgılarlar.</w:t>
      </w:r>
    </w:p>
    <w:p>
      <w:pPr>
        <w:spacing w:after="0" w:line="26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222222"/>
        </w:rPr>
        <w:t xml:space="preserve">Bu </w:t>
      </w:r>
      <w:r>
        <w:rPr>
          <w:rFonts w:ascii="Times New Roman" w:cs="Times New Roman" w:eastAsia="Times New Roman" w:hAnsi="Times New Roman"/>
          <w:sz w:val="24"/>
          <w:szCs w:val="24"/>
          <w:color w:val="222222"/>
        </w:rPr>
        <w:t>mediatörlerin çeşitli etkileri mevcuttur.</w:t>
      </w:r>
    </w:p>
    <w:p>
      <w:pPr>
        <w:spacing w:after="0" w:line="200" w:lineRule="exact"/>
        <w:rPr>
          <w:sz w:val="20"/>
          <w:szCs w:val="20"/>
          <w:color w:val="auto"/>
        </w:rPr>
      </w:pPr>
    </w:p>
    <w:p>
      <w:pPr>
        <w:spacing w:after="0" w:line="226" w:lineRule="exact"/>
        <w:rPr>
          <w:sz w:val="20"/>
          <w:szCs w:val="20"/>
          <w:color w:val="auto"/>
        </w:rPr>
      </w:pPr>
    </w:p>
    <w:p>
      <w:pPr>
        <w:jc w:val="both"/>
        <w:ind w:left="840" w:firstLine="917"/>
        <w:spacing w:after="0" w:line="237" w:lineRule="auto"/>
        <w:rPr>
          <w:sz w:val="20"/>
          <w:szCs w:val="20"/>
          <w:color w:val="auto"/>
        </w:rPr>
      </w:pPr>
      <w:r>
        <w:rPr>
          <w:rFonts w:ascii="Times New Roman" w:cs="Times New Roman" w:eastAsia="Times New Roman" w:hAnsi="Times New Roman"/>
          <w:sz w:val="24"/>
          <w:szCs w:val="24"/>
          <w:b w:val="1"/>
          <w:bCs w:val="1"/>
          <w:color w:val="222222"/>
        </w:rPr>
        <w:t>Histamin</w:t>
      </w:r>
      <w:r>
        <w:rPr>
          <w:rFonts w:ascii="Arial" w:cs="Arial" w:eastAsia="Arial" w:hAnsi="Arial"/>
          <w:sz w:val="48"/>
          <w:szCs w:val="48"/>
          <w:color w:val="222222"/>
          <w:vertAlign w:val="superscript"/>
        </w:rPr>
        <w:t>→</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En çok sentezlendiği hücre mast hücresidir ancak bazofil,</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 xml:space="preserve">nötrofil ve plateletlerde de bulunmaktadır. Ig E ya da non Ig E aracılı uyarılarla salınabilir </w:t>
      </w:r>
      <w:r>
        <w:rPr>
          <w:rFonts w:ascii="Times New Roman" w:cs="Times New Roman" w:eastAsia="Times New Roman" w:hAnsi="Times New Roman"/>
          <w:sz w:val="24"/>
          <w:szCs w:val="24"/>
          <w:color w:val="222222"/>
        </w:rPr>
        <w:t>(39).</w:t>
      </w:r>
    </w:p>
    <w:p>
      <w:pPr>
        <w:sectPr>
          <w:pgSz w:w="11900" w:h="16838" w:orient="portrait"/>
          <w:cols w:equalWidth="0" w:num="1">
            <w:col w:w="9060"/>
          </w:cols>
          <w:pgMar w:left="1440" w:top="714" w:right="1406" w:bottom="1440" w:gutter="0" w:footer="0" w:header="0"/>
        </w:sectPr>
      </w:pPr>
    </w:p>
    <w:bookmarkStart w:id="14" w:name="page15"/>
    <w:bookmarkEnd w:id="14"/>
    <w:p>
      <w:pPr>
        <w:jc w:val="right"/>
        <w:spacing w:after="0"/>
        <w:rPr>
          <w:sz w:val="20"/>
          <w:szCs w:val="20"/>
          <w:color w:val="auto"/>
        </w:rPr>
      </w:pPr>
      <w:r>
        <w:rPr>
          <w:rFonts w:ascii="Calibri" w:cs="Calibri" w:eastAsia="Calibri" w:hAnsi="Calibri"/>
          <w:sz w:val="22"/>
          <w:szCs w:val="22"/>
          <w:color w:val="auto"/>
        </w:rPr>
        <w:t>4</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left="840" w:firstLine="917"/>
        <w:spacing w:after="0" w:line="358" w:lineRule="auto"/>
        <w:rPr>
          <w:sz w:val="20"/>
          <w:szCs w:val="20"/>
          <w:color w:val="auto"/>
        </w:rPr>
      </w:pPr>
      <w:r>
        <w:rPr>
          <w:rFonts w:ascii="Times New Roman" w:cs="Times New Roman" w:eastAsia="Times New Roman" w:hAnsi="Times New Roman"/>
          <w:sz w:val="24"/>
          <w:szCs w:val="24"/>
          <w:color w:val="222222"/>
        </w:rPr>
        <w:t>Dört adet reseptörü üzerinden etkilerini göste</w:t>
      </w:r>
      <w:r>
        <w:rPr>
          <w:rFonts w:ascii="Times New Roman" w:cs="Times New Roman" w:eastAsia="Times New Roman" w:hAnsi="Times New Roman"/>
          <w:sz w:val="24"/>
          <w:szCs w:val="24"/>
          <w:color w:val="222222"/>
        </w:rPr>
        <w:t>rir. H1 reseptörü aracılığı ile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venüler permeabilite artışı, bronş ve intestinal düz kası kasılması</w:t>
      </w:r>
      <w:r>
        <w:rPr>
          <w:rFonts w:ascii="Times New Roman" w:cs="Times New Roman" w:eastAsia="Times New Roman" w:hAnsi="Times New Roman"/>
          <w:sz w:val="24"/>
          <w:szCs w:val="24"/>
          <w:color w:val="222222"/>
        </w:rPr>
        <w:t>nda</w:t>
      </w:r>
      <w:r>
        <w:rPr>
          <w:rFonts w:ascii="Times New Roman" w:cs="Times New Roman" w:eastAsia="Times New Roman" w:hAnsi="Times New Roman"/>
          <w:sz w:val="24"/>
          <w:szCs w:val="24"/>
          <w:color w:val="222222"/>
        </w:rPr>
        <w:t xml:space="preserve"> artış, Nazal mukus üretiminde artış, kalp atım hızı ve kardiya</w:t>
      </w:r>
      <w:r>
        <w:rPr>
          <w:rFonts w:ascii="Times New Roman" w:cs="Times New Roman" w:eastAsia="Times New Roman" w:hAnsi="Times New Roman"/>
          <w:sz w:val="24"/>
          <w:szCs w:val="24"/>
          <w:color w:val="222222"/>
        </w:rPr>
        <w:t>k</w:t>
      </w:r>
      <w:r>
        <w:rPr>
          <w:rFonts w:ascii="Times New Roman" w:cs="Times New Roman" w:eastAsia="Times New Roman" w:hAnsi="Times New Roman"/>
          <w:sz w:val="24"/>
          <w:szCs w:val="24"/>
          <w:color w:val="222222"/>
        </w:rPr>
        <w:t xml:space="preserve"> output artışı, yüzde kızarıklık ve nötrofil ile eozinofil kemotaksisinde artış gibi etkil</w:t>
      </w:r>
      <w:r>
        <w:rPr>
          <w:rFonts w:ascii="Times New Roman" w:cs="Times New Roman" w:eastAsia="Times New Roman" w:hAnsi="Times New Roman"/>
          <w:sz w:val="24"/>
          <w:szCs w:val="24"/>
          <w:color w:val="222222"/>
        </w:rPr>
        <w:t>erini gösterir (17, 40). H2</w:t>
      </w:r>
      <w:r>
        <w:rPr>
          <w:rFonts w:ascii="Times New Roman" w:cs="Times New Roman" w:eastAsia="Times New Roman" w:hAnsi="Times New Roman"/>
          <w:sz w:val="24"/>
          <w:szCs w:val="24"/>
          <w:color w:val="222222"/>
        </w:rPr>
        <w:t xml:space="preserve"> reseptörleri aracılığı ile gastrik asit sekresyonunda artış ve venüler permeabilite artışı </w:t>
      </w:r>
      <w:r>
        <w:rPr>
          <w:rFonts w:ascii="Times New Roman" w:cs="Times New Roman" w:eastAsia="Times New Roman" w:hAnsi="Times New Roman"/>
          <w:sz w:val="24"/>
          <w:szCs w:val="24"/>
          <w:color w:val="222222"/>
        </w:rPr>
        <w:t xml:space="preserve">etkilerini gösterir (41, 42). H3 reseptörü </w:t>
      </w:r>
      <w:r>
        <w:rPr>
          <w:rFonts w:ascii="Times New Roman" w:cs="Times New Roman" w:eastAsia="Times New Roman" w:hAnsi="Times New Roman"/>
          <w:sz w:val="24"/>
          <w:szCs w:val="24"/>
          <w:color w:val="222222"/>
        </w:rPr>
        <w:t>genel olarak beyinde bulunmasına rağmen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fonksiyonları bilinmemektedir </w:t>
      </w:r>
      <w:r>
        <w:rPr>
          <w:rFonts w:ascii="Times New Roman" w:cs="Times New Roman" w:eastAsia="Times New Roman" w:hAnsi="Times New Roman"/>
          <w:sz w:val="24"/>
          <w:szCs w:val="24"/>
          <w:color w:val="222222"/>
        </w:rPr>
        <w:t>(43)</w:t>
      </w:r>
      <w:r>
        <w:rPr>
          <w:rFonts w:ascii="Times New Roman" w:cs="Times New Roman" w:eastAsia="Times New Roman" w:hAnsi="Times New Roman"/>
          <w:sz w:val="24"/>
          <w:szCs w:val="24"/>
          <w:color w:val="222222"/>
        </w:rPr>
        <w:t xml:space="preserve">. H4 reseptörleri aracılığı ile eozinofil kemotaksisinde artışı sağlar </w:t>
      </w:r>
      <w:r>
        <w:rPr>
          <w:rFonts w:ascii="Times New Roman" w:cs="Times New Roman" w:eastAsia="Times New Roman" w:hAnsi="Times New Roman"/>
          <w:sz w:val="24"/>
          <w:szCs w:val="24"/>
          <w:color w:val="222222"/>
        </w:rPr>
        <w:t>(44).</w:t>
      </w:r>
    </w:p>
    <w:p>
      <w:pPr>
        <w:spacing w:after="0" w:line="257" w:lineRule="exact"/>
        <w:rPr>
          <w:sz w:val="20"/>
          <w:szCs w:val="20"/>
          <w:color w:val="auto"/>
        </w:rPr>
      </w:pPr>
    </w:p>
    <w:p>
      <w:pPr>
        <w:jc w:val="both"/>
        <w:ind w:left="840" w:firstLine="917"/>
        <w:spacing w:after="0" w:line="306" w:lineRule="auto"/>
        <w:rPr>
          <w:sz w:val="20"/>
          <w:szCs w:val="20"/>
          <w:color w:val="auto"/>
        </w:rPr>
      </w:pPr>
      <w:r>
        <w:rPr>
          <w:rFonts w:ascii="Times New Roman" w:cs="Times New Roman" w:eastAsia="Times New Roman" w:hAnsi="Times New Roman"/>
          <w:sz w:val="24"/>
          <w:szCs w:val="24"/>
          <w:b w:val="1"/>
          <w:bCs w:val="1"/>
          <w:color w:val="222222"/>
        </w:rPr>
        <w:t>Proteoglikanlar</w:t>
      </w:r>
      <w:r>
        <w:rPr>
          <w:rFonts w:ascii="Arial" w:cs="Arial" w:eastAsia="Arial" w:hAnsi="Arial"/>
          <w:sz w:val="48"/>
          <w:szCs w:val="48"/>
          <w:color w:val="222222"/>
          <w:vertAlign w:val="superscript"/>
        </w:rPr>
        <w:t>→</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Heparin ve kondroitin sülfat olmak üzere iki adettirler.</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 xml:space="preserve">Anyonik yapıları ve sülfattan zengin olmaları nedeniyle mast hücrelerinin metakromatik boyanmalarının sebebidirler </w:t>
      </w:r>
      <w:r>
        <w:rPr>
          <w:rFonts w:ascii="Times New Roman" w:cs="Times New Roman" w:eastAsia="Times New Roman" w:hAnsi="Times New Roman"/>
          <w:sz w:val="24"/>
          <w:szCs w:val="24"/>
          <w:color w:val="222222"/>
        </w:rPr>
        <w:t>(45). Heparin, antikoagülasyon sürecinde,</w:t>
      </w:r>
      <w:r>
        <w:rPr>
          <w:rFonts w:ascii="Times New Roman" w:cs="Times New Roman" w:eastAsia="Times New Roman" w:hAnsi="Times New Roman"/>
          <w:sz w:val="24"/>
          <w:szCs w:val="24"/>
          <w:color w:val="222222"/>
        </w:rPr>
        <w:t xml:space="preserve"> proteazların ve histaminin stabilizasyonu</w:t>
      </w:r>
      <w:r>
        <w:rPr>
          <w:rFonts w:ascii="Times New Roman" w:cs="Times New Roman" w:eastAsia="Times New Roman" w:hAnsi="Times New Roman"/>
          <w:sz w:val="24"/>
          <w:szCs w:val="24"/>
          <w:color w:val="222222"/>
        </w:rPr>
        <w:t>nda ve fibroblast growth factor (FGF) gibi</w:t>
      </w:r>
      <w:r>
        <w:rPr>
          <w:rFonts w:ascii="Times New Roman" w:cs="Times New Roman" w:eastAsia="Times New Roman" w:hAnsi="Times New Roman"/>
          <w:sz w:val="24"/>
          <w:szCs w:val="24"/>
          <w:color w:val="222222"/>
        </w:rPr>
        <w:t xml:space="preserve"> anjiyojenik faktörlerin etkilerini arttırmalarında görev alır </w:t>
      </w:r>
      <w:r>
        <w:rPr>
          <w:rFonts w:ascii="Times New Roman" w:cs="Times New Roman" w:eastAsia="Times New Roman" w:hAnsi="Times New Roman"/>
          <w:sz w:val="24"/>
          <w:szCs w:val="24"/>
          <w:color w:val="222222"/>
        </w:rPr>
        <w:t>(46, 47). Kondroitin</w:t>
      </w:r>
      <w:r>
        <w:rPr>
          <w:rFonts w:ascii="Times New Roman" w:cs="Times New Roman" w:eastAsia="Times New Roman" w:hAnsi="Times New Roman"/>
          <w:sz w:val="24"/>
          <w:szCs w:val="24"/>
          <w:color w:val="222222"/>
        </w:rPr>
        <w:t xml:space="preserve"> sülfatın ise kinin yolak aktivitesinde artış ve protez stabilizasyonu gibi etkileri vardır </w:t>
      </w:r>
      <w:r>
        <w:rPr>
          <w:rFonts w:ascii="Times New Roman" w:cs="Times New Roman" w:eastAsia="Times New Roman" w:hAnsi="Times New Roman"/>
          <w:sz w:val="24"/>
          <w:szCs w:val="24"/>
          <w:color w:val="222222"/>
        </w:rPr>
        <w:t>(48).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-1530985</wp:posOffset>
            </wp:positionV>
            <wp:extent cx="5414010" cy="22555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5414010" cy="2255520"/>
                    </a:xfrm>
                    <a:prstGeom prst="rect">
                      <a:avLst/>
                    </a:prstGeom>
                    <a:noFill/>
                  </pic:spPr>
                </pic:pic>
              </a:graphicData>
            </a:graphic>
          </wp:anchor>
        </w:drawing>
      </w:r>
    </w:p>
    <w:p>
      <w:pPr>
        <w:spacing w:after="0" w:line="299" w:lineRule="exact"/>
        <w:rPr>
          <w:sz w:val="20"/>
          <w:szCs w:val="20"/>
          <w:color w:val="auto"/>
        </w:rPr>
      </w:pPr>
    </w:p>
    <w:p>
      <w:pPr>
        <w:jc w:val="both"/>
        <w:ind w:left="840" w:firstLine="917"/>
        <w:spacing w:after="0" w:line="333" w:lineRule="auto"/>
        <w:rPr>
          <w:sz w:val="20"/>
          <w:szCs w:val="20"/>
          <w:color w:val="auto"/>
        </w:rPr>
      </w:pPr>
      <w:r>
        <w:rPr>
          <w:rFonts w:ascii="Times New Roman" w:cs="Times New Roman" w:eastAsia="Times New Roman" w:hAnsi="Times New Roman"/>
          <w:sz w:val="24"/>
          <w:szCs w:val="24"/>
          <w:b w:val="1"/>
          <w:bCs w:val="1"/>
          <w:color w:val="222222"/>
        </w:rPr>
        <w:t>Triptaz</w:t>
      </w:r>
      <w:r>
        <w:rPr>
          <w:rFonts w:ascii="Arial" w:cs="Arial" w:eastAsia="Arial" w:hAnsi="Arial"/>
          <w:sz w:val="48"/>
          <w:szCs w:val="48"/>
          <w:color w:val="222222"/>
          <w:vertAlign w:val="superscript"/>
        </w:rPr>
        <w:t>→</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Mast hücresinde en fazla bulunan mediatördür. Hücre</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proteinlerinin yaklaşık olarak %20’</w:t>
      </w:r>
      <w:r>
        <w:rPr>
          <w:rFonts w:ascii="Times New Roman" w:cs="Times New Roman" w:eastAsia="Times New Roman" w:hAnsi="Times New Roman"/>
          <w:sz w:val="24"/>
          <w:szCs w:val="24"/>
          <w:color w:val="222222"/>
        </w:rPr>
        <w:t>sini kapsarlar (49, 50). Mast hücresi haricinde</w:t>
      </w:r>
      <w:r>
        <w:rPr>
          <w:rFonts w:ascii="Times New Roman" w:cs="Times New Roman" w:eastAsia="Times New Roman" w:hAnsi="Times New Roman"/>
          <w:sz w:val="24"/>
          <w:szCs w:val="24"/>
          <w:color w:val="222222"/>
        </w:rPr>
        <w:t xml:space="preserve"> bazolfillerden de salınabilirler ancak bu miktarın çok düşük olması nedeniyle triptaz </w:t>
      </w:r>
      <w:r>
        <w:rPr>
          <w:rFonts w:ascii="Times New Roman" w:cs="Times New Roman" w:eastAsia="Times New Roman" w:hAnsi="Times New Roman"/>
          <w:sz w:val="24"/>
          <w:szCs w:val="24"/>
          <w:color w:val="222222"/>
        </w:rPr>
        <w:t xml:space="preserve">düzeyi mast hücre aktivasyonu ve degranülasyonunu gösterebilir (51). Triptaz </w:t>
      </w:r>
      <w:r>
        <w:rPr>
          <w:rFonts w:ascii="Times New Roman" w:cs="Times New Roman" w:eastAsia="Times New Roman" w:hAnsi="Times New Roman"/>
          <w:sz w:val="24"/>
          <w:szCs w:val="24"/>
          <w:color w:val="222222"/>
        </w:rPr>
        <w:t>düzeyindeki yükseklik anafilaksi (yiyecek ilişkili dışında), mast hücre hastalıkları ve ilaçlara karşı gelişen alerjik reaksiyonların tanısında önemlidir. Tripta</w:t>
      </w:r>
      <w:r>
        <w:rPr>
          <w:rFonts w:ascii="Times New Roman" w:cs="Times New Roman" w:eastAsia="Times New Roman" w:hAnsi="Times New Roman"/>
          <w:sz w:val="24"/>
          <w:szCs w:val="24"/>
          <w:color w:val="222222"/>
        </w:rPr>
        <w:t>z düzeyinin 20</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ng/ml üzerinde persiste etmesi </w:t>
      </w:r>
      <w:r>
        <w:rPr>
          <w:rFonts w:ascii="Times New Roman" w:cs="Times New Roman" w:eastAsia="Times New Roman" w:hAnsi="Times New Roman"/>
          <w:sz w:val="24"/>
          <w:szCs w:val="24"/>
          <w:color w:val="222222"/>
        </w:rPr>
        <w:t>SM’yi düşündürür.</w:t>
      </w:r>
      <w:r>
        <w:rPr>
          <w:rFonts w:ascii="Times New Roman" w:cs="Times New Roman" w:eastAsia="Times New Roman" w:hAnsi="Times New Roman"/>
          <w:sz w:val="24"/>
          <w:szCs w:val="24"/>
          <w:color w:val="222222"/>
        </w:rPr>
        <w:t xml:space="preserve"> Triptaz düzeyi anafilakside 15-30 dakika içinde yükselip birkaç saat yüksek kalabilir (52)</w:t>
      </w:r>
      <w:r>
        <w:rPr>
          <w:rFonts w:ascii="Times New Roman" w:cs="Times New Roman" w:eastAsia="Times New Roman" w:hAnsi="Times New Roman"/>
          <w:sz w:val="24"/>
          <w:szCs w:val="24"/>
          <w:color w:val="222222"/>
        </w:rPr>
        <w:t>. Astım nedeniyle takipli olan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hastaların </w:t>
      </w:r>
      <w:r>
        <w:rPr>
          <w:rFonts w:ascii="Times New Roman" w:cs="Times New Roman" w:eastAsia="Times New Roman" w:hAnsi="Times New Roman"/>
          <w:sz w:val="24"/>
          <w:szCs w:val="24"/>
          <w:color w:val="222222"/>
        </w:rPr>
        <w:t>BAL</w:t>
      </w:r>
      <w:r>
        <w:rPr>
          <w:rFonts w:ascii="Times New Roman" w:cs="Times New Roman" w:eastAsia="Times New Roman" w:hAnsi="Times New Roman"/>
          <w:sz w:val="24"/>
          <w:szCs w:val="24"/>
          <w:color w:val="222222"/>
        </w:rPr>
        <w:t xml:space="preserve"> örneklerinde saptanan triptaz yüksekliği omalizumab direnci ve ağır hastalığı işaret eder </w:t>
      </w:r>
      <w:r>
        <w:rPr>
          <w:rFonts w:ascii="Times New Roman" w:cs="Times New Roman" w:eastAsia="Times New Roman" w:hAnsi="Times New Roman"/>
          <w:sz w:val="24"/>
          <w:szCs w:val="24"/>
          <w:color w:val="222222"/>
        </w:rPr>
        <w:t>(53, 54). Triptaz fibrinogenezi ve fibrinojen aktivitesini inhibe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eder (54, 55). Mast hücre degranülasyonunu feed forward yoluyla aktive eder. IL-8 </w:t>
      </w:r>
      <w:r>
        <w:rPr>
          <w:rFonts w:ascii="Times New Roman" w:cs="Times New Roman" w:eastAsia="Times New Roman" w:hAnsi="Times New Roman"/>
          <w:sz w:val="24"/>
          <w:szCs w:val="24"/>
          <w:color w:val="222222"/>
        </w:rPr>
        <w:t xml:space="preserve">yapımını arttırarak eozinofil kemotaksisini arttırır bu durum özellikle alerjik reaksiyonun geç fazında önemlidir </w:t>
      </w:r>
      <w:r>
        <w:rPr>
          <w:rFonts w:ascii="Times New Roman" w:cs="Times New Roman" w:eastAsia="Times New Roman" w:hAnsi="Times New Roman"/>
          <w:sz w:val="24"/>
          <w:szCs w:val="24"/>
          <w:color w:val="222222"/>
        </w:rPr>
        <w:t>(56, 57). Vazoaktif intestinal peptid (VIP) gibi</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bronkodilatör peptidleri inhibe eder(58).</w:t>
      </w:r>
    </w:p>
    <w:p>
      <w:pPr>
        <w:sectPr>
          <w:pgSz w:w="11900" w:h="16838" w:orient="portrait"/>
          <w:cols w:equalWidth="0" w:num="1">
            <w:col w:w="9060"/>
          </w:cols>
          <w:pgMar w:left="1440" w:top="714" w:right="1406" w:bottom="1440" w:gutter="0" w:footer="0" w:header="0"/>
        </w:sectPr>
      </w:pPr>
    </w:p>
    <w:bookmarkStart w:id="15" w:name="page16"/>
    <w:bookmarkEnd w:id="15"/>
    <w:p>
      <w:pPr>
        <w:jc w:val="right"/>
        <w:spacing w:after="0"/>
        <w:rPr>
          <w:sz w:val="20"/>
          <w:szCs w:val="20"/>
          <w:color w:val="auto"/>
        </w:rPr>
      </w:pPr>
      <w:r>
        <w:rPr>
          <w:rFonts w:ascii="Calibri" w:cs="Calibri" w:eastAsia="Calibri" w:hAnsi="Calibri"/>
          <w:sz w:val="22"/>
          <w:szCs w:val="22"/>
          <w:color w:val="auto"/>
        </w:rPr>
        <w:t>5</w:t>
      </w: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both"/>
        <w:ind w:left="840" w:firstLine="917"/>
        <w:spacing w:after="0" w:line="285" w:lineRule="auto"/>
        <w:rPr>
          <w:sz w:val="20"/>
          <w:szCs w:val="20"/>
          <w:color w:val="auto"/>
        </w:rPr>
      </w:pPr>
      <w:r>
        <w:rPr>
          <w:rFonts w:ascii="Times New Roman" w:cs="Times New Roman" w:eastAsia="Times New Roman" w:hAnsi="Times New Roman"/>
          <w:sz w:val="24"/>
          <w:szCs w:val="24"/>
          <w:b w:val="1"/>
          <w:bCs w:val="1"/>
          <w:color w:val="222222"/>
        </w:rPr>
        <w:t>Karboksipeptidaz A</w:t>
      </w:r>
      <w:r>
        <w:rPr>
          <w:rFonts w:ascii="Arial" w:cs="Arial" w:eastAsia="Arial" w:hAnsi="Arial"/>
          <w:sz w:val="48"/>
          <w:szCs w:val="48"/>
          <w:b w:val="1"/>
          <w:bCs w:val="1"/>
          <w:color w:val="222222"/>
          <w:vertAlign w:val="superscript"/>
        </w:rPr>
        <w:t>→</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Bazofil</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gibi diğer myeloid hücrelerden</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 xml:space="preserve">salgılanmadıkları için mast hücre aktivasyonu için en spesifik belirteç olarak düşünülebilir ancak plazmada bulunmadıkları için bu amaçla kullanılamazlar. Daha </w:t>
      </w:r>
      <w:r>
        <w:rPr>
          <w:rFonts w:ascii="Times New Roman" w:cs="Times New Roman" w:eastAsia="Times New Roman" w:hAnsi="Times New Roman"/>
          <w:sz w:val="24"/>
          <w:szCs w:val="24"/>
          <w:color w:val="222222"/>
        </w:rPr>
        <w:t>çok intestinal submukoza ve ciltte bulunurlar (59)</w:t>
      </w:r>
      <w:r>
        <w:rPr>
          <w:rFonts w:ascii="Times New Roman" w:cs="Times New Roman" w:eastAsia="Times New Roman" w:hAnsi="Times New Roman"/>
          <w:sz w:val="24"/>
          <w:szCs w:val="24"/>
          <w:color w:val="222222"/>
        </w:rPr>
        <w:t>. Anjiyotensin 1’in Anjiyotensin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2’ye dönüşümünü sağlarlar </w:t>
      </w:r>
      <w:r>
        <w:rPr>
          <w:rFonts w:ascii="Times New Roman" w:cs="Times New Roman" w:eastAsia="Times New Roman" w:hAnsi="Times New Roman"/>
          <w:sz w:val="24"/>
          <w:szCs w:val="24"/>
          <w:color w:val="222222"/>
        </w:rPr>
        <w:t>(60)</w:t>
      </w:r>
      <w:r>
        <w:rPr>
          <w:rFonts w:ascii="Times New Roman" w:cs="Times New Roman" w:eastAsia="Times New Roman" w:hAnsi="Times New Roman"/>
          <w:sz w:val="24"/>
          <w:szCs w:val="24"/>
          <w:color w:val="222222"/>
        </w:rPr>
        <w:t xml:space="preserve">. Bazı nöropeptidleri yıkarlar </w:t>
      </w:r>
      <w:r>
        <w:rPr>
          <w:rFonts w:ascii="Times New Roman" w:cs="Times New Roman" w:eastAsia="Times New Roman" w:hAnsi="Times New Roman"/>
          <w:sz w:val="24"/>
          <w:szCs w:val="24"/>
          <w:color w:val="222222"/>
        </w:rPr>
        <w:t>(61).</w:t>
      </w:r>
    </w:p>
    <w:p>
      <w:pPr>
        <w:spacing w:after="0" w:line="340" w:lineRule="exact"/>
        <w:rPr>
          <w:sz w:val="20"/>
          <w:szCs w:val="20"/>
          <w:color w:val="auto"/>
        </w:rPr>
      </w:pPr>
    </w:p>
    <w:p>
      <w:pPr>
        <w:jc w:val="both"/>
        <w:ind w:left="840" w:firstLine="917"/>
        <w:spacing w:after="0" w:line="237" w:lineRule="auto"/>
        <w:rPr>
          <w:sz w:val="20"/>
          <w:szCs w:val="20"/>
          <w:color w:val="auto"/>
        </w:rPr>
      </w:pPr>
      <w:r>
        <w:rPr>
          <w:rFonts w:ascii="Times New Roman" w:cs="Times New Roman" w:eastAsia="Times New Roman" w:hAnsi="Times New Roman"/>
          <w:sz w:val="24"/>
          <w:szCs w:val="24"/>
          <w:b w:val="1"/>
          <w:bCs w:val="1"/>
          <w:color w:val="222222"/>
        </w:rPr>
        <w:t>Kimaz</w:t>
      </w:r>
      <w:r>
        <w:rPr>
          <w:rFonts w:ascii="Arial" w:cs="Arial" w:eastAsia="Arial" w:hAnsi="Arial"/>
          <w:sz w:val="48"/>
          <w:szCs w:val="48"/>
          <w:color w:val="222222"/>
          <w:vertAlign w:val="superscript"/>
        </w:rPr>
        <w:t>→</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Bradikinin, substans p ve VIP gibi peptidleri inaktive eder (62,</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63)</w:t>
      </w:r>
      <w:r>
        <w:rPr>
          <w:rFonts w:ascii="Times New Roman" w:cs="Times New Roman" w:eastAsia="Times New Roman" w:hAnsi="Times New Roman"/>
          <w:sz w:val="24"/>
          <w:szCs w:val="24"/>
          <w:color w:val="222222"/>
        </w:rPr>
        <w:t>.Anjiyotensin 1’in Anjiyotensin 2’ye dönüşümünü sağlar ve bu dönüşümü</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ACE’den 100 kat daha pote</w:t>
      </w:r>
      <w:r>
        <w:rPr>
          <w:rFonts w:ascii="Times New Roman" w:cs="Times New Roman" w:eastAsia="Times New Roman" w:hAnsi="Times New Roman"/>
          <w:sz w:val="24"/>
          <w:szCs w:val="24"/>
          <w:color w:val="222222"/>
        </w:rPr>
        <w:t>nt bir biçimde yaparlar (64).</w:t>
      </w:r>
    </w:p>
    <w:p>
      <w:pPr>
        <w:spacing w:after="0" w:line="32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222222"/>
        </w:rPr>
        <w:t>Renin</w:t>
      </w:r>
      <w:r>
        <w:rPr>
          <w:rFonts w:ascii="Arial" w:cs="Arial" w:eastAsia="Arial" w:hAnsi="Arial"/>
          <w:sz w:val="48"/>
          <w:szCs w:val="48"/>
          <w:color w:val="222222"/>
          <w:vertAlign w:val="superscript"/>
        </w:rPr>
        <w:t>→</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Kardiyak mast hücreleri tarafından salınır.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-53975</wp:posOffset>
            </wp:positionV>
            <wp:extent cx="5414010" cy="21463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5414010" cy="2146300"/>
                    </a:xfrm>
                    <a:prstGeom prst="rect">
                      <a:avLst/>
                    </a:prstGeom>
                    <a:noFill/>
                  </pic:spPr>
                </pic:pic>
              </a:graphicData>
            </a:graphic>
          </wp:anchor>
        </w:drawing>
      </w:r>
    </w:p>
    <w:p>
      <w:pPr>
        <w:spacing w:after="0" w:line="141" w:lineRule="exact"/>
        <w:rPr>
          <w:sz w:val="20"/>
          <w:szCs w:val="20"/>
          <w:color w:val="auto"/>
        </w:rPr>
      </w:pPr>
    </w:p>
    <w:p>
      <w:pPr>
        <w:jc w:val="both"/>
        <w:ind w:left="840" w:firstLine="917"/>
        <w:spacing w:after="0" w:line="298" w:lineRule="auto"/>
        <w:rPr>
          <w:sz w:val="20"/>
          <w:szCs w:val="20"/>
          <w:color w:val="auto"/>
        </w:rPr>
      </w:pPr>
      <w:r>
        <w:rPr>
          <w:rFonts w:ascii="Times New Roman" w:cs="Times New Roman" w:eastAsia="Times New Roman" w:hAnsi="Times New Roman"/>
          <w:sz w:val="24"/>
          <w:szCs w:val="24"/>
          <w:b w:val="1"/>
          <w:bCs w:val="1"/>
          <w:color w:val="222222"/>
        </w:rPr>
        <w:t>Prostoglandinler</w:t>
      </w:r>
      <w:r>
        <w:rPr>
          <w:rFonts w:ascii="Arial" w:cs="Arial" w:eastAsia="Arial" w:hAnsi="Arial"/>
          <w:sz w:val="48"/>
          <w:szCs w:val="48"/>
          <w:color w:val="222222"/>
          <w:vertAlign w:val="superscript"/>
        </w:rPr>
        <w:t>→</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PGD2 mast h</w:t>
      </w:r>
      <w:r>
        <w:rPr>
          <w:rFonts w:ascii="Times New Roman" w:cs="Times New Roman" w:eastAsia="Times New Roman" w:hAnsi="Times New Roman"/>
          <w:sz w:val="24"/>
          <w:szCs w:val="24"/>
          <w:color w:val="222222"/>
        </w:rPr>
        <w:t>ücreleri tarafından sentezlenen ana</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prostoglandindir. Bronkokonstrü</w:t>
      </w:r>
      <w:r>
        <w:rPr>
          <w:rFonts w:ascii="Times New Roman" w:cs="Times New Roman" w:eastAsia="Times New Roman" w:hAnsi="Times New Roman"/>
          <w:sz w:val="24"/>
          <w:szCs w:val="24"/>
          <w:color w:val="222222"/>
        </w:rPr>
        <w:t>ksiyon, intestinal motilite artışı ve vasküler</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permeabilite artışı yaparlar </w:t>
      </w:r>
      <w:r>
        <w:rPr>
          <w:rFonts w:ascii="Times New Roman" w:cs="Times New Roman" w:eastAsia="Times New Roman" w:hAnsi="Times New Roman"/>
          <w:sz w:val="24"/>
          <w:szCs w:val="24"/>
          <w:color w:val="222222"/>
        </w:rPr>
        <w:t>(65, 66). Platelet agregasyonunu inhibe ederler, nötrofil</w:t>
      </w:r>
      <w:r>
        <w:rPr>
          <w:rFonts w:ascii="Times New Roman" w:cs="Times New Roman" w:eastAsia="Times New Roman" w:hAnsi="Times New Roman"/>
          <w:sz w:val="24"/>
          <w:szCs w:val="24"/>
          <w:color w:val="222222"/>
        </w:rPr>
        <w:t xml:space="preserve"> kemotaksisini arttırırlar ve </w:t>
      </w:r>
      <w:r>
        <w:rPr>
          <w:rFonts w:ascii="Times New Roman" w:cs="Times New Roman" w:eastAsia="Times New Roman" w:hAnsi="Times New Roman"/>
          <w:sz w:val="24"/>
          <w:szCs w:val="24"/>
          <w:color w:val="222222"/>
        </w:rPr>
        <w:t>eozinofil aktivasyonun</w:t>
      </w:r>
      <w:r>
        <w:rPr>
          <w:rFonts w:ascii="Times New Roman" w:cs="Times New Roman" w:eastAsia="Times New Roman" w:hAnsi="Times New Roman"/>
          <w:sz w:val="24"/>
          <w:szCs w:val="24"/>
          <w:color w:val="222222"/>
        </w:rPr>
        <w:t xml:space="preserve">u sağlarlar </w:t>
      </w:r>
      <w:r>
        <w:rPr>
          <w:rFonts w:ascii="Times New Roman" w:cs="Times New Roman" w:eastAsia="Times New Roman" w:hAnsi="Times New Roman"/>
          <w:sz w:val="24"/>
          <w:szCs w:val="24"/>
          <w:color w:val="222222"/>
        </w:rPr>
        <w:t>(67-69). Yüzde</w:t>
      </w:r>
      <w:r>
        <w:rPr>
          <w:rFonts w:ascii="Times New Roman" w:cs="Times New Roman" w:eastAsia="Times New Roman" w:hAnsi="Times New Roman"/>
          <w:sz w:val="24"/>
          <w:szCs w:val="24"/>
          <w:color w:val="222222"/>
        </w:rPr>
        <w:t xml:space="preserve"> kızarıklık (flushing) yapıcı etkileri mevcutt</w:t>
      </w:r>
      <w:r>
        <w:rPr>
          <w:rFonts w:ascii="Times New Roman" w:cs="Times New Roman" w:eastAsia="Times New Roman" w:hAnsi="Times New Roman"/>
          <w:sz w:val="24"/>
          <w:szCs w:val="24"/>
          <w:color w:val="222222"/>
        </w:rPr>
        <w:t>ur. PGD2 metaboliti 11-PGF2 alfa</w:t>
      </w:r>
      <w:r>
        <w:rPr>
          <w:rFonts w:ascii="Times New Roman" w:cs="Times New Roman" w:eastAsia="Times New Roman" w:hAnsi="Times New Roman"/>
          <w:sz w:val="24"/>
          <w:szCs w:val="24"/>
          <w:color w:val="222222"/>
        </w:rPr>
        <w:t xml:space="preserve"> düzeyleri sistemik mastositoz ve aspirin aracılı astımda artar </w:t>
      </w:r>
      <w:r>
        <w:rPr>
          <w:rFonts w:ascii="Times New Roman" w:cs="Times New Roman" w:eastAsia="Times New Roman" w:hAnsi="Times New Roman"/>
          <w:sz w:val="24"/>
          <w:szCs w:val="24"/>
          <w:color w:val="222222"/>
        </w:rPr>
        <w:t>(70, 71).</w:t>
      </w:r>
    </w:p>
    <w:p>
      <w:pPr>
        <w:spacing w:after="0" w:line="323" w:lineRule="exact"/>
        <w:rPr>
          <w:sz w:val="20"/>
          <w:szCs w:val="20"/>
          <w:color w:val="auto"/>
        </w:rPr>
      </w:pPr>
    </w:p>
    <w:p>
      <w:pPr>
        <w:jc w:val="both"/>
        <w:ind w:left="840" w:firstLine="917"/>
        <w:spacing w:after="0" w:line="196" w:lineRule="auto"/>
        <w:rPr>
          <w:sz w:val="20"/>
          <w:szCs w:val="20"/>
          <w:color w:val="auto"/>
        </w:rPr>
      </w:pPr>
      <w:r>
        <w:rPr>
          <w:rFonts w:ascii="Times New Roman" w:cs="Times New Roman" w:eastAsia="Times New Roman" w:hAnsi="Times New Roman"/>
          <w:sz w:val="24"/>
          <w:szCs w:val="24"/>
          <w:b w:val="1"/>
          <w:bCs w:val="1"/>
          <w:color w:val="222222"/>
        </w:rPr>
        <w:t>Lökotrienler</w:t>
      </w:r>
      <w:r>
        <w:rPr>
          <w:rFonts w:ascii="Arial" w:cs="Arial" w:eastAsia="Arial" w:hAnsi="Arial"/>
          <w:sz w:val="48"/>
          <w:szCs w:val="48"/>
          <w:color w:val="222222"/>
          <w:vertAlign w:val="superscript"/>
        </w:rPr>
        <w:t>→</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Mikrovasküler permeabilite artışı, bronkokonstr</w:t>
      </w:r>
      <w:r>
        <w:rPr>
          <w:rFonts w:ascii="Times New Roman" w:cs="Times New Roman" w:eastAsia="Times New Roman" w:hAnsi="Times New Roman"/>
          <w:sz w:val="24"/>
          <w:szCs w:val="24"/>
          <w:color w:val="222222"/>
        </w:rPr>
        <w:t>üksiyon ve</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 xml:space="preserve">ciltte ürtikeryal lezyon oluşumunda </w:t>
      </w:r>
      <w:r>
        <w:rPr>
          <w:rFonts w:ascii="Times New Roman" w:cs="Times New Roman" w:eastAsia="Times New Roman" w:hAnsi="Times New Roman"/>
          <w:sz w:val="24"/>
          <w:szCs w:val="24"/>
          <w:color w:val="222222"/>
        </w:rPr>
        <w:t>etkileri mevcuttur (72).</w:t>
      </w:r>
    </w:p>
    <w:p>
      <w:pPr>
        <w:spacing w:after="0" w:line="390" w:lineRule="exact"/>
        <w:rPr>
          <w:sz w:val="20"/>
          <w:szCs w:val="20"/>
          <w:color w:val="auto"/>
        </w:rPr>
      </w:pPr>
    </w:p>
    <w:p>
      <w:pPr>
        <w:jc w:val="both"/>
        <w:ind w:left="840" w:firstLine="917"/>
        <w:spacing w:after="0" w:line="285" w:lineRule="auto"/>
        <w:rPr>
          <w:sz w:val="20"/>
          <w:szCs w:val="20"/>
          <w:color w:val="auto"/>
        </w:rPr>
      </w:pPr>
      <w:r>
        <w:rPr>
          <w:rFonts w:ascii="Times New Roman" w:cs="Times New Roman" w:eastAsia="Times New Roman" w:hAnsi="Times New Roman"/>
          <w:sz w:val="24"/>
          <w:szCs w:val="24"/>
          <w:b w:val="1"/>
          <w:bCs w:val="1"/>
          <w:color w:val="222222"/>
        </w:rPr>
        <w:t>Platelet Aktive Edici Faktör</w:t>
      </w:r>
      <w:r>
        <w:rPr>
          <w:rFonts w:ascii="Arial" w:cs="Arial" w:eastAsia="Arial" w:hAnsi="Arial"/>
          <w:sz w:val="48"/>
          <w:szCs w:val="48"/>
          <w:color w:val="222222"/>
          <w:vertAlign w:val="superscript"/>
        </w:rPr>
        <w:t>→</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Makrofaj sitokin üretimini arttırır</w:t>
      </w:r>
      <w:r>
        <w:rPr>
          <w:rFonts w:ascii="Times New Roman" w:cs="Times New Roman" w:eastAsia="Times New Roman" w:hAnsi="Times New Roman"/>
          <w:sz w:val="24"/>
          <w:szCs w:val="24"/>
          <w:color w:val="222222"/>
        </w:rPr>
        <w:t>(73).</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 xml:space="preserve">Eozinofil, monosit/makrofaj </w:t>
      </w:r>
      <w:r>
        <w:rPr>
          <w:rFonts w:ascii="Times New Roman" w:cs="Times New Roman" w:eastAsia="Times New Roman" w:hAnsi="Times New Roman"/>
          <w:sz w:val="24"/>
          <w:szCs w:val="24"/>
          <w:color w:val="222222"/>
        </w:rPr>
        <w:t>ve nötrofil kemotaksisini arttırır</w:t>
      </w:r>
      <w:r>
        <w:rPr>
          <w:rFonts w:ascii="Times New Roman" w:cs="Times New Roman" w:eastAsia="Times New Roman" w:hAnsi="Times New Roman"/>
          <w:sz w:val="24"/>
          <w:szCs w:val="24"/>
          <w:color w:val="222222"/>
        </w:rPr>
        <w:t xml:space="preserve"> (74, 75). Nötrofil transmigrasyonunu endotel hücreleri üzerindeki adezyon moleküllerini art</w:t>
      </w:r>
      <w:r>
        <w:rPr>
          <w:rFonts w:ascii="Times New Roman" w:cs="Times New Roman" w:eastAsia="Times New Roman" w:hAnsi="Times New Roman"/>
          <w:sz w:val="24"/>
          <w:szCs w:val="24"/>
          <w:color w:val="222222"/>
        </w:rPr>
        <w:t>tırarak</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sağlar </w:t>
      </w:r>
      <w:r>
        <w:rPr>
          <w:rFonts w:ascii="Times New Roman" w:cs="Times New Roman" w:eastAsia="Times New Roman" w:hAnsi="Times New Roman"/>
          <w:sz w:val="24"/>
          <w:szCs w:val="24"/>
          <w:color w:val="222222"/>
        </w:rPr>
        <w:t>(76)</w:t>
      </w:r>
      <w:r>
        <w:rPr>
          <w:rFonts w:ascii="Times New Roman" w:cs="Times New Roman" w:eastAsia="Times New Roman" w:hAnsi="Times New Roman"/>
          <w:sz w:val="24"/>
          <w:szCs w:val="24"/>
          <w:color w:val="222222"/>
        </w:rPr>
        <w:t xml:space="preserve">. Bronkokonstrüksiyon ve damar duvar geçirgenliğinde artışa neden olur </w:t>
      </w:r>
      <w:r>
        <w:rPr>
          <w:rFonts w:ascii="Times New Roman" w:cs="Times New Roman" w:eastAsia="Times New Roman" w:hAnsi="Times New Roman"/>
          <w:sz w:val="24"/>
          <w:szCs w:val="24"/>
          <w:color w:val="222222"/>
        </w:rPr>
        <w:t>(77).</w:t>
      </w:r>
    </w:p>
    <w:p>
      <w:pPr>
        <w:spacing w:after="0" w:line="343" w:lineRule="exact"/>
        <w:rPr>
          <w:sz w:val="20"/>
          <w:szCs w:val="20"/>
          <w:color w:val="auto"/>
        </w:rPr>
      </w:pPr>
    </w:p>
    <w:p>
      <w:pPr>
        <w:jc w:val="both"/>
        <w:ind w:left="840" w:firstLine="917"/>
        <w:spacing w:after="0" w:line="196" w:lineRule="auto"/>
        <w:rPr>
          <w:sz w:val="20"/>
          <w:szCs w:val="20"/>
          <w:color w:val="auto"/>
        </w:rPr>
      </w:pPr>
      <w:r>
        <w:rPr>
          <w:rFonts w:ascii="Times New Roman" w:cs="Times New Roman" w:eastAsia="Times New Roman" w:hAnsi="Times New Roman"/>
          <w:sz w:val="24"/>
          <w:szCs w:val="24"/>
          <w:b w:val="1"/>
          <w:bCs w:val="1"/>
          <w:color w:val="222222"/>
        </w:rPr>
        <w:t>Sitokinler</w:t>
      </w:r>
      <w:r>
        <w:rPr>
          <w:rFonts w:ascii="Arial" w:cs="Arial" w:eastAsia="Arial" w:hAnsi="Arial"/>
          <w:sz w:val="48"/>
          <w:szCs w:val="48"/>
          <w:color w:val="222222"/>
          <w:vertAlign w:val="superscript"/>
        </w:rPr>
        <w:t>→</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IL-4, IL-5, IL-9, IL-10 ve TNF alfa m</w:t>
      </w:r>
      <w:r>
        <w:rPr>
          <w:rFonts w:ascii="Times New Roman" w:cs="Times New Roman" w:eastAsia="Times New Roman" w:hAnsi="Times New Roman"/>
          <w:sz w:val="24"/>
          <w:szCs w:val="24"/>
          <w:color w:val="222222"/>
        </w:rPr>
        <w:t>ast Hücreleri tarafından</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sekrete edilebilir.</w:t>
      </w:r>
    </w:p>
    <w:p>
      <w:pPr>
        <w:sectPr>
          <w:pgSz w:w="11900" w:h="16838" w:orient="portrait"/>
          <w:cols w:equalWidth="0" w:num="1">
            <w:col w:w="9060"/>
          </w:cols>
          <w:pgMar w:left="1440" w:top="714" w:right="1406" w:bottom="1440" w:gutter="0" w:footer="0" w:header="0"/>
        </w:sectPr>
      </w:pPr>
    </w:p>
    <w:bookmarkStart w:id="16" w:name="page17"/>
    <w:bookmarkEnd w:id="16"/>
    <w:p>
      <w:pPr>
        <w:jc w:val="right"/>
        <w:spacing w:after="0"/>
        <w:rPr>
          <w:sz w:val="20"/>
          <w:szCs w:val="20"/>
          <w:color w:val="auto"/>
        </w:rPr>
      </w:pPr>
      <w:r>
        <w:rPr>
          <w:rFonts w:ascii="Calibri" w:cs="Calibri" w:eastAsia="Calibri" w:hAnsi="Calibri"/>
          <w:sz w:val="22"/>
          <w:szCs w:val="22"/>
          <w:color w:val="auto"/>
        </w:rPr>
        <w:t>6</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222222"/>
        </w:rPr>
        <w:t>2.2 Sistemik Mastositoz</w:t>
      </w: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jc w:val="both"/>
        <w:ind w:left="840" w:firstLine="708"/>
        <w:spacing w:after="0" w:line="354" w:lineRule="auto"/>
        <w:rPr>
          <w:sz w:val="20"/>
          <w:szCs w:val="20"/>
          <w:color w:val="auto"/>
        </w:rPr>
      </w:pPr>
      <w:r>
        <w:rPr>
          <w:rFonts w:ascii="Times New Roman" w:cs="Times New Roman" w:eastAsia="Times New Roman" w:hAnsi="Times New Roman"/>
          <w:sz w:val="24"/>
          <w:szCs w:val="24"/>
          <w:color w:val="auto"/>
        </w:rPr>
        <w:t xml:space="preserve">Mastositoz bir veya daha fazla organ sisteminde hem immünfenotip hem de </w:t>
      </w:r>
      <w:r>
        <w:rPr>
          <w:rFonts w:ascii="Times New Roman" w:cs="Times New Roman" w:eastAsia="Times New Roman" w:hAnsi="Times New Roman"/>
          <w:sz w:val="24"/>
          <w:szCs w:val="24"/>
          <w:color w:val="auto"/>
        </w:rPr>
        <w:t xml:space="preserve">morfolojik olarak anormal mast hücrelerinin aşırı bir biçimde çoğalma ve </w:t>
      </w:r>
      <w:r>
        <w:rPr>
          <w:rFonts w:ascii="Times New Roman" w:cs="Times New Roman" w:eastAsia="Times New Roman" w:hAnsi="Times New Roman"/>
          <w:sz w:val="24"/>
          <w:szCs w:val="24"/>
          <w:color w:val="auto"/>
        </w:rPr>
        <w:t>birikmesiyle karakterize nadir görülen klonal bir neoplazidir (1-3).</w:t>
      </w:r>
    </w:p>
    <w:p>
      <w:pPr>
        <w:spacing w:after="0" w:line="180" w:lineRule="exact"/>
        <w:rPr>
          <w:sz w:val="20"/>
          <w:szCs w:val="20"/>
          <w:color w:val="auto"/>
        </w:rPr>
      </w:pPr>
    </w:p>
    <w:p>
      <w:pPr>
        <w:jc w:val="both"/>
        <w:ind w:left="840" w:firstLine="708"/>
        <w:spacing w:after="0" w:line="356" w:lineRule="auto"/>
        <w:rPr>
          <w:sz w:val="20"/>
          <w:szCs w:val="20"/>
          <w:color w:val="auto"/>
        </w:rPr>
      </w:pPr>
      <w:r>
        <w:rPr>
          <w:rFonts w:ascii="Times New Roman" w:cs="Times New Roman" w:eastAsia="Times New Roman" w:hAnsi="Times New Roman"/>
          <w:sz w:val="24"/>
          <w:szCs w:val="24"/>
          <w:color w:val="auto"/>
        </w:rPr>
        <w:t xml:space="preserve">2016 yılında revize edilen Dünya Sağlık Örgütü’nün </w:t>
      </w:r>
      <w:r>
        <w:rPr>
          <w:rFonts w:ascii="Times New Roman" w:cs="Times New Roman" w:eastAsia="Times New Roman" w:hAnsi="Times New Roman"/>
          <w:sz w:val="24"/>
          <w:szCs w:val="24"/>
          <w:color w:val="auto"/>
        </w:rPr>
        <w:t>miyeloid neoplazmlar</w:t>
      </w:r>
      <w:r>
        <w:rPr>
          <w:rFonts w:ascii="Times New Roman" w:cs="Times New Roman" w:eastAsia="Times New Roman" w:hAnsi="Times New Roman"/>
          <w:sz w:val="24"/>
          <w:szCs w:val="24"/>
          <w:color w:val="auto"/>
        </w:rPr>
        <w:t xml:space="preserve"> sınıflandırmasında </w:t>
      </w:r>
      <w:r>
        <w:rPr>
          <w:rFonts w:ascii="Times New Roman" w:cs="Times New Roman" w:eastAsia="Times New Roman" w:hAnsi="Times New Roman"/>
          <w:sz w:val="24"/>
          <w:szCs w:val="24"/>
          <w:color w:val="auto"/>
        </w:rPr>
        <w:t>m</w:t>
      </w:r>
      <w:r>
        <w:rPr>
          <w:rFonts w:ascii="Times New Roman" w:cs="Times New Roman" w:eastAsia="Times New Roman" w:hAnsi="Times New Roman"/>
          <w:sz w:val="24"/>
          <w:szCs w:val="24"/>
          <w:color w:val="auto"/>
        </w:rPr>
        <w:t xml:space="preserve">astositoz daha önceden içinde bulunduğu myeloproliferatif neoplazmlar arasından çıkartılmış olup artık farklı kategoride bir hastalık olarak değerlendirilmektedir </w:t>
      </w:r>
      <w:r>
        <w:rPr>
          <w:rFonts w:ascii="Times New Roman" w:cs="Times New Roman" w:eastAsia="Times New Roman" w:hAnsi="Times New Roman"/>
          <w:sz w:val="24"/>
          <w:szCs w:val="24"/>
          <w:color w:val="auto"/>
        </w:rPr>
        <w:t>(78, 79).</w:t>
      </w:r>
    </w:p>
    <w:p>
      <w:pPr>
        <w:spacing w:after="0" w:line="178" w:lineRule="exact"/>
        <w:rPr>
          <w:sz w:val="20"/>
          <w:szCs w:val="20"/>
          <w:color w:val="auto"/>
        </w:rPr>
      </w:pPr>
    </w:p>
    <w:p>
      <w:pPr>
        <w:jc w:val="both"/>
        <w:ind w:left="840" w:firstLine="708"/>
        <w:spacing w:after="0" w:line="358" w:lineRule="auto"/>
        <w:rPr>
          <w:sz w:val="20"/>
          <w:szCs w:val="20"/>
          <w:color w:val="auto"/>
        </w:rPr>
      </w:pPr>
      <w:r>
        <w:rPr>
          <w:rFonts w:ascii="Times New Roman" w:cs="Times New Roman" w:eastAsia="Times New Roman" w:hAnsi="Times New Roman"/>
          <w:sz w:val="24"/>
          <w:szCs w:val="24"/>
          <w:color w:val="auto"/>
        </w:rPr>
        <w:t xml:space="preserve">Mastositoz, sistemik mastositoz ve kütanöz mastositoz olmak üzere ikiye </w:t>
      </w:r>
      <w:r>
        <w:rPr>
          <w:rFonts w:ascii="Times New Roman" w:cs="Times New Roman" w:eastAsia="Times New Roman" w:hAnsi="Times New Roman"/>
          <w:sz w:val="24"/>
          <w:szCs w:val="24"/>
          <w:color w:val="auto"/>
        </w:rPr>
        <w:t xml:space="preserve">ayrılır. Mastositoz hem erişkin hem de çocukluk çağında görülebilir. Çocukluk çağında vakaların %80’i ilk 1 yıl içinde ve cilde sınırlı prezente olur. Genellikle kendi kendini sınırlar ve adölesan dönemde de tamamen düzelir </w:t>
      </w:r>
      <w:r>
        <w:rPr>
          <w:rFonts w:ascii="Times New Roman" w:cs="Times New Roman" w:eastAsia="Times New Roman" w:hAnsi="Times New Roman"/>
          <w:sz w:val="24"/>
          <w:szCs w:val="24"/>
          <w:color w:val="auto"/>
        </w:rPr>
        <w:t>(4-7).</w:t>
      </w:r>
      <w:r>
        <w:rPr>
          <w:rFonts w:ascii="Times New Roman" w:cs="Times New Roman" w:eastAsia="Times New Roman" w:hAnsi="Times New Roman"/>
          <w:sz w:val="24"/>
          <w:szCs w:val="24"/>
          <w:color w:val="auto"/>
        </w:rPr>
        <w:t xml:space="preserve"> Erişkinlerde ise hastalık daha çok ekstrakütanöz tutulum ile karakterize çoklu organ yetmezliği ile seyredebilen ve azalmış sağ kalıma neden olan </w:t>
      </w:r>
      <w:r>
        <w:rPr>
          <w:rFonts w:ascii="Times New Roman" w:cs="Times New Roman" w:eastAsia="Times New Roman" w:hAnsi="Times New Roman"/>
          <w:sz w:val="24"/>
          <w:szCs w:val="24"/>
          <w:color w:val="auto"/>
        </w:rPr>
        <w:t>SM</w:t>
      </w:r>
      <w:r>
        <w:rPr>
          <w:rFonts w:ascii="Times New Roman" w:cs="Times New Roman" w:eastAsia="Times New Roman" w:hAnsi="Times New Roman"/>
          <w:sz w:val="24"/>
          <w:szCs w:val="24"/>
          <w:color w:val="auto"/>
        </w:rPr>
        <w:t xml:space="preserve"> şeklinde seyretmektedir </w:t>
      </w:r>
      <w:r>
        <w:rPr>
          <w:rFonts w:ascii="Times New Roman" w:cs="Times New Roman" w:eastAsia="Times New Roman" w:hAnsi="Times New Roman"/>
          <w:sz w:val="24"/>
          <w:szCs w:val="24"/>
          <w:color w:val="auto"/>
        </w:rPr>
        <w:t>(8).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-1565275</wp:posOffset>
            </wp:positionV>
            <wp:extent cx="4699000" cy="18542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222222"/>
        </w:rPr>
        <w:t>2.2.1 Epidemiyoloji</w:t>
      </w:r>
    </w:p>
    <w:p>
      <w:pPr>
        <w:spacing w:after="0" w:line="310" w:lineRule="exact"/>
        <w:rPr>
          <w:sz w:val="20"/>
          <w:szCs w:val="20"/>
          <w:color w:val="auto"/>
        </w:rPr>
      </w:pPr>
    </w:p>
    <w:p>
      <w:pPr>
        <w:jc w:val="both"/>
        <w:ind w:left="840" w:firstLine="708"/>
        <w:spacing w:after="0" w:line="358" w:lineRule="auto"/>
        <w:rPr>
          <w:sz w:val="20"/>
          <w:szCs w:val="20"/>
          <w:color w:val="auto"/>
        </w:rPr>
      </w:pPr>
      <w:r>
        <w:rPr>
          <w:rFonts w:ascii="Times New Roman" w:cs="Times New Roman" w:eastAsia="Times New Roman" w:hAnsi="Times New Roman"/>
          <w:sz w:val="24"/>
          <w:szCs w:val="24"/>
          <w:color w:val="222222"/>
        </w:rPr>
        <w:t xml:space="preserve">SM </w:t>
      </w:r>
      <w:r>
        <w:rPr>
          <w:rFonts w:ascii="Times New Roman" w:cs="Times New Roman" w:eastAsia="Times New Roman" w:hAnsi="Times New Roman"/>
          <w:sz w:val="24"/>
          <w:szCs w:val="24"/>
          <w:color w:val="222222"/>
        </w:rPr>
        <w:t>nadir bir hastalıktır. İnsidansı ve prevalansına yönelik net bilgiler mevcut</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değildir. Kadınlarda ve erkeklerde eşit görülmektedir. Orpha.net verilerinde prevalansı 1/10000 olarak belirtilmiştir. Cohen ve arkadaşlarının Danimarka’da tanı almış olan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olguları üzerine yapmış oldukları 199</w:t>
      </w:r>
      <w:r>
        <w:rPr>
          <w:rFonts w:ascii="Times New Roman" w:cs="Times New Roman" w:eastAsia="Times New Roman" w:hAnsi="Times New Roman"/>
          <w:sz w:val="24"/>
          <w:szCs w:val="24"/>
          <w:color w:val="222222"/>
        </w:rPr>
        <w:t>7-2010 tarihlerini kapsayan</w:t>
      </w:r>
      <w:r>
        <w:rPr>
          <w:rFonts w:ascii="Times New Roman" w:cs="Times New Roman" w:eastAsia="Times New Roman" w:hAnsi="Times New Roman"/>
          <w:sz w:val="24"/>
          <w:szCs w:val="24"/>
          <w:color w:val="222222"/>
        </w:rPr>
        <w:t xml:space="preserve"> epidemiyolojik çalışmada prevalans 9,59/100000 ve insidans 0,89/100000 olarak belirtilmiştir </w:t>
      </w:r>
      <w:r>
        <w:rPr>
          <w:rFonts w:ascii="Times New Roman" w:cs="Times New Roman" w:eastAsia="Times New Roman" w:hAnsi="Times New Roman"/>
          <w:sz w:val="24"/>
          <w:szCs w:val="24"/>
          <w:color w:val="222222"/>
        </w:rPr>
        <w:t>(80).</w:t>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222222"/>
        </w:rPr>
        <w:t>2.2.2 Patogenez</w:t>
      </w:r>
    </w:p>
    <w:p>
      <w:pPr>
        <w:spacing w:after="0" w:line="310" w:lineRule="exact"/>
        <w:rPr>
          <w:sz w:val="20"/>
          <w:szCs w:val="20"/>
          <w:color w:val="auto"/>
        </w:rPr>
      </w:pPr>
    </w:p>
    <w:p>
      <w:pPr>
        <w:jc w:val="both"/>
        <w:ind w:left="840" w:firstLine="708"/>
        <w:spacing w:after="0" w:line="356" w:lineRule="auto"/>
        <w:rPr>
          <w:sz w:val="20"/>
          <w:szCs w:val="20"/>
          <w:color w:val="auto"/>
        </w:rPr>
      </w:pPr>
      <w:r>
        <w:rPr>
          <w:rFonts w:ascii="Times New Roman" w:cs="Times New Roman" w:eastAsia="Times New Roman" w:hAnsi="Times New Roman"/>
          <w:sz w:val="24"/>
          <w:szCs w:val="24"/>
          <w:color w:val="auto"/>
        </w:rPr>
        <w:t>SM’nin patogenezi ve genetik anomalileri net bir şekilde aydınlatılamamıştır. Hastalığın patogenezinden sıklıkla K</w:t>
      </w:r>
      <w:r>
        <w:rPr>
          <w:rFonts w:ascii="Times New Roman" w:cs="Times New Roman" w:eastAsia="Times New Roman" w:hAnsi="Times New Roman"/>
          <w:sz w:val="24"/>
          <w:szCs w:val="24"/>
          <w:color w:val="auto"/>
        </w:rPr>
        <w:t>IT</w:t>
      </w:r>
      <w:r>
        <w:rPr>
          <w:rFonts w:ascii="Times New Roman" w:cs="Times New Roman" w:eastAsia="Times New Roman" w:hAnsi="Times New Roman"/>
          <w:sz w:val="24"/>
          <w:szCs w:val="24"/>
          <w:color w:val="auto"/>
        </w:rPr>
        <w:t xml:space="preserve"> (CD117) tirozin kinazını kodlayan </w:t>
      </w:r>
      <w:r>
        <w:rPr>
          <w:rFonts w:ascii="Times New Roman" w:cs="Times New Roman" w:eastAsia="Times New Roman" w:hAnsi="Times New Roman"/>
          <w:sz w:val="24"/>
          <w:szCs w:val="24"/>
          <w:i w:val="1"/>
          <w:iCs w:val="1"/>
          <w:color w:val="auto"/>
        </w:rPr>
        <w:t>KIT</w:t>
      </w:r>
      <w:r>
        <w:rPr>
          <w:rFonts w:ascii="Times New Roman" w:cs="Times New Roman" w:eastAsia="Times New Roman" w:hAnsi="Times New Roman"/>
          <w:sz w:val="24"/>
          <w:szCs w:val="24"/>
          <w:color w:val="auto"/>
        </w:rPr>
        <w:t xml:space="preserve"> geninin somatik ‘’fonksiyon kazandıran’’ </w:t>
      </w:r>
      <w:r>
        <w:rPr>
          <w:rFonts w:ascii="Times New Roman" w:cs="Times New Roman" w:eastAsia="Times New Roman" w:hAnsi="Times New Roman"/>
          <w:sz w:val="24"/>
          <w:szCs w:val="24"/>
          <w:color w:val="auto"/>
        </w:rPr>
        <w:t>nokta</w:t>
      </w:r>
      <w:r>
        <w:rPr>
          <w:rFonts w:ascii="Times New Roman" w:cs="Times New Roman" w:eastAsia="Times New Roman" w:hAnsi="Times New Roman"/>
          <w:sz w:val="24"/>
          <w:szCs w:val="24"/>
          <w:color w:val="auto"/>
        </w:rPr>
        <w:t xml:space="preserve"> mutasyonları </w:t>
      </w:r>
      <w:r>
        <w:rPr>
          <w:rFonts w:ascii="Times New Roman" w:cs="Times New Roman" w:eastAsia="Times New Roman" w:hAnsi="Times New Roman"/>
          <w:sz w:val="24"/>
          <w:szCs w:val="24"/>
          <w:color w:val="auto"/>
        </w:rPr>
        <w:t>(gain of function)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sorumludur. KIT </w:t>
      </w:r>
      <w:r>
        <w:rPr>
          <w:rFonts w:ascii="Times New Roman" w:cs="Times New Roman" w:eastAsia="Times New Roman" w:hAnsi="Times New Roman"/>
          <w:sz w:val="24"/>
          <w:szCs w:val="24"/>
          <w:color w:val="auto"/>
        </w:rPr>
        <w:t>(CD117) mast hücreleri tarafından eksprese edil</w:t>
      </w:r>
      <w:r>
        <w:rPr>
          <w:rFonts w:ascii="Times New Roman" w:cs="Times New Roman" w:eastAsia="Times New Roman" w:hAnsi="Times New Roman"/>
          <w:sz w:val="24"/>
          <w:szCs w:val="24"/>
          <w:color w:val="auto"/>
        </w:rPr>
        <w:t>ir ve Tip 3 reseptör</w:t>
      </w:r>
    </w:p>
    <w:p>
      <w:pPr>
        <w:sectPr>
          <w:pgSz w:w="11900" w:h="16838" w:orient="portrait"/>
          <w:cols w:equalWidth="0" w:num="1">
            <w:col w:w="9060"/>
          </w:cols>
          <w:pgMar w:left="1440" w:top="714" w:right="1406" w:bottom="1137" w:gutter="0" w:footer="0" w:header="0"/>
        </w:sectPr>
      </w:pPr>
    </w:p>
    <w:bookmarkStart w:id="17" w:name="page18"/>
    <w:bookmarkEnd w:id="17"/>
    <w:p>
      <w:pPr>
        <w:ind w:left="8940"/>
        <w:spacing w:after="0"/>
        <w:rPr>
          <w:sz w:val="20"/>
          <w:szCs w:val="20"/>
          <w:color w:val="auto"/>
        </w:rPr>
      </w:pPr>
      <w:r>
        <w:rPr>
          <w:rFonts w:ascii="Calibri" w:cs="Calibri" w:eastAsia="Calibri" w:hAnsi="Calibri"/>
          <w:sz w:val="22"/>
          <w:szCs w:val="22"/>
          <w:color w:val="auto"/>
        </w:rPr>
        <w:t>7</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left="840"/>
        <w:spacing w:after="0" w:line="348" w:lineRule="auto"/>
        <w:rPr>
          <w:sz w:val="20"/>
          <w:szCs w:val="20"/>
          <w:color w:val="auto"/>
        </w:rPr>
      </w:pPr>
      <w:r>
        <w:rPr>
          <w:rFonts w:ascii="Times New Roman" w:cs="Times New Roman" w:eastAsia="Times New Roman" w:hAnsi="Times New Roman"/>
          <w:sz w:val="24"/>
          <w:szCs w:val="24"/>
          <w:color w:val="auto"/>
        </w:rPr>
        <w:t>tirozin kinaz aktivitesi gösterir. KIT (CD117) SCF (stem cell f</w:t>
      </w:r>
      <w:r>
        <w:rPr>
          <w:rFonts w:ascii="Times New Roman" w:cs="Times New Roman" w:eastAsia="Times New Roman" w:hAnsi="Times New Roman"/>
          <w:sz w:val="24"/>
          <w:szCs w:val="24"/>
          <w:color w:val="auto"/>
        </w:rPr>
        <w:t>actor) adlı ligandın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reseptörü olarak görev yapmaktadır </w:t>
      </w:r>
      <w:r>
        <w:rPr>
          <w:rFonts w:ascii="Times New Roman" w:cs="Times New Roman" w:eastAsia="Times New Roman" w:hAnsi="Times New Roman"/>
          <w:sz w:val="24"/>
          <w:szCs w:val="24"/>
          <w:color w:val="auto"/>
        </w:rPr>
        <w:t>(81).</w:t>
      </w:r>
    </w:p>
    <w:p>
      <w:pPr>
        <w:spacing w:after="0" w:line="188" w:lineRule="exact"/>
        <w:rPr>
          <w:sz w:val="20"/>
          <w:szCs w:val="20"/>
          <w:color w:val="auto"/>
        </w:rPr>
      </w:pPr>
    </w:p>
    <w:p>
      <w:pPr>
        <w:jc w:val="both"/>
        <w:ind w:left="840" w:firstLine="708"/>
        <w:spacing w:after="0" w:line="357" w:lineRule="auto"/>
        <w:rPr>
          <w:sz w:val="20"/>
          <w:szCs w:val="20"/>
          <w:color w:val="auto"/>
        </w:rPr>
      </w:pPr>
      <w:r>
        <w:rPr>
          <w:rFonts w:ascii="Times New Roman" w:cs="Times New Roman" w:eastAsia="Times New Roman" w:hAnsi="Times New Roman"/>
          <w:sz w:val="24"/>
          <w:szCs w:val="24"/>
          <w:color w:val="auto"/>
        </w:rPr>
        <w:t xml:space="preserve">Mast hücreleri harici diğer hematopoetik hücreler de gelişim aşamalarının </w:t>
      </w:r>
      <w:r>
        <w:rPr>
          <w:rFonts w:ascii="Times New Roman" w:cs="Times New Roman" w:eastAsia="Times New Roman" w:hAnsi="Times New Roman"/>
          <w:sz w:val="24"/>
          <w:szCs w:val="24"/>
          <w:color w:val="auto"/>
        </w:rPr>
        <w:t xml:space="preserve">erken dönemlerinde KIT eksprese ederler ancak mature olduktan sonra KIT eksprese </w:t>
      </w:r>
      <w:r>
        <w:rPr>
          <w:rFonts w:ascii="Times New Roman" w:cs="Times New Roman" w:eastAsia="Times New Roman" w:hAnsi="Times New Roman"/>
          <w:sz w:val="24"/>
          <w:szCs w:val="24"/>
          <w:color w:val="auto"/>
        </w:rPr>
        <w:t xml:space="preserve">etmeyerek SCF’ye yanıtsız hale gelirler. Mast hücreleri ise hem erken gelişim </w:t>
      </w:r>
      <w:r>
        <w:rPr>
          <w:rFonts w:ascii="Times New Roman" w:cs="Times New Roman" w:eastAsia="Times New Roman" w:hAnsi="Times New Roman"/>
          <w:sz w:val="24"/>
          <w:szCs w:val="24"/>
          <w:color w:val="auto"/>
        </w:rPr>
        <w:t xml:space="preserve">dönemlerinde hem de matürasyon dönemlerinde KIT eksprese ederek SCF etkilerine </w:t>
      </w:r>
      <w:r>
        <w:rPr>
          <w:rFonts w:ascii="Times New Roman" w:cs="Times New Roman" w:eastAsia="Times New Roman" w:hAnsi="Times New Roman"/>
          <w:sz w:val="24"/>
          <w:szCs w:val="24"/>
          <w:color w:val="auto"/>
        </w:rPr>
        <w:t>hep duyarlı kalırlar. SCF</w:t>
      </w:r>
      <w:r>
        <w:rPr>
          <w:rFonts w:ascii="Times New Roman" w:cs="Times New Roman" w:eastAsia="Times New Roman" w:hAnsi="Times New Roman"/>
          <w:sz w:val="24"/>
          <w:szCs w:val="24"/>
          <w:color w:val="auto"/>
        </w:rPr>
        <w:t>-KI</w:t>
      </w:r>
      <w:r>
        <w:rPr>
          <w:rFonts w:ascii="Times New Roman" w:cs="Times New Roman" w:eastAsia="Times New Roman" w:hAnsi="Times New Roman"/>
          <w:sz w:val="24"/>
          <w:szCs w:val="24"/>
          <w:color w:val="auto"/>
        </w:rPr>
        <w:t xml:space="preserve">T etkileşimi hematopoetik kök hücrelerden mast hücrelerinin gelişimini, farklılaşmasını ve sonrasındaki mast hücre proliferasyonunu sağlamaktadır </w:t>
      </w:r>
      <w:r>
        <w:rPr>
          <w:rFonts w:ascii="Times New Roman" w:cs="Times New Roman" w:eastAsia="Times New Roman" w:hAnsi="Times New Roman"/>
          <w:sz w:val="24"/>
          <w:szCs w:val="24"/>
          <w:color w:val="auto"/>
        </w:rPr>
        <w:t>(82).</w:t>
      </w:r>
    </w:p>
    <w:p>
      <w:pPr>
        <w:spacing w:after="0" w:line="185" w:lineRule="exact"/>
        <w:rPr>
          <w:sz w:val="20"/>
          <w:szCs w:val="20"/>
          <w:color w:val="auto"/>
        </w:rPr>
      </w:pPr>
    </w:p>
    <w:p>
      <w:pPr>
        <w:jc w:val="both"/>
        <w:ind w:left="840" w:firstLine="708"/>
        <w:spacing w:after="0" w:line="348" w:lineRule="auto"/>
        <w:rPr>
          <w:sz w:val="20"/>
          <w:szCs w:val="20"/>
          <w:color w:val="auto"/>
        </w:rPr>
      </w:pPr>
      <w:r>
        <w:rPr>
          <w:rFonts w:ascii="Times New Roman" w:cs="Times New Roman" w:eastAsia="Times New Roman" w:hAnsi="Times New Roman"/>
          <w:sz w:val="24"/>
          <w:szCs w:val="24"/>
          <w:color w:val="auto"/>
        </w:rPr>
        <w:t xml:space="preserve">SM </w:t>
      </w:r>
      <w:r>
        <w:rPr>
          <w:rFonts w:ascii="Times New Roman" w:cs="Times New Roman" w:eastAsia="Times New Roman" w:hAnsi="Times New Roman"/>
          <w:sz w:val="24"/>
          <w:szCs w:val="24"/>
          <w:color w:val="auto"/>
        </w:rPr>
        <w:t>hastalarının büyük çoğunluğunda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KIT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ekzon 17’de mutasyon saptanır ve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çoğunlukla D816V nokta mutasyonu şeklindedir </w:t>
      </w:r>
      <w:r>
        <w:rPr>
          <w:rFonts w:ascii="Times New Roman" w:cs="Times New Roman" w:eastAsia="Times New Roman" w:hAnsi="Times New Roman"/>
          <w:sz w:val="24"/>
          <w:szCs w:val="24"/>
          <w:color w:val="auto"/>
        </w:rPr>
        <w:t>(83, 84). D816V nokta mutasyonu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-404495</wp:posOffset>
            </wp:positionV>
            <wp:extent cx="4699000" cy="18542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ind w:left="1340" w:hanging="504"/>
        <w:spacing w:after="0"/>
        <w:tabs>
          <w:tab w:leader="none" w:pos="134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kodondaki aspartat yerine </w:t>
      </w:r>
      <w:r>
        <w:rPr>
          <w:rFonts w:ascii="Times New Roman" w:cs="Times New Roman" w:eastAsia="Times New Roman" w:hAnsi="Times New Roman"/>
          <w:sz w:val="24"/>
          <w:szCs w:val="24"/>
          <w:color w:val="auto"/>
        </w:rPr>
        <w:t>valin gelmesi ile oluşur ve bu mutasyon sonucu K</w:t>
      </w:r>
      <w:r>
        <w:rPr>
          <w:rFonts w:ascii="Times New Roman" w:cs="Times New Roman" w:eastAsia="Times New Roman" w:hAnsi="Times New Roman"/>
          <w:sz w:val="24"/>
          <w:szCs w:val="24"/>
          <w:color w:val="auto"/>
        </w:rPr>
        <w:t>IT</w:t>
      </w:r>
    </w:p>
    <w:p>
      <w:pPr>
        <w:spacing w:after="0" w:line="149" w:lineRule="exact"/>
        <w:rPr>
          <w:sz w:val="20"/>
          <w:szCs w:val="20"/>
          <w:color w:val="auto"/>
        </w:rPr>
      </w:pPr>
    </w:p>
    <w:p>
      <w:pPr>
        <w:jc w:val="both"/>
        <w:ind w:left="840"/>
        <w:spacing w:after="0" w:line="350" w:lineRule="auto"/>
        <w:rPr>
          <w:sz w:val="20"/>
          <w:szCs w:val="20"/>
          <w:color w:val="auto"/>
        </w:rPr>
      </w:pPr>
      <w:r>
        <w:rPr>
          <w:rFonts w:ascii="Times New Roman" w:cs="Times New Roman" w:eastAsia="Times New Roman" w:hAnsi="Times New Roman"/>
          <w:sz w:val="24"/>
          <w:szCs w:val="24"/>
          <w:color w:val="auto"/>
        </w:rPr>
        <w:t xml:space="preserve">ligand bağımsız otofosforile olur ve yapısal tirozin kinaz ile </w:t>
      </w:r>
      <w:r>
        <w:rPr>
          <w:rFonts w:ascii="Times New Roman" w:cs="Times New Roman" w:eastAsia="Times New Roman" w:hAnsi="Times New Roman"/>
          <w:sz w:val="24"/>
          <w:szCs w:val="24"/>
          <w:color w:val="232323"/>
          <w:highlight w:val="white"/>
        </w:rPr>
        <w:t>Stat5-PI3K-Akt sinyal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32323"/>
          <w:highlight w:val="white"/>
        </w:rPr>
        <w:t xml:space="preserve">yolaklarını </w:t>
      </w:r>
      <w:r>
        <w:rPr>
          <w:rFonts w:ascii="Times New Roman" w:cs="Times New Roman" w:eastAsia="Times New Roman" w:hAnsi="Times New Roman"/>
          <w:sz w:val="24"/>
          <w:szCs w:val="24"/>
          <w:color w:val="000000"/>
        </w:rPr>
        <w:t>aktive eder (85-87).</w:t>
      </w:r>
    </w:p>
    <w:p>
      <w:pPr>
        <w:spacing w:after="0" w:line="184" w:lineRule="exact"/>
        <w:rPr>
          <w:sz w:val="20"/>
          <w:szCs w:val="20"/>
          <w:color w:val="auto"/>
        </w:rPr>
      </w:pPr>
    </w:p>
    <w:p>
      <w:pPr>
        <w:jc w:val="both"/>
        <w:ind w:left="840" w:firstLine="708"/>
        <w:spacing w:after="0" w:line="348" w:lineRule="auto"/>
        <w:rPr>
          <w:sz w:val="20"/>
          <w:szCs w:val="20"/>
          <w:color w:val="auto"/>
        </w:rPr>
      </w:pPr>
      <w:r>
        <w:rPr>
          <w:rFonts w:ascii="Times New Roman" w:cs="Times New Roman" w:eastAsia="Times New Roman" w:hAnsi="Times New Roman"/>
          <w:sz w:val="24"/>
          <w:szCs w:val="24"/>
          <w:color w:val="auto"/>
        </w:rPr>
        <w:t>Patogenezde şüpheli diğer bir faktörde SCF’nin artmış ekspresyonudur ancak sistemik mastositoz ile ilişkisi net kanıtlanamamıştır</w:t>
      </w:r>
      <w:r>
        <w:rPr>
          <w:rFonts w:ascii="Times New Roman" w:cs="Times New Roman" w:eastAsia="Times New Roman" w:hAnsi="Times New Roman"/>
          <w:sz w:val="24"/>
          <w:szCs w:val="24"/>
          <w:color w:val="auto"/>
        </w:rPr>
        <w:t>.</w:t>
      </w:r>
    </w:p>
    <w:p>
      <w:pPr>
        <w:spacing w:after="0" w:line="186" w:lineRule="exact"/>
        <w:rPr>
          <w:sz w:val="20"/>
          <w:szCs w:val="20"/>
          <w:color w:val="auto"/>
        </w:rPr>
      </w:pPr>
    </w:p>
    <w:p>
      <w:pPr>
        <w:jc w:val="both"/>
        <w:ind w:left="840" w:firstLine="708"/>
        <w:spacing w:after="0" w:line="350" w:lineRule="auto"/>
        <w:rPr>
          <w:sz w:val="20"/>
          <w:szCs w:val="20"/>
          <w:color w:val="auto"/>
        </w:rPr>
      </w:pPr>
      <w:r>
        <w:rPr>
          <w:rFonts w:ascii="Times New Roman" w:cs="Times New Roman" w:eastAsia="Times New Roman" w:hAnsi="Times New Roman"/>
          <w:sz w:val="24"/>
          <w:szCs w:val="24"/>
          <w:color w:val="auto"/>
        </w:rPr>
        <w:t xml:space="preserve">D816V haricinde hastaların %5’inden azında V560G, </w:t>
      </w:r>
      <w:r>
        <w:rPr>
          <w:rFonts w:ascii="Times New Roman" w:cs="Times New Roman" w:eastAsia="Times New Roman" w:hAnsi="Times New Roman"/>
          <w:sz w:val="24"/>
          <w:szCs w:val="24"/>
          <w:color w:val="auto"/>
        </w:rPr>
        <w:t>D815K, D816Y,</w:t>
      </w:r>
      <w:r>
        <w:rPr>
          <w:rFonts w:ascii="Times New Roman" w:cs="Times New Roman" w:eastAsia="Times New Roman" w:hAnsi="Times New Roman"/>
          <w:sz w:val="24"/>
          <w:szCs w:val="24"/>
          <w:color w:val="auto"/>
        </w:rPr>
        <w:t xml:space="preserve"> D816H, D820G gibi farklı somatik </w:t>
      </w:r>
      <w:r>
        <w:rPr>
          <w:rFonts w:ascii="Times New Roman" w:cs="Times New Roman" w:eastAsia="Times New Roman" w:hAnsi="Times New Roman"/>
          <w:sz w:val="24"/>
          <w:szCs w:val="24"/>
          <w:i w:val="1"/>
          <w:iCs w:val="1"/>
          <w:color w:val="auto"/>
        </w:rPr>
        <w:t>KIT</w:t>
      </w:r>
      <w:r>
        <w:rPr>
          <w:rFonts w:ascii="Times New Roman" w:cs="Times New Roman" w:eastAsia="Times New Roman" w:hAnsi="Times New Roman"/>
          <w:sz w:val="24"/>
          <w:szCs w:val="24"/>
          <w:color w:val="auto"/>
        </w:rPr>
        <w:t xml:space="preserve"> mutasyonları da mevcuttur </w:t>
      </w:r>
      <w:r>
        <w:rPr>
          <w:rFonts w:ascii="Times New Roman" w:cs="Times New Roman" w:eastAsia="Times New Roman" w:hAnsi="Times New Roman"/>
          <w:sz w:val="24"/>
          <w:szCs w:val="24"/>
          <w:color w:val="auto"/>
        </w:rPr>
        <w:t>(87-91).</w:t>
      </w:r>
    </w:p>
    <w:p>
      <w:pPr>
        <w:spacing w:after="0" w:line="184" w:lineRule="exact"/>
        <w:rPr>
          <w:sz w:val="20"/>
          <w:szCs w:val="20"/>
          <w:color w:val="auto"/>
        </w:rPr>
      </w:pPr>
    </w:p>
    <w:p>
      <w:pPr>
        <w:jc w:val="both"/>
        <w:ind w:left="840" w:firstLine="708"/>
        <w:spacing w:after="0" w:line="354" w:lineRule="auto"/>
        <w:rPr>
          <w:sz w:val="20"/>
          <w:szCs w:val="20"/>
          <w:color w:val="auto"/>
        </w:rPr>
      </w:pPr>
      <w:r>
        <w:rPr>
          <w:rFonts w:ascii="Times New Roman" w:cs="Times New Roman" w:eastAsia="Times New Roman" w:hAnsi="Times New Roman"/>
          <w:sz w:val="24"/>
          <w:szCs w:val="24"/>
          <w:color w:val="222222"/>
        </w:rPr>
        <w:t xml:space="preserve">Sistemik mastositozda saptanan mutasyonlar genellikle somatik </w:t>
      </w:r>
      <w:r>
        <w:rPr>
          <w:rFonts w:ascii="Times New Roman" w:cs="Times New Roman" w:eastAsia="Times New Roman" w:hAnsi="Times New Roman"/>
          <w:sz w:val="24"/>
          <w:szCs w:val="24"/>
          <w:color w:val="222222"/>
        </w:rPr>
        <w:t xml:space="preserve">mutosyonlardır. F522C ve A533D gibi familyal mastositoz vakalarında saptanan mutasyonlar germline mutasyon sınıfına girmektedir </w:t>
      </w:r>
      <w:r>
        <w:rPr>
          <w:rFonts w:ascii="Times New Roman" w:cs="Times New Roman" w:eastAsia="Times New Roman" w:hAnsi="Times New Roman"/>
          <w:sz w:val="24"/>
          <w:szCs w:val="24"/>
          <w:color w:val="222222"/>
        </w:rPr>
        <w:t>(92, 93).</w:t>
      </w:r>
    </w:p>
    <w:p>
      <w:pPr>
        <w:spacing w:after="0" w:line="180" w:lineRule="exact"/>
        <w:rPr>
          <w:sz w:val="20"/>
          <w:szCs w:val="20"/>
          <w:color w:val="auto"/>
        </w:rPr>
      </w:pPr>
    </w:p>
    <w:p>
      <w:pPr>
        <w:jc w:val="both"/>
        <w:ind w:left="840" w:firstLine="708"/>
        <w:spacing w:after="0" w:line="354" w:lineRule="auto"/>
        <w:rPr>
          <w:sz w:val="20"/>
          <w:szCs w:val="20"/>
          <w:color w:val="auto"/>
        </w:rPr>
      </w:pPr>
      <w:r>
        <w:rPr>
          <w:rFonts w:ascii="Times New Roman" w:cs="Times New Roman" w:eastAsia="Times New Roman" w:hAnsi="Times New Roman"/>
          <w:sz w:val="24"/>
          <w:szCs w:val="24"/>
          <w:color w:val="222222"/>
        </w:rPr>
        <w:t xml:space="preserve">KIT </w:t>
      </w:r>
      <w:r>
        <w:rPr>
          <w:rFonts w:ascii="Times New Roman" w:cs="Times New Roman" w:eastAsia="Times New Roman" w:hAnsi="Times New Roman"/>
          <w:sz w:val="24"/>
          <w:szCs w:val="24"/>
          <w:color w:val="222222"/>
        </w:rPr>
        <w:t>mutasyonlarının sistemik mastositoz patogenezinin merkezinde oldukları</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nettir ancak tek başına bu mutasyonların hastalığın fenotipik özelliklerini ortaya çıkarmada yeterli olup olmadığı </w:t>
      </w:r>
      <w:r>
        <w:rPr>
          <w:rFonts w:ascii="Times New Roman" w:cs="Times New Roman" w:eastAsia="Times New Roman" w:hAnsi="Times New Roman"/>
          <w:sz w:val="24"/>
          <w:szCs w:val="24"/>
          <w:color w:val="222222"/>
        </w:rPr>
        <w:t>bilinmemektedir.</w:t>
      </w:r>
    </w:p>
    <w:p>
      <w:pPr>
        <w:spacing w:after="0" w:line="181" w:lineRule="exact"/>
        <w:rPr>
          <w:sz w:val="20"/>
          <w:szCs w:val="20"/>
          <w:color w:val="auto"/>
        </w:rPr>
      </w:pPr>
    </w:p>
    <w:p>
      <w:pPr>
        <w:jc w:val="both"/>
        <w:ind w:left="840" w:firstLine="708"/>
        <w:spacing w:after="0" w:line="357" w:lineRule="auto"/>
        <w:rPr>
          <w:sz w:val="20"/>
          <w:szCs w:val="20"/>
          <w:color w:val="auto"/>
        </w:rPr>
      </w:pPr>
      <w:r>
        <w:rPr>
          <w:rFonts w:ascii="Times New Roman" w:cs="Times New Roman" w:eastAsia="Times New Roman" w:hAnsi="Times New Roman"/>
          <w:sz w:val="24"/>
          <w:szCs w:val="24"/>
          <w:color w:val="auto"/>
        </w:rPr>
        <w:t xml:space="preserve">Sistemik mastositozun genellikle agresif formlarında saptanan </w:t>
      </w:r>
      <w:r>
        <w:rPr>
          <w:rFonts w:ascii="Times New Roman" w:cs="Times New Roman" w:eastAsia="Times New Roman" w:hAnsi="Times New Roman"/>
          <w:sz w:val="24"/>
          <w:szCs w:val="24"/>
          <w:i w:val="1"/>
          <w:iCs w:val="1"/>
          <w:color w:val="232323"/>
        </w:rPr>
        <w:t>TET2</w:t>
      </w: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i w:val="1"/>
          <w:iCs w:val="1"/>
          <w:color w:val="232323"/>
        </w:rPr>
        <w:t xml:space="preserve"> SRSF2</w:t>
      </w: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i w:val="1"/>
          <w:iCs w:val="1"/>
          <w:color w:val="232323"/>
        </w:rPr>
        <w:t xml:space="preserve"> ASXL1</w:t>
      </w: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i w:val="1"/>
          <w:iCs w:val="1"/>
          <w:color w:val="232323"/>
        </w:rPr>
        <w:t xml:space="preserve"> CBL</w:t>
      </w: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i w:val="1"/>
          <w:iCs w:val="1"/>
          <w:color w:val="232323"/>
        </w:rPr>
        <w:t xml:space="preserve"> RUNX1</w:t>
      </w: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i w:val="1"/>
          <w:iCs w:val="1"/>
          <w:color w:val="232323"/>
        </w:rPr>
        <w:t xml:space="preserve"> DNMT3A </w:t>
      </w:r>
      <w:r>
        <w:rPr>
          <w:rFonts w:ascii="Times New Roman" w:cs="Times New Roman" w:eastAsia="Times New Roman" w:hAnsi="Times New Roman"/>
          <w:sz w:val="24"/>
          <w:szCs w:val="24"/>
          <w:color w:val="000000"/>
        </w:rPr>
        <w:t>gibi moleküler bozuklukların da</w:t>
      </w:r>
      <w:r>
        <w:rPr>
          <w:rFonts w:ascii="Times New Roman" w:cs="Times New Roman" w:eastAsia="Times New Roman" w:hAnsi="Times New Roman"/>
          <w:sz w:val="24"/>
          <w:szCs w:val="24"/>
          <w:i w:val="1"/>
          <w:iCs w:val="1"/>
          <w:color w:val="232323"/>
        </w:rPr>
        <w:t xml:space="preserve"> </w:t>
      </w:r>
      <w:r>
        <w:rPr>
          <w:rFonts w:ascii="Times New Roman" w:cs="Times New Roman" w:eastAsia="Times New Roman" w:hAnsi="Times New Roman"/>
          <w:sz w:val="24"/>
          <w:szCs w:val="24"/>
          <w:color w:val="000000"/>
        </w:rPr>
        <w:t>patogenezde rol aldığı düşünülmektedir</w:t>
      </w:r>
      <w:r>
        <w:rPr>
          <w:rFonts w:ascii="Times New Roman" w:cs="Times New Roman" w:eastAsia="Times New Roman" w:hAnsi="Times New Roman"/>
          <w:sz w:val="24"/>
          <w:szCs w:val="24"/>
          <w:color w:val="000000"/>
        </w:rPr>
        <w:t>.</w:t>
      </w:r>
      <w:r>
        <w:rPr>
          <w:rFonts w:ascii="Times New Roman" w:cs="Times New Roman" w:eastAsia="Times New Roman" w:hAnsi="Times New Roman"/>
          <w:sz w:val="24"/>
          <w:szCs w:val="24"/>
          <w:color w:val="000000"/>
        </w:rPr>
        <w:t xml:space="preserve"> </w:t>
      </w:r>
      <w:r>
        <w:rPr>
          <w:rFonts w:ascii="Times New Roman" w:cs="Times New Roman" w:eastAsia="Times New Roman" w:hAnsi="Times New Roman"/>
          <w:sz w:val="24"/>
          <w:szCs w:val="24"/>
          <w:i w:val="1"/>
          <w:iCs w:val="1"/>
          <w:color w:val="232323"/>
        </w:rPr>
        <w:t>SRSF2</w:t>
      </w: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color w:val="000000"/>
        </w:rPr>
        <w:t xml:space="preserve"> </w:t>
      </w:r>
      <w:r>
        <w:rPr>
          <w:rFonts w:ascii="Times New Roman" w:cs="Times New Roman" w:eastAsia="Times New Roman" w:hAnsi="Times New Roman"/>
          <w:sz w:val="24"/>
          <w:szCs w:val="24"/>
          <w:i w:val="1"/>
          <w:iCs w:val="1"/>
          <w:color w:val="232323"/>
        </w:rPr>
        <w:t>ASXL1</w:t>
      </w: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color w:val="000000"/>
        </w:rPr>
        <w:t xml:space="preserve"> </w:t>
      </w:r>
      <w:r>
        <w:rPr>
          <w:rFonts w:ascii="Times New Roman" w:cs="Times New Roman" w:eastAsia="Times New Roman" w:hAnsi="Times New Roman"/>
          <w:sz w:val="24"/>
          <w:szCs w:val="24"/>
          <w:i w:val="1"/>
          <w:iCs w:val="1"/>
          <w:color w:val="232323"/>
        </w:rPr>
        <w:t>RUNX1</w:t>
      </w: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color w:val="000000"/>
        </w:rPr>
        <w:t xml:space="preserve"> </w:t>
      </w:r>
      <w:r>
        <w:rPr>
          <w:rFonts w:ascii="Times New Roman" w:cs="Times New Roman" w:eastAsia="Times New Roman" w:hAnsi="Times New Roman"/>
          <w:sz w:val="24"/>
          <w:szCs w:val="24"/>
          <w:i w:val="1"/>
          <w:iCs w:val="1"/>
          <w:color w:val="232323"/>
        </w:rPr>
        <w:t>DNMT3A</w:t>
      </w:r>
      <w:r>
        <w:rPr>
          <w:rFonts w:ascii="Times New Roman" w:cs="Times New Roman" w:eastAsia="Times New Roman" w:hAnsi="Times New Roman"/>
          <w:sz w:val="24"/>
          <w:szCs w:val="24"/>
          <w:color w:val="000000"/>
        </w:rPr>
        <w:t xml:space="preserve"> </w:t>
      </w:r>
      <w:r>
        <w:rPr>
          <w:rFonts w:ascii="Times New Roman" w:cs="Times New Roman" w:eastAsia="Times New Roman" w:hAnsi="Times New Roman"/>
          <w:sz w:val="24"/>
          <w:szCs w:val="24"/>
          <w:color w:val="232323"/>
        </w:rPr>
        <w:t>gibi ek</w:t>
      </w:r>
      <w:r>
        <w:rPr>
          <w:rFonts w:ascii="Times New Roman" w:cs="Times New Roman" w:eastAsia="Times New Roman" w:hAnsi="Times New Roman"/>
          <w:sz w:val="24"/>
          <w:szCs w:val="24"/>
          <w:color w:val="000000"/>
        </w:rPr>
        <w:t xml:space="preserve"> </w:t>
      </w:r>
      <w:r>
        <w:rPr>
          <w:rFonts w:ascii="Times New Roman" w:cs="Times New Roman" w:eastAsia="Times New Roman" w:hAnsi="Times New Roman"/>
          <w:sz w:val="24"/>
          <w:szCs w:val="24"/>
          <w:color w:val="232323"/>
        </w:rPr>
        <w:t xml:space="preserve">mutasyona sahip hastalarda </w:t>
      </w:r>
      <w:r>
        <w:rPr>
          <w:rFonts w:ascii="Times New Roman" w:cs="Times New Roman" w:eastAsia="Times New Roman" w:hAnsi="Times New Roman"/>
          <w:sz w:val="24"/>
          <w:szCs w:val="24"/>
          <w:color w:val="232323"/>
        </w:rPr>
        <w:t>bu mutasyonların kötü prognozu telkin ettiği birkaç</w:t>
      </w:r>
      <w:r>
        <w:rPr>
          <w:rFonts w:ascii="Times New Roman" w:cs="Times New Roman" w:eastAsia="Times New Roman" w:hAnsi="Times New Roman"/>
          <w:sz w:val="24"/>
          <w:szCs w:val="24"/>
          <w:color w:val="232323"/>
        </w:rPr>
        <w:t xml:space="preserve"> </w:t>
      </w:r>
      <w:r>
        <w:rPr>
          <w:rFonts w:ascii="Times New Roman" w:cs="Times New Roman" w:eastAsia="Times New Roman" w:hAnsi="Times New Roman"/>
          <w:sz w:val="24"/>
          <w:szCs w:val="24"/>
          <w:color w:val="232323"/>
        </w:rPr>
        <w:t xml:space="preserve">çalışmada gösterilmiştir </w:t>
      </w:r>
      <w:r>
        <w:rPr>
          <w:rFonts w:ascii="Times New Roman" w:cs="Times New Roman" w:eastAsia="Times New Roman" w:hAnsi="Times New Roman"/>
          <w:sz w:val="24"/>
          <w:szCs w:val="24"/>
          <w:color w:val="232323"/>
        </w:rPr>
        <w:t>(94-96).</w:t>
      </w:r>
    </w:p>
    <w:p>
      <w:pPr>
        <w:sectPr>
          <w:pgSz w:w="11900" w:h="16838" w:orient="portrait"/>
          <w:cols w:equalWidth="0" w:num="1">
            <w:col w:w="9060"/>
          </w:cols>
          <w:pgMar w:left="1440" w:top="714" w:right="1406" w:bottom="1440" w:gutter="0" w:footer="0" w:header="0"/>
        </w:sectPr>
      </w:pPr>
    </w:p>
    <w:bookmarkStart w:id="18" w:name="page19"/>
    <w:bookmarkEnd w:id="18"/>
    <w:p>
      <w:pPr>
        <w:jc w:val="right"/>
        <w:spacing w:after="0"/>
        <w:rPr>
          <w:sz w:val="20"/>
          <w:szCs w:val="20"/>
          <w:color w:val="auto"/>
        </w:rPr>
      </w:pPr>
      <w:r>
        <w:rPr>
          <w:rFonts w:ascii="Calibri" w:cs="Calibri" w:eastAsia="Calibri" w:hAnsi="Calibri"/>
          <w:sz w:val="22"/>
          <w:szCs w:val="22"/>
          <w:color w:val="auto"/>
        </w:rPr>
        <w:t>8</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b w:val="1"/>
          <w:bCs w:val="1"/>
          <w:color w:val="222222"/>
        </w:rPr>
        <w:t>2.2.3 Tanı Kriterleri</w:t>
      </w:r>
      <w:r>
        <w:rPr>
          <w:rFonts w:ascii="Times New Roman" w:cs="Times New Roman" w:eastAsia="Times New Roman" w:hAnsi="Times New Roman"/>
          <w:sz w:val="24"/>
          <w:szCs w:val="24"/>
          <w:b w:val="1"/>
          <w:bCs w:val="1"/>
          <w:color w:val="222222"/>
        </w:rPr>
        <w:t>,</w:t>
      </w:r>
      <w:r>
        <w:rPr>
          <w:rFonts w:ascii="Times New Roman" w:cs="Times New Roman" w:eastAsia="Times New Roman" w:hAnsi="Times New Roman"/>
          <w:sz w:val="24"/>
          <w:szCs w:val="24"/>
          <w:b w:val="1"/>
          <w:bCs w:val="1"/>
          <w:color w:val="222222"/>
        </w:rPr>
        <w:t xml:space="preserve"> Tanısal Değerlendirme ve Sınıflandırma</w:t>
      </w:r>
    </w:p>
    <w:p>
      <w:pPr>
        <w:spacing w:after="0" w:line="310" w:lineRule="exact"/>
        <w:rPr>
          <w:sz w:val="20"/>
          <w:szCs w:val="20"/>
          <w:color w:val="auto"/>
        </w:rPr>
      </w:pPr>
    </w:p>
    <w:p>
      <w:pPr>
        <w:jc w:val="both"/>
        <w:ind w:left="840" w:firstLine="708"/>
        <w:spacing w:after="0" w:line="357" w:lineRule="auto"/>
        <w:rPr>
          <w:sz w:val="20"/>
          <w:szCs w:val="20"/>
          <w:color w:val="auto"/>
        </w:rPr>
      </w:pPr>
      <w:r>
        <w:rPr>
          <w:rFonts w:ascii="Times New Roman" w:cs="Times New Roman" w:eastAsia="Times New Roman" w:hAnsi="Times New Roman"/>
          <w:sz w:val="24"/>
          <w:szCs w:val="24"/>
          <w:color w:val="222222"/>
        </w:rPr>
        <w:t xml:space="preserve">SM </w:t>
      </w:r>
      <w:r>
        <w:rPr>
          <w:rFonts w:ascii="Times New Roman" w:cs="Times New Roman" w:eastAsia="Times New Roman" w:hAnsi="Times New Roman"/>
          <w:sz w:val="24"/>
          <w:szCs w:val="24"/>
          <w:color w:val="222222"/>
        </w:rPr>
        <w:t>çok farklı semptom ve bulgular ile seyredebilir. Hastalık birden fazla</w:t>
      </w:r>
      <w:r>
        <w:rPr>
          <w:rFonts w:ascii="Times New Roman" w:cs="Times New Roman" w:eastAsia="Times New Roman" w:hAnsi="Times New Roman"/>
          <w:sz w:val="24"/>
          <w:szCs w:val="24"/>
          <w:color w:val="222222"/>
        </w:rPr>
        <w:t xml:space="preserve"> doku ya da organ sisteminin infiltrasyonu ve disfonksiyonu ile seyredebilirken asemptomatik de seyredebilir. Semptomlar, genel olarak o</w:t>
      </w:r>
      <w:r>
        <w:rPr>
          <w:rFonts w:ascii="Times New Roman" w:cs="Times New Roman" w:eastAsia="Times New Roman" w:hAnsi="Times New Roman"/>
          <w:sz w:val="24"/>
          <w:szCs w:val="24"/>
          <w:color w:val="222222"/>
        </w:rPr>
        <w:t>rganların fonksiyon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kaybına sekonder ya da mast hücreleri tarafından salınan mediatörler aracılığı ile oluşurlar.</w:t>
      </w:r>
    </w:p>
    <w:p>
      <w:pPr>
        <w:spacing w:after="0" w:line="177" w:lineRule="exact"/>
        <w:rPr>
          <w:sz w:val="20"/>
          <w:szCs w:val="20"/>
          <w:color w:val="auto"/>
        </w:rPr>
      </w:pPr>
    </w:p>
    <w:p>
      <w:pPr>
        <w:jc w:val="both"/>
        <w:ind w:left="840" w:firstLine="708"/>
        <w:spacing w:after="0" w:line="350" w:lineRule="auto"/>
        <w:rPr>
          <w:sz w:val="20"/>
          <w:szCs w:val="20"/>
          <w:color w:val="auto"/>
        </w:rPr>
      </w:pPr>
      <w:r>
        <w:rPr>
          <w:rFonts w:ascii="Times New Roman" w:cs="Times New Roman" w:eastAsia="Times New Roman" w:hAnsi="Times New Roman"/>
          <w:sz w:val="24"/>
          <w:szCs w:val="24"/>
          <w:color w:val="222222"/>
        </w:rPr>
        <w:t xml:space="preserve">SM </w:t>
      </w:r>
      <w:r>
        <w:rPr>
          <w:rFonts w:ascii="Times New Roman" w:cs="Times New Roman" w:eastAsia="Times New Roman" w:hAnsi="Times New Roman"/>
          <w:sz w:val="24"/>
          <w:szCs w:val="24"/>
          <w:color w:val="222222"/>
        </w:rPr>
        <w:t>tanısı ayrıntılı bir hikaye, özellikle cildin ayrıntılı muayene edildiği bir</w:t>
      </w:r>
      <w:r>
        <w:rPr>
          <w:rFonts w:ascii="Times New Roman" w:cs="Times New Roman" w:eastAsia="Times New Roman" w:hAnsi="Times New Roman"/>
          <w:sz w:val="24"/>
          <w:szCs w:val="24"/>
          <w:color w:val="222222"/>
        </w:rPr>
        <w:t xml:space="preserve"> fizik muayene ile desteklenmelidir.</w:t>
      </w:r>
    </w:p>
    <w:p>
      <w:pPr>
        <w:spacing w:after="0" w:line="184" w:lineRule="exact"/>
        <w:rPr>
          <w:sz w:val="20"/>
          <w:szCs w:val="20"/>
          <w:color w:val="auto"/>
        </w:rPr>
      </w:pPr>
    </w:p>
    <w:p>
      <w:pPr>
        <w:jc w:val="both"/>
        <w:ind w:left="840" w:firstLine="708"/>
        <w:spacing w:after="0" w:line="357" w:lineRule="auto"/>
        <w:rPr>
          <w:sz w:val="20"/>
          <w:szCs w:val="20"/>
          <w:color w:val="auto"/>
        </w:rPr>
      </w:pPr>
      <w:r>
        <w:rPr>
          <w:rFonts w:ascii="Times New Roman" w:cs="Times New Roman" w:eastAsia="Times New Roman" w:hAnsi="Times New Roman"/>
          <w:sz w:val="24"/>
          <w:szCs w:val="24"/>
          <w:color w:val="222222"/>
        </w:rPr>
        <w:t xml:space="preserve">SM </w:t>
      </w:r>
      <w:r>
        <w:rPr>
          <w:rFonts w:ascii="Times New Roman" w:cs="Times New Roman" w:eastAsia="Times New Roman" w:hAnsi="Times New Roman"/>
          <w:sz w:val="24"/>
          <w:szCs w:val="24"/>
          <w:color w:val="222222"/>
        </w:rPr>
        <w:t>tanısı</w:t>
      </w:r>
      <w:r>
        <w:rPr>
          <w:rFonts w:ascii="Times New Roman" w:cs="Times New Roman" w:eastAsia="Times New Roman" w:hAnsi="Times New Roman"/>
          <w:sz w:val="24"/>
          <w:szCs w:val="24"/>
          <w:color w:val="222222"/>
        </w:rPr>
        <w:t xml:space="preserve"> nedeni bilinmeyen ve tekrarlayan anafilaksi, sekonder osteoporoz </w:t>
      </w:r>
      <w:r>
        <w:rPr>
          <w:rFonts w:ascii="Times New Roman" w:cs="Times New Roman" w:eastAsia="Times New Roman" w:hAnsi="Times New Roman"/>
          <w:sz w:val="24"/>
          <w:szCs w:val="24"/>
          <w:color w:val="222222"/>
        </w:rPr>
        <w:t>ve çökme kırığı</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 xml:space="preserve"> kemik ağrıları ve litik, sklerotik kemik lezyonlarının saptanması, kronik karın ağrısı, tekrarlayan diyare</w:t>
      </w:r>
      <w:r>
        <w:rPr>
          <w:rFonts w:ascii="Times New Roman" w:cs="Times New Roman" w:eastAsia="Times New Roman" w:hAnsi="Times New Roman"/>
          <w:sz w:val="24"/>
          <w:szCs w:val="24"/>
          <w:color w:val="222222"/>
        </w:rPr>
        <w:t>, abdominal kramp, malabsorbsiyon,</w:t>
      </w:r>
      <w:r>
        <w:rPr>
          <w:rFonts w:ascii="Times New Roman" w:cs="Times New Roman" w:eastAsia="Times New Roman" w:hAnsi="Times New Roman"/>
          <w:sz w:val="24"/>
          <w:szCs w:val="24"/>
          <w:color w:val="222222"/>
        </w:rPr>
        <w:t xml:space="preserve"> hepatosplenomegali ve eşlik eden mast hücre aktivasyon semptomları </w:t>
      </w:r>
      <w:r>
        <w:rPr>
          <w:rFonts w:ascii="Times New Roman" w:cs="Times New Roman" w:eastAsia="Times New Roman" w:hAnsi="Times New Roman"/>
          <w:sz w:val="24"/>
          <w:szCs w:val="24"/>
          <w:color w:val="222222"/>
        </w:rPr>
        <w:t>mevcut olan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hastalarda mutlaka akla getirilmesi gereken bir nedendir.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-1038225</wp:posOffset>
            </wp:positionV>
            <wp:extent cx="4699000" cy="18542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57" w:lineRule="exact"/>
        <w:rPr>
          <w:sz w:val="20"/>
          <w:szCs w:val="20"/>
          <w:color w:val="auto"/>
        </w:rPr>
      </w:pPr>
    </w:p>
    <w:p>
      <w:pPr>
        <w:jc w:val="both"/>
        <w:ind w:left="840" w:firstLine="708"/>
        <w:spacing w:after="0" w:line="358" w:lineRule="auto"/>
        <w:rPr>
          <w:sz w:val="20"/>
          <w:szCs w:val="20"/>
          <w:color w:val="auto"/>
        </w:rPr>
      </w:pPr>
      <w:r>
        <w:rPr>
          <w:rFonts w:ascii="Times New Roman" w:cs="Times New Roman" w:eastAsia="Times New Roman" w:hAnsi="Times New Roman"/>
          <w:sz w:val="24"/>
          <w:szCs w:val="24"/>
          <w:color w:val="auto"/>
        </w:rPr>
        <w:t xml:space="preserve">SM’de cilt tutulumunun yanında </w:t>
      </w:r>
      <w:r>
        <w:rPr>
          <w:rFonts w:ascii="Times New Roman" w:cs="Times New Roman" w:eastAsia="Times New Roman" w:hAnsi="Times New Roman"/>
          <w:sz w:val="24"/>
          <w:szCs w:val="24"/>
          <w:color w:val="auto"/>
        </w:rPr>
        <w:t>ekstrakütanöz bir doku ya da organ sistemi</w:t>
      </w:r>
      <w:r>
        <w:rPr>
          <w:rFonts w:ascii="Times New Roman" w:cs="Times New Roman" w:eastAsia="Times New Roman" w:hAnsi="Times New Roman"/>
          <w:sz w:val="24"/>
          <w:szCs w:val="24"/>
          <w:color w:val="auto"/>
        </w:rPr>
        <w:t xml:space="preserve"> tutulumu olmalıdır. En sık tu</w:t>
      </w:r>
      <w:r>
        <w:rPr>
          <w:rFonts w:ascii="Times New Roman" w:cs="Times New Roman" w:eastAsia="Times New Roman" w:hAnsi="Times New Roman"/>
          <w:sz w:val="24"/>
          <w:szCs w:val="24"/>
          <w:color w:val="auto"/>
        </w:rPr>
        <w:t>tulan organlar veya organ sistemleri ise</w:t>
      </w:r>
      <w:r>
        <w:rPr>
          <w:rFonts w:ascii="Times New Roman" w:cs="Times New Roman" w:eastAsia="Times New Roman" w:hAnsi="Times New Roman"/>
          <w:sz w:val="24"/>
          <w:szCs w:val="24"/>
          <w:color w:val="auto"/>
        </w:rPr>
        <w:t xml:space="preserve"> sırasıyla </w:t>
      </w:r>
      <w:r>
        <w:rPr>
          <w:rFonts w:ascii="Times New Roman" w:cs="Times New Roman" w:eastAsia="Times New Roman" w:hAnsi="Times New Roman"/>
          <w:sz w:val="24"/>
          <w:szCs w:val="24"/>
          <w:color w:val="auto"/>
        </w:rPr>
        <w:t>kemik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liği</w:t>
      </w:r>
      <w:r>
        <w:rPr>
          <w:rFonts w:ascii="Times New Roman" w:cs="Times New Roman" w:eastAsia="Times New Roman" w:hAnsi="Times New Roman"/>
          <w:sz w:val="24"/>
          <w:szCs w:val="24"/>
          <w:color w:val="auto"/>
        </w:rPr>
        <w:t xml:space="preserve"> ve </w:t>
      </w:r>
      <w:r>
        <w:rPr>
          <w:rFonts w:ascii="Times New Roman" w:cs="Times New Roman" w:eastAsia="Times New Roman" w:hAnsi="Times New Roman"/>
          <w:sz w:val="24"/>
          <w:szCs w:val="24"/>
          <w:color w:val="auto"/>
        </w:rPr>
        <w:t>GİS şeklindedir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Bu nedenle tanısal algoritmaların olmazsa olmazı</w:t>
      </w:r>
      <w:r>
        <w:rPr>
          <w:rFonts w:ascii="Times New Roman" w:cs="Times New Roman" w:eastAsia="Times New Roman" w:hAnsi="Times New Roman"/>
          <w:sz w:val="24"/>
          <w:szCs w:val="24"/>
          <w:color w:val="auto"/>
        </w:rPr>
        <w:t xml:space="preserve"> kemik i</w:t>
      </w:r>
      <w:r>
        <w:rPr>
          <w:rFonts w:ascii="Times New Roman" w:cs="Times New Roman" w:eastAsia="Times New Roman" w:hAnsi="Times New Roman"/>
          <w:sz w:val="24"/>
          <w:szCs w:val="24"/>
          <w:color w:val="auto"/>
        </w:rPr>
        <w:t>liği biyopsisi ve aspirasyonudur. Kemik iliği SM’de en sık tutulan ekstrakütanöz</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organdır. Kemik iliği haricinde sık tutulan cilt, GİS mukozası gibi organlardan da biyopsi alınabilir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ancak diğer organlar için patolojik kriterler üzerinde bir görüş birliği olmaması nedeniyle ve kemik iliğinin neredeyse hastaların tamamında tutulması nedeniyle kemik iliği değerlendirilmesi tanısal algoritmada en önemli noktada durmaktadır. Kemik iliği biyopsisinin diğer bir avantajı da eşlik eden başka </w:t>
      </w:r>
      <w:r>
        <w:rPr>
          <w:rFonts w:ascii="Times New Roman" w:cs="Times New Roman" w:eastAsia="Times New Roman" w:hAnsi="Times New Roman"/>
          <w:sz w:val="24"/>
          <w:szCs w:val="24"/>
          <w:color w:val="auto"/>
        </w:rPr>
        <w:t>maligniteleri de saptayabilmesidir (97, 98).</w:t>
      </w:r>
    </w:p>
    <w:p>
      <w:pPr>
        <w:spacing w:after="0" w:line="182" w:lineRule="exact"/>
        <w:rPr>
          <w:sz w:val="20"/>
          <w:szCs w:val="20"/>
          <w:color w:val="auto"/>
        </w:rPr>
      </w:pPr>
    </w:p>
    <w:p>
      <w:pPr>
        <w:jc w:val="both"/>
        <w:ind w:left="840" w:firstLine="708"/>
        <w:spacing w:after="0" w:line="358" w:lineRule="auto"/>
        <w:rPr>
          <w:sz w:val="20"/>
          <w:szCs w:val="20"/>
          <w:color w:val="auto"/>
        </w:rPr>
      </w:pPr>
      <w:r>
        <w:rPr>
          <w:rFonts w:ascii="Times New Roman" w:cs="Times New Roman" w:eastAsia="Times New Roman" w:hAnsi="Times New Roman"/>
          <w:sz w:val="24"/>
          <w:szCs w:val="24"/>
          <w:color w:val="auto"/>
        </w:rPr>
        <w:t xml:space="preserve">SM’nin </w:t>
      </w:r>
      <w:r>
        <w:rPr>
          <w:rFonts w:ascii="Times New Roman" w:cs="Times New Roman" w:eastAsia="Times New Roman" w:hAnsi="Times New Roman"/>
          <w:sz w:val="24"/>
          <w:szCs w:val="24"/>
          <w:color w:val="auto"/>
        </w:rPr>
        <w:t>kemik i</w:t>
      </w:r>
      <w:r>
        <w:rPr>
          <w:rFonts w:ascii="Times New Roman" w:cs="Times New Roman" w:eastAsia="Times New Roman" w:hAnsi="Times New Roman"/>
          <w:sz w:val="24"/>
          <w:szCs w:val="24"/>
          <w:color w:val="auto"/>
        </w:rPr>
        <w:t>liği biyopsisinde veya tutulan başka organların (cilt vb</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biyopsisinin patolojik incelemesinde multifokal, atipik, dens mast hücre kümeleri </w:t>
      </w:r>
      <w:r>
        <w:rPr>
          <w:rFonts w:ascii="Times New Roman" w:cs="Times New Roman" w:eastAsia="Times New Roman" w:hAnsi="Times New Roman"/>
          <w:sz w:val="24"/>
          <w:szCs w:val="24"/>
          <w:color w:val="auto"/>
        </w:rPr>
        <w:t xml:space="preserve">saptanması karakteristiktir. Kemik iliği biyopsi incelemelerinde </w:t>
      </w:r>
      <w:r>
        <w:rPr>
          <w:rFonts w:ascii="Times New Roman" w:cs="Times New Roman" w:eastAsia="Times New Roman" w:hAnsi="Times New Roman"/>
          <w:sz w:val="24"/>
          <w:szCs w:val="24"/>
          <w:color w:val="auto"/>
        </w:rPr>
        <w:t>perivasküler ve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paravasküler bölgede görülen atipik, fuziform, hipogranüler ve anormal çekirdek morfolojisine sahip hücreler görülür (99). Bu hücreler giemsa ve toluidin blue ile metakromazi gösteremeyebilir. Bu nedenle k</w:t>
      </w:r>
      <w:r>
        <w:rPr>
          <w:rFonts w:ascii="Times New Roman" w:cs="Times New Roman" w:eastAsia="Times New Roman" w:hAnsi="Times New Roman"/>
          <w:sz w:val="24"/>
          <w:szCs w:val="24"/>
          <w:color w:val="auto"/>
        </w:rPr>
        <w:t>emik iliğindeki mast hücrelerinin</w:t>
      </w:r>
      <w:r>
        <w:rPr>
          <w:rFonts w:ascii="Times New Roman" w:cs="Times New Roman" w:eastAsia="Times New Roman" w:hAnsi="Times New Roman"/>
          <w:sz w:val="24"/>
          <w:szCs w:val="24"/>
          <w:color w:val="auto"/>
        </w:rPr>
        <w:t xml:space="preserve"> immünohistokimyasal olarak CD117 ve t</w:t>
      </w:r>
      <w:r>
        <w:rPr>
          <w:rFonts w:ascii="Times New Roman" w:cs="Times New Roman" w:eastAsia="Times New Roman" w:hAnsi="Times New Roman"/>
          <w:sz w:val="24"/>
          <w:szCs w:val="24"/>
          <w:color w:val="auto"/>
        </w:rPr>
        <w:t>riptaz ile boyanması ve değerlendirilmesi</w:t>
      </w:r>
    </w:p>
    <w:p>
      <w:pPr>
        <w:sectPr>
          <w:pgSz w:w="11900" w:h="16838" w:orient="portrait"/>
          <w:cols w:equalWidth="0" w:num="1">
            <w:col w:w="9060"/>
          </w:cols>
          <w:pgMar w:left="1440" w:top="714" w:right="1406" w:bottom="1440" w:gutter="0" w:footer="0" w:header="0"/>
        </w:sectPr>
      </w:pPr>
    </w:p>
    <w:bookmarkStart w:id="19" w:name="page20"/>
    <w:bookmarkEnd w:id="19"/>
    <w:p>
      <w:pPr>
        <w:jc w:val="right"/>
        <w:spacing w:after="0"/>
        <w:rPr>
          <w:sz w:val="20"/>
          <w:szCs w:val="20"/>
          <w:color w:val="auto"/>
        </w:rPr>
      </w:pPr>
      <w:r>
        <w:rPr>
          <w:rFonts w:ascii="Calibri" w:cs="Calibri" w:eastAsia="Calibri" w:hAnsi="Calibri"/>
          <w:sz w:val="22"/>
          <w:szCs w:val="22"/>
          <w:color w:val="auto"/>
        </w:rPr>
        <w:t>9</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left="840"/>
        <w:spacing w:after="0" w:line="357" w:lineRule="auto"/>
        <w:rPr>
          <w:sz w:val="20"/>
          <w:szCs w:val="20"/>
          <w:color w:val="auto"/>
        </w:rPr>
      </w:pPr>
      <w:r>
        <w:rPr>
          <w:rFonts w:ascii="Times New Roman" w:cs="Times New Roman" w:eastAsia="Times New Roman" w:hAnsi="Times New Roman"/>
          <w:sz w:val="24"/>
          <w:szCs w:val="24"/>
          <w:color w:val="auto"/>
        </w:rPr>
        <w:t xml:space="preserve">gerekir (100-102). </w:t>
      </w:r>
      <w:r>
        <w:rPr>
          <w:rFonts w:ascii="Times New Roman" w:cs="Times New Roman" w:eastAsia="Times New Roman" w:hAnsi="Times New Roman"/>
          <w:sz w:val="24"/>
          <w:szCs w:val="24"/>
          <w:color w:val="auto"/>
        </w:rPr>
        <w:t>SM’de</w:t>
      </w:r>
      <w:r>
        <w:rPr>
          <w:rFonts w:ascii="Times New Roman" w:cs="Times New Roman" w:eastAsia="Times New Roman" w:hAnsi="Times New Roman"/>
          <w:sz w:val="24"/>
          <w:szCs w:val="24"/>
          <w:color w:val="auto"/>
        </w:rPr>
        <w:t xml:space="preserve"> kemik </w:t>
      </w:r>
      <w:r>
        <w:rPr>
          <w:rFonts w:ascii="Times New Roman" w:cs="Times New Roman" w:eastAsia="Times New Roman" w:hAnsi="Times New Roman"/>
          <w:sz w:val="24"/>
          <w:szCs w:val="24"/>
          <w:color w:val="auto"/>
        </w:rPr>
        <w:t>iliğinde</w:t>
      </w:r>
      <w:r>
        <w:rPr>
          <w:rFonts w:ascii="Times New Roman" w:cs="Times New Roman" w:eastAsia="Times New Roman" w:hAnsi="Times New Roman"/>
          <w:sz w:val="24"/>
          <w:szCs w:val="24"/>
          <w:color w:val="auto"/>
        </w:rPr>
        <w:t xml:space="preserve"> saptanan CD117 ve triptaz ile boyanan </w:t>
      </w:r>
      <w:r>
        <w:rPr>
          <w:rFonts w:ascii="Times New Roman" w:cs="Times New Roman" w:eastAsia="Times New Roman" w:hAnsi="Times New Roman"/>
          <w:sz w:val="24"/>
          <w:szCs w:val="24"/>
          <w:color w:val="auto"/>
        </w:rPr>
        <w:t xml:space="preserve">neoplastik mast hücrelerini normal mast hücrelerinden ayırmak mümkün değildir. </w:t>
      </w:r>
      <w:r>
        <w:rPr>
          <w:rFonts w:ascii="Times New Roman" w:cs="Times New Roman" w:eastAsia="Times New Roman" w:hAnsi="Times New Roman"/>
          <w:sz w:val="24"/>
          <w:szCs w:val="24"/>
          <w:color w:val="auto"/>
        </w:rPr>
        <w:t>Bu</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nedenle immüno</w:t>
      </w:r>
      <w:r>
        <w:rPr>
          <w:rFonts w:ascii="Times New Roman" w:cs="Times New Roman" w:eastAsia="Times New Roman" w:hAnsi="Times New Roman"/>
          <w:sz w:val="24"/>
          <w:szCs w:val="24"/>
          <w:color w:val="auto"/>
        </w:rPr>
        <w:t>histokimyasal olarak CD 25 ve/veya CD 2 ekspresyonun saptanması</w:t>
      </w:r>
      <w:r>
        <w:rPr>
          <w:rFonts w:ascii="Times New Roman" w:cs="Times New Roman" w:eastAsia="Times New Roman" w:hAnsi="Times New Roman"/>
          <w:sz w:val="24"/>
          <w:szCs w:val="24"/>
          <w:color w:val="auto"/>
        </w:rPr>
        <w:t xml:space="preserve"> önemlidir. </w:t>
      </w:r>
      <w:r>
        <w:rPr>
          <w:rFonts w:ascii="Times New Roman" w:cs="Times New Roman" w:eastAsia="Times New Roman" w:hAnsi="Times New Roman"/>
          <w:sz w:val="24"/>
          <w:szCs w:val="24"/>
          <w:color w:val="auto"/>
        </w:rPr>
        <w:t>SM’deki</w:t>
      </w:r>
      <w:r>
        <w:rPr>
          <w:rFonts w:ascii="Times New Roman" w:cs="Times New Roman" w:eastAsia="Times New Roman" w:hAnsi="Times New Roman"/>
          <w:sz w:val="24"/>
          <w:szCs w:val="24"/>
          <w:color w:val="auto"/>
        </w:rPr>
        <w:t xml:space="preserve"> neoplastik mast hücreleri bu iki yüzey reseptörünü eksprese edebilirken neoplastik olmayan mast hücreleri eksprese edemez (103, 104). Bu iki </w:t>
      </w:r>
      <w:r>
        <w:rPr>
          <w:rFonts w:ascii="Times New Roman" w:cs="Times New Roman" w:eastAsia="Times New Roman" w:hAnsi="Times New Roman"/>
          <w:sz w:val="24"/>
          <w:szCs w:val="24"/>
          <w:color w:val="auto"/>
        </w:rPr>
        <w:t>yüzey reseptöründen CD25 daha sık eksprese edilir.</w:t>
      </w:r>
    </w:p>
    <w:p>
      <w:pPr>
        <w:spacing w:after="0" w:line="179" w:lineRule="exact"/>
        <w:rPr>
          <w:sz w:val="20"/>
          <w:szCs w:val="20"/>
          <w:color w:val="auto"/>
        </w:rPr>
      </w:pPr>
    </w:p>
    <w:p>
      <w:pPr>
        <w:jc w:val="both"/>
        <w:ind w:left="840" w:firstLine="708"/>
        <w:spacing w:after="0" w:line="358" w:lineRule="auto"/>
        <w:rPr>
          <w:sz w:val="20"/>
          <w:szCs w:val="20"/>
          <w:color w:val="auto"/>
        </w:rPr>
      </w:pPr>
      <w:r>
        <w:rPr>
          <w:rFonts w:ascii="Times New Roman" w:cs="Times New Roman" w:eastAsia="Times New Roman" w:hAnsi="Times New Roman"/>
          <w:sz w:val="24"/>
          <w:szCs w:val="24"/>
          <w:color w:val="auto"/>
        </w:rPr>
        <w:t xml:space="preserve">SM </w:t>
      </w:r>
      <w:r>
        <w:rPr>
          <w:rFonts w:ascii="Times New Roman" w:cs="Times New Roman" w:eastAsia="Times New Roman" w:hAnsi="Times New Roman"/>
          <w:sz w:val="24"/>
          <w:szCs w:val="24"/>
          <w:color w:val="auto"/>
        </w:rPr>
        <w:t>değerlendirilmesi yapılırken mutlaka serum triptaz düzeyinin görülmesi</w:t>
      </w:r>
      <w:r>
        <w:rPr>
          <w:rFonts w:ascii="Times New Roman" w:cs="Times New Roman" w:eastAsia="Times New Roman" w:hAnsi="Times New Roman"/>
          <w:sz w:val="24"/>
          <w:szCs w:val="24"/>
          <w:color w:val="auto"/>
        </w:rPr>
        <w:t xml:space="preserve"> gerekmektedir. Seru</w:t>
      </w:r>
      <w:r>
        <w:rPr>
          <w:rFonts w:ascii="Times New Roman" w:cs="Times New Roman" w:eastAsia="Times New Roman" w:hAnsi="Times New Roman"/>
          <w:sz w:val="24"/>
          <w:szCs w:val="24"/>
          <w:color w:val="auto"/>
        </w:rPr>
        <w:t>m triptaz düzeyinin sürekli olarak &gt; 20 ng/ml olması</w:t>
      </w:r>
      <w:r>
        <w:rPr>
          <w:rFonts w:ascii="Times New Roman" w:cs="Times New Roman" w:eastAsia="Times New Roman" w:hAnsi="Times New Roman"/>
          <w:sz w:val="24"/>
          <w:szCs w:val="24"/>
          <w:color w:val="auto"/>
        </w:rPr>
        <w:t xml:space="preserve"> WHO minör kriterlerdendir (105). Serum triptaz düzeyi ve mast hücre yükü koreledir. </w:t>
      </w:r>
      <w:r>
        <w:rPr>
          <w:rFonts w:ascii="Times New Roman" w:cs="Times New Roman" w:eastAsia="Times New Roman" w:hAnsi="Times New Roman"/>
          <w:sz w:val="24"/>
          <w:szCs w:val="24"/>
          <w:color w:val="auto"/>
        </w:rPr>
        <w:t>Hastalığın agres</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fliği arttıkça triptaz düzeyinin yükseldiği bilinmektedir </w:t>
      </w:r>
      <w:r>
        <w:rPr>
          <w:rFonts w:ascii="Times New Roman" w:cs="Times New Roman" w:eastAsia="Times New Roman" w:hAnsi="Times New Roman"/>
          <w:sz w:val="24"/>
          <w:szCs w:val="24"/>
          <w:color w:val="auto"/>
        </w:rPr>
        <w:t>(84). Serum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triptaz düzeyinin </w:t>
      </w:r>
      <w:r>
        <w:rPr>
          <w:rFonts w:ascii="Times New Roman" w:cs="Times New Roman" w:eastAsia="Times New Roman" w:hAnsi="Times New Roman"/>
          <w:sz w:val="24"/>
          <w:szCs w:val="24"/>
          <w:color w:val="auto"/>
        </w:rPr>
        <w:t>MDS, KMML, KML ve AML hastalarında da yüksek</w:t>
      </w:r>
      <w:r>
        <w:rPr>
          <w:rFonts w:ascii="Times New Roman" w:cs="Times New Roman" w:eastAsia="Times New Roman" w:hAnsi="Times New Roman"/>
          <w:sz w:val="24"/>
          <w:szCs w:val="24"/>
          <w:color w:val="auto"/>
        </w:rPr>
        <w:t xml:space="preserve"> seyredebilmesi nedeniyle özellikle SM-</w:t>
      </w:r>
      <w:r>
        <w:rPr>
          <w:rFonts w:ascii="Times New Roman" w:cs="Times New Roman" w:eastAsia="Times New Roman" w:hAnsi="Times New Roman"/>
          <w:sz w:val="24"/>
          <w:szCs w:val="24"/>
          <w:color w:val="auto"/>
        </w:rPr>
        <w:t>AHN hastalarında tanı kriteri olarak</w:t>
      </w:r>
      <w:r>
        <w:rPr>
          <w:rFonts w:ascii="Times New Roman" w:cs="Times New Roman" w:eastAsia="Times New Roman" w:hAnsi="Times New Roman"/>
          <w:sz w:val="24"/>
          <w:szCs w:val="24"/>
          <w:color w:val="auto"/>
        </w:rPr>
        <w:t xml:space="preserve"> kullan</w:t>
      </w:r>
      <w:r>
        <w:rPr>
          <w:rFonts w:ascii="Times New Roman" w:cs="Times New Roman" w:eastAsia="Times New Roman" w:hAnsi="Times New Roman"/>
          <w:sz w:val="24"/>
          <w:szCs w:val="24"/>
          <w:color w:val="auto"/>
        </w:rPr>
        <w:t>ılması önerilmemektedir</w:t>
      </w:r>
      <w:r>
        <w:rPr>
          <w:rFonts w:ascii="Times New Roman" w:cs="Times New Roman" w:eastAsia="Times New Roman" w:hAnsi="Times New Roman"/>
          <w:sz w:val="24"/>
          <w:szCs w:val="24"/>
          <w:color w:val="auto"/>
        </w:rPr>
        <w:t xml:space="preserve"> (106).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-834390</wp:posOffset>
            </wp:positionV>
            <wp:extent cx="4699000" cy="18542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59" w:lineRule="exact"/>
        <w:rPr>
          <w:sz w:val="20"/>
          <w:szCs w:val="20"/>
          <w:color w:val="auto"/>
        </w:rPr>
      </w:pPr>
    </w:p>
    <w:p>
      <w:pPr>
        <w:jc w:val="both"/>
        <w:ind w:left="840" w:firstLine="708"/>
        <w:spacing w:after="0" w:line="358" w:lineRule="auto"/>
        <w:rPr>
          <w:sz w:val="20"/>
          <w:szCs w:val="20"/>
          <w:color w:val="auto"/>
        </w:rPr>
      </w:pPr>
      <w:r>
        <w:rPr>
          <w:rFonts w:ascii="Times New Roman" w:cs="Times New Roman" w:eastAsia="Times New Roman" w:hAnsi="Times New Roman"/>
          <w:sz w:val="24"/>
          <w:szCs w:val="24"/>
          <w:color w:val="auto"/>
        </w:rPr>
        <w:t>Periferik kan, kemik i</w:t>
      </w:r>
      <w:r>
        <w:rPr>
          <w:rFonts w:ascii="Times New Roman" w:cs="Times New Roman" w:eastAsia="Times New Roman" w:hAnsi="Times New Roman"/>
          <w:sz w:val="24"/>
          <w:szCs w:val="24"/>
          <w:color w:val="auto"/>
        </w:rPr>
        <w:t>liği örnekleri ve biyopsi ile örneklenen dokulardan PCR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ile KIT D816V mutasyonunun çalışılması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tanının desteklenmesi ve klonaliteyi göstermek açısından faydalıdır. KIT D816V mutasyonunun saptanması WHO </w:t>
      </w:r>
      <w:r>
        <w:rPr>
          <w:rFonts w:ascii="Times New Roman" w:cs="Times New Roman" w:eastAsia="Times New Roman" w:hAnsi="Times New Roman"/>
          <w:sz w:val="24"/>
          <w:szCs w:val="24"/>
          <w:color w:val="auto"/>
        </w:rPr>
        <w:t>minör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kriterlerindendir (107, 108). D816V mutasyonu SM </w:t>
      </w:r>
      <w:r>
        <w:rPr>
          <w:rFonts w:ascii="Times New Roman" w:cs="Times New Roman" w:eastAsia="Times New Roman" w:hAnsi="Times New Roman"/>
          <w:sz w:val="24"/>
          <w:szCs w:val="24"/>
          <w:color w:val="auto"/>
        </w:rPr>
        <w:t>hastalarının %90 civarında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pozitif saptanır</w:t>
      </w:r>
      <w:r>
        <w:rPr>
          <w:rFonts w:ascii="Times New Roman" w:cs="Times New Roman" w:eastAsia="Times New Roman" w:hAnsi="Times New Roman"/>
          <w:sz w:val="24"/>
          <w:szCs w:val="24"/>
          <w:color w:val="auto"/>
        </w:rPr>
        <w:t>(109). KIT D816V mutasyonunun m</w:t>
      </w:r>
      <w:r>
        <w:rPr>
          <w:rFonts w:ascii="Times New Roman" w:cs="Times New Roman" w:eastAsia="Times New Roman" w:hAnsi="Times New Roman"/>
          <w:sz w:val="24"/>
          <w:szCs w:val="24"/>
          <w:color w:val="auto"/>
        </w:rPr>
        <w:t xml:space="preserve">ast hücreleri dışındaki başka </w:t>
      </w:r>
      <w:r>
        <w:rPr>
          <w:rFonts w:ascii="Times New Roman" w:cs="Times New Roman" w:eastAsia="Times New Roman" w:hAnsi="Times New Roman"/>
          <w:sz w:val="24"/>
          <w:szCs w:val="24"/>
          <w:color w:val="auto"/>
        </w:rPr>
        <w:t>mi</w:t>
      </w:r>
      <w:r>
        <w:rPr>
          <w:rFonts w:ascii="Times New Roman" w:cs="Times New Roman" w:eastAsia="Times New Roman" w:hAnsi="Times New Roman"/>
          <w:sz w:val="24"/>
          <w:szCs w:val="24"/>
          <w:color w:val="auto"/>
        </w:rPr>
        <w:t>yeloid ve lenfoid serilerde de saptanması ASM, SM</w:t>
      </w:r>
      <w:r>
        <w:rPr>
          <w:rFonts w:ascii="Times New Roman" w:cs="Times New Roman" w:eastAsia="Times New Roman" w:hAnsi="Times New Roman"/>
          <w:sz w:val="24"/>
          <w:szCs w:val="24"/>
          <w:color w:val="auto"/>
        </w:rPr>
        <w:t>-AHN ve MHL</w:t>
      </w:r>
      <w:r>
        <w:rPr>
          <w:rFonts w:ascii="Times New Roman" w:cs="Times New Roman" w:eastAsia="Times New Roman" w:hAnsi="Times New Roman"/>
          <w:sz w:val="24"/>
          <w:szCs w:val="24"/>
          <w:color w:val="auto"/>
        </w:rPr>
        <w:t>’de İSM’ye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göre çok daha sıktır </w:t>
      </w:r>
      <w:r>
        <w:rPr>
          <w:rFonts w:ascii="Times New Roman" w:cs="Times New Roman" w:eastAsia="Times New Roman" w:hAnsi="Times New Roman"/>
          <w:sz w:val="24"/>
          <w:szCs w:val="24"/>
          <w:color w:val="auto"/>
        </w:rPr>
        <w:t>(110). D816V haricinde özellikle lökosit</w:t>
      </w:r>
      <w:r>
        <w:rPr>
          <w:rFonts w:ascii="Times New Roman" w:cs="Times New Roman" w:eastAsia="Times New Roman" w:hAnsi="Times New Roman"/>
          <w:sz w:val="24"/>
          <w:szCs w:val="24"/>
          <w:color w:val="auto"/>
        </w:rPr>
        <w:t xml:space="preserve">oz, eozinofil yüksekliği, B12 vitamin yüksekliği gibi başka hematolojik hastalıklara ait özellikler taşıyan </w:t>
      </w:r>
      <w:r>
        <w:rPr>
          <w:rFonts w:ascii="Times New Roman" w:cs="Times New Roman" w:eastAsia="Times New Roman" w:hAnsi="Times New Roman"/>
          <w:sz w:val="24"/>
          <w:szCs w:val="24"/>
          <w:color w:val="auto"/>
        </w:rPr>
        <w:t xml:space="preserve">hastalarda </w:t>
      </w:r>
      <w:r>
        <w:rPr>
          <w:rFonts w:ascii="Times New Roman" w:cs="Times New Roman" w:eastAsia="Times New Roman" w:hAnsi="Times New Roman"/>
          <w:sz w:val="24"/>
          <w:szCs w:val="24"/>
          <w:i w:val="1"/>
          <w:iCs w:val="1"/>
          <w:color w:val="auto"/>
        </w:rPr>
        <w:t>BCR/ABL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JAK2V617F</w:t>
      </w:r>
      <w:r>
        <w:rPr>
          <w:rFonts w:ascii="Times New Roman" w:cs="Times New Roman" w:eastAsia="Times New Roman" w:hAnsi="Times New Roman"/>
          <w:sz w:val="24"/>
          <w:szCs w:val="24"/>
          <w:color w:val="auto"/>
        </w:rPr>
        <w:t xml:space="preserve"> ve [</w:t>
      </w:r>
      <w:r>
        <w:rPr>
          <w:rFonts w:ascii="Times New Roman" w:cs="Times New Roman" w:eastAsia="Times New Roman" w:hAnsi="Times New Roman"/>
          <w:sz w:val="24"/>
          <w:szCs w:val="24"/>
          <w:i w:val="1"/>
          <w:iCs w:val="1"/>
          <w:color w:val="auto"/>
        </w:rPr>
        <w:t>FIP1L1-PDGFRA</w:t>
      </w:r>
      <w:r>
        <w:rPr>
          <w:rFonts w:ascii="Times New Roman" w:cs="Times New Roman" w:eastAsia="Times New Roman" w:hAnsi="Times New Roman"/>
          <w:sz w:val="24"/>
          <w:szCs w:val="24"/>
          <w:color w:val="auto"/>
        </w:rPr>
        <w:t xml:space="preserve">] gibi ek moleküler ve </w:t>
      </w:r>
      <w:r>
        <w:rPr>
          <w:rFonts w:ascii="Times New Roman" w:cs="Times New Roman" w:eastAsia="Times New Roman" w:hAnsi="Times New Roman"/>
          <w:sz w:val="24"/>
          <w:szCs w:val="24"/>
          <w:color w:val="auto"/>
        </w:rPr>
        <w:t xml:space="preserve">sitogenetik tetkiklerin de çalışılması önerilir </w:t>
      </w:r>
      <w:r>
        <w:rPr>
          <w:rFonts w:ascii="Times New Roman" w:cs="Times New Roman" w:eastAsia="Times New Roman" w:hAnsi="Times New Roman"/>
          <w:sz w:val="24"/>
          <w:szCs w:val="24"/>
          <w:color w:val="auto"/>
        </w:rPr>
        <w:t>(103).</w:t>
      </w:r>
    </w:p>
    <w:p>
      <w:pPr>
        <w:spacing w:after="0" w:line="182" w:lineRule="exact"/>
        <w:rPr>
          <w:sz w:val="20"/>
          <w:szCs w:val="20"/>
          <w:color w:val="auto"/>
        </w:rPr>
      </w:pPr>
    </w:p>
    <w:p>
      <w:pPr>
        <w:jc w:val="both"/>
        <w:ind w:left="840" w:firstLine="708"/>
        <w:spacing w:after="0" w:line="354" w:lineRule="auto"/>
        <w:rPr>
          <w:sz w:val="20"/>
          <w:szCs w:val="20"/>
          <w:color w:val="auto"/>
        </w:rPr>
      </w:pPr>
      <w:r>
        <w:rPr>
          <w:rFonts w:ascii="Times New Roman" w:cs="Times New Roman" w:eastAsia="Times New Roman" w:hAnsi="Times New Roman"/>
          <w:sz w:val="24"/>
          <w:szCs w:val="24"/>
          <w:color w:val="auto"/>
        </w:rPr>
        <w:t xml:space="preserve">SM gibi nadir </w:t>
      </w:r>
      <w:r>
        <w:rPr>
          <w:rFonts w:ascii="Times New Roman" w:cs="Times New Roman" w:eastAsia="Times New Roman" w:hAnsi="Times New Roman"/>
          <w:sz w:val="24"/>
          <w:szCs w:val="24"/>
          <w:color w:val="auto"/>
        </w:rPr>
        <w:t>rastlanan ve çok çeşitli klinik özellikleri olan hastalığın tanısı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konurken yukarıda bahsedilmiş olan tüm tetkiklerin birlikte değerlendirilmesi hastalığı saptamada klinisyene yardımcı olabilir.</w:t>
      </w:r>
    </w:p>
    <w:p>
      <w:pPr>
        <w:sectPr>
          <w:pgSz w:w="11900" w:h="16838" w:orient="portrait"/>
          <w:cols w:equalWidth="0" w:num="1">
            <w:col w:w="9060"/>
          </w:cols>
          <w:pgMar w:left="1440" w:top="714" w:right="1406" w:bottom="1440" w:gutter="0" w:footer="0" w:header="0"/>
        </w:sectPr>
      </w:pPr>
    </w:p>
    <w:bookmarkStart w:id="20" w:name="page21"/>
    <w:bookmarkEnd w:id="20"/>
    <w:p>
      <w:pPr>
        <w:jc w:val="right"/>
        <w:spacing w:after="0"/>
        <w:rPr>
          <w:sz w:val="20"/>
          <w:szCs w:val="20"/>
          <w:color w:val="auto"/>
        </w:rPr>
      </w:pPr>
      <w:r>
        <w:rPr>
          <w:rFonts w:ascii="Calibri" w:cs="Calibri" w:eastAsia="Calibri" w:hAnsi="Calibri"/>
          <w:sz w:val="22"/>
          <w:szCs w:val="22"/>
          <w:color w:val="auto"/>
        </w:rPr>
        <w:t>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-116840</wp:posOffset>
            </wp:positionH>
            <wp:positionV relativeFrom="paragraph">
              <wp:posOffset>723265</wp:posOffset>
            </wp:positionV>
            <wp:extent cx="6309360" cy="42646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6309360" cy="4264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auto"/>
        </w:rPr>
        <w:t>Şekil</w:t>
      </w:r>
      <w:r>
        <w:rPr>
          <w:rFonts w:ascii="Times New Roman" w:cs="Times New Roman" w:eastAsia="Times New Roman" w:hAnsi="Times New Roman"/>
          <w:sz w:val="24"/>
          <w:szCs w:val="24"/>
          <w:b w:val="1"/>
          <w:bCs w:val="1"/>
          <w:color w:val="auto"/>
        </w:rPr>
        <w:t>-1.</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Tanısal algoritma</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(111)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WHO Sistemik Mastositoz için tanı ve sınıflama kriterleri düzenlemiştir.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auto"/>
        </w:rPr>
        <w:t xml:space="preserve">WHO Sistemik Mastositoz </w:t>
      </w:r>
      <w:r>
        <w:rPr>
          <w:rFonts w:ascii="Times New Roman" w:cs="Times New Roman" w:eastAsia="Times New Roman" w:hAnsi="Times New Roman"/>
          <w:sz w:val="24"/>
          <w:szCs w:val="24"/>
          <w:b w:val="1"/>
          <w:bCs w:val="1"/>
          <w:color w:val="auto"/>
        </w:rPr>
        <w:t>Tanı Kriterleri</w:t>
      </w:r>
      <w:r>
        <w:rPr>
          <w:rFonts w:ascii="Times New Roman" w:cs="Times New Roman" w:eastAsia="Times New Roman" w:hAnsi="Times New Roman"/>
          <w:sz w:val="24"/>
          <w:szCs w:val="24"/>
          <w:b w:val="1"/>
          <w:bCs w:val="1"/>
          <w:color w:val="auto"/>
        </w:rPr>
        <w:t xml:space="preserve"> (112):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auto"/>
        </w:rPr>
        <w:t>1-Major Kriter</w:t>
      </w:r>
    </w:p>
    <w:p>
      <w:pPr>
        <w:spacing w:after="0" w:line="310" w:lineRule="exact"/>
        <w:rPr>
          <w:sz w:val="20"/>
          <w:szCs w:val="20"/>
          <w:color w:val="auto"/>
        </w:rPr>
      </w:pPr>
    </w:p>
    <w:p>
      <w:pPr>
        <w:ind w:left="840"/>
        <w:spacing w:after="0" w:line="350" w:lineRule="auto"/>
        <w:rPr>
          <w:sz w:val="20"/>
          <w:szCs w:val="20"/>
          <w:color w:val="auto"/>
        </w:rPr>
      </w:pPr>
      <w:r>
        <w:rPr>
          <w:rFonts w:ascii="Times New Roman" w:cs="Times New Roman" w:eastAsia="Times New Roman" w:hAnsi="Times New Roman"/>
          <w:sz w:val="24"/>
          <w:szCs w:val="24"/>
          <w:color w:val="auto"/>
        </w:rPr>
        <w:t xml:space="preserve">Kemik iliği veya diğer deri dışı organlarda multifokal yoğun mast hücre infiltrasyonu saptanması </w:t>
      </w:r>
      <w:r>
        <w:rPr>
          <w:rFonts w:ascii="Times New Roman" w:cs="Times New Roman" w:eastAsia="Times New Roman" w:hAnsi="Times New Roman"/>
          <w:sz w:val="24"/>
          <w:szCs w:val="24"/>
          <w:color w:val="auto"/>
        </w:rPr>
        <w:t>(agregatlarda 15 veya daha fazla mast hücresi</w:t>
      </w:r>
      <w:r>
        <w:rPr>
          <w:rFonts w:ascii="Times New Roman" w:cs="Times New Roman" w:eastAsia="Times New Roman" w:hAnsi="Times New Roman"/>
          <w:sz w:val="24"/>
          <w:szCs w:val="24"/>
          <w:color w:val="auto"/>
        </w:rPr>
        <w:t xml:space="preserve"> saptanmalıdır</w:t>
      </w:r>
      <w:r>
        <w:rPr>
          <w:rFonts w:ascii="Times New Roman" w:cs="Times New Roman" w:eastAsia="Times New Roman" w:hAnsi="Times New Roman"/>
          <w:sz w:val="24"/>
          <w:szCs w:val="24"/>
          <w:color w:val="auto"/>
        </w:rPr>
        <w:t>)</w:t>
      </w:r>
    </w:p>
    <w:p>
      <w:pPr>
        <w:sectPr>
          <w:pgSz w:w="11900" w:h="16838" w:orient="portrait"/>
          <w:cols w:equalWidth="0" w:num="1">
            <w:col w:w="9060"/>
          </w:cols>
          <w:pgMar w:left="1440" w:top="714" w:right="1406" w:bottom="1440" w:gutter="0" w:footer="0" w:header="0"/>
        </w:sectPr>
      </w:pPr>
    </w:p>
    <w:bookmarkStart w:id="21" w:name="page22"/>
    <w:bookmarkEnd w:id="21"/>
    <w:p>
      <w:pPr>
        <w:jc w:val="right"/>
        <w:spacing w:after="0"/>
        <w:rPr>
          <w:sz w:val="20"/>
          <w:szCs w:val="20"/>
          <w:color w:val="auto"/>
        </w:rPr>
      </w:pPr>
      <w:r>
        <w:rPr>
          <w:rFonts w:ascii="Calibri" w:cs="Calibri" w:eastAsia="Calibri" w:hAnsi="Calibri"/>
          <w:sz w:val="22"/>
          <w:szCs w:val="22"/>
          <w:color w:val="auto"/>
        </w:rPr>
        <w:t>11</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auto"/>
        </w:rPr>
        <w:t>2-Minör Kriterler</w:t>
      </w:r>
    </w:p>
    <w:p>
      <w:pPr>
        <w:spacing w:after="0" w:line="310" w:lineRule="exact"/>
        <w:rPr>
          <w:sz w:val="20"/>
          <w:szCs w:val="20"/>
          <w:color w:val="auto"/>
        </w:rPr>
      </w:pPr>
    </w:p>
    <w:p>
      <w:pPr>
        <w:ind w:left="840"/>
        <w:spacing w:after="0" w:line="350" w:lineRule="auto"/>
        <w:rPr>
          <w:sz w:val="20"/>
          <w:szCs w:val="20"/>
          <w:color w:val="auto"/>
        </w:rPr>
      </w:pPr>
      <w:r>
        <w:rPr>
          <w:rFonts w:ascii="Times New Roman" w:cs="Times New Roman" w:eastAsia="Times New Roman" w:hAnsi="Times New Roman"/>
          <w:sz w:val="24"/>
          <w:szCs w:val="24"/>
          <w:b w:val="1"/>
          <w:bCs w:val="1"/>
          <w:color w:val="auto"/>
        </w:rPr>
        <w:t>a)</w:t>
      </w:r>
      <w:r>
        <w:rPr>
          <w:rFonts w:ascii="Times New Roman" w:cs="Times New Roman" w:eastAsia="Times New Roman" w:hAnsi="Times New Roman"/>
          <w:sz w:val="24"/>
          <w:szCs w:val="24"/>
          <w:color w:val="auto"/>
        </w:rPr>
        <w:t>Kemik</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iliği veya diğer deri dışı organlardaki mast hücrelerinde anormal morfolojik</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görünüm </w:t>
      </w:r>
      <w:r>
        <w:rPr>
          <w:rFonts w:ascii="Times New Roman" w:cs="Times New Roman" w:eastAsia="Times New Roman" w:hAnsi="Times New Roman"/>
          <w:sz w:val="24"/>
          <w:szCs w:val="24"/>
          <w:color w:val="auto"/>
        </w:rPr>
        <w:t>saptanması</w:t>
      </w:r>
      <w:r>
        <w:rPr>
          <w:rFonts w:ascii="Times New Roman" w:cs="Times New Roman" w:eastAsia="Times New Roman" w:hAnsi="Times New Roman"/>
          <w:sz w:val="24"/>
          <w:szCs w:val="24"/>
          <w:color w:val="auto"/>
        </w:rPr>
        <w:t xml:space="preserve"> (&gt;%25)</w:t>
      </w:r>
    </w:p>
    <w:p>
      <w:pPr>
        <w:spacing w:after="0" w:line="184" w:lineRule="exact"/>
        <w:rPr>
          <w:sz w:val="20"/>
          <w:szCs w:val="20"/>
          <w:color w:val="auto"/>
        </w:rPr>
      </w:pPr>
    </w:p>
    <w:p>
      <w:pPr>
        <w:ind w:left="840" w:hanging="4"/>
        <w:spacing w:after="0" w:line="348" w:lineRule="auto"/>
        <w:tabs>
          <w:tab w:leader="none" w:pos="1186" w:val="left"/>
        </w:tabs>
        <w:numPr>
          <w:ilvl w:val="0"/>
          <w:numId w:val="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Deri dışı organlarda </w:t>
      </w:r>
      <w:r>
        <w:rPr>
          <w:rFonts w:ascii="Times New Roman" w:cs="Times New Roman" w:eastAsia="Times New Roman" w:hAnsi="Times New Roman"/>
          <w:sz w:val="24"/>
          <w:szCs w:val="24"/>
          <w:color w:val="auto"/>
        </w:rPr>
        <w:t>D816V (Asp-816-Val) c-kit mutasyonunun gösterilmesi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(periferik kan, </w:t>
      </w:r>
      <w:r>
        <w:rPr>
          <w:rFonts w:ascii="Times New Roman" w:cs="Times New Roman" w:eastAsia="Times New Roman" w:hAnsi="Times New Roman"/>
          <w:sz w:val="24"/>
          <w:szCs w:val="24"/>
          <w:color w:val="auto"/>
        </w:rPr>
        <w:t>kemik iliği gibi)</w:t>
      </w:r>
    </w:p>
    <w:p>
      <w:pPr>
        <w:spacing w:after="0" w:line="186" w:lineRule="exact"/>
        <w:rPr>
          <w:sz w:val="20"/>
          <w:szCs w:val="20"/>
          <w:color w:val="auto"/>
        </w:rPr>
      </w:pPr>
    </w:p>
    <w:p>
      <w:pPr>
        <w:ind w:left="840"/>
        <w:spacing w:after="0" w:line="350" w:lineRule="auto"/>
        <w:rPr>
          <w:sz w:val="20"/>
          <w:szCs w:val="20"/>
          <w:color w:val="auto"/>
        </w:rPr>
      </w:pPr>
      <w:r>
        <w:rPr>
          <w:rFonts w:ascii="Times New Roman" w:cs="Times New Roman" w:eastAsia="Times New Roman" w:hAnsi="Times New Roman"/>
          <w:sz w:val="24"/>
          <w:szCs w:val="24"/>
          <w:b w:val="1"/>
          <w:bCs w:val="1"/>
          <w:color w:val="auto"/>
        </w:rPr>
        <w:t>c)</w:t>
      </w:r>
      <w:r>
        <w:rPr>
          <w:rFonts w:ascii="Times New Roman" w:cs="Times New Roman" w:eastAsia="Times New Roman" w:hAnsi="Times New Roman"/>
          <w:sz w:val="24"/>
          <w:szCs w:val="24"/>
          <w:color w:val="auto"/>
        </w:rPr>
        <w:t>Periferik kan, k</w:t>
      </w:r>
      <w:r>
        <w:rPr>
          <w:rFonts w:ascii="Times New Roman" w:cs="Times New Roman" w:eastAsia="Times New Roman" w:hAnsi="Times New Roman"/>
          <w:sz w:val="24"/>
          <w:szCs w:val="24"/>
          <w:color w:val="auto"/>
        </w:rPr>
        <w:t>emik iliği ve ekstraküt</w:t>
      </w:r>
      <w:r>
        <w:rPr>
          <w:rFonts w:ascii="Times New Roman" w:cs="Times New Roman" w:eastAsia="Times New Roman" w:hAnsi="Times New Roman"/>
          <w:sz w:val="24"/>
          <w:szCs w:val="24"/>
          <w:color w:val="auto"/>
        </w:rPr>
        <w:t>anöz dokulardaki mast hücrelerinde CD2</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veya CD25 pozitifliği </w:t>
      </w:r>
      <w:r>
        <w:rPr>
          <w:rFonts w:ascii="Times New Roman" w:cs="Times New Roman" w:eastAsia="Times New Roman" w:hAnsi="Times New Roman"/>
          <w:sz w:val="24"/>
          <w:szCs w:val="24"/>
          <w:color w:val="auto"/>
        </w:rPr>
        <w:t>görülmesi</w:t>
      </w:r>
    </w:p>
    <w:p>
      <w:pPr>
        <w:spacing w:after="0" w:line="184" w:lineRule="exact"/>
        <w:rPr>
          <w:sz w:val="20"/>
          <w:szCs w:val="20"/>
          <w:color w:val="auto"/>
        </w:rPr>
      </w:pPr>
    </w:p>
    <w:p>
      <w:pPr>
        <w:ind w:left="840"/>
        <w:spacing w:after="0" w:line="348" w:lineRule="auto"/>
        <w:rPr>
          <w:sz w:val="20"/>
          <w:szCs w:val="20"/>
          <w:color w:val="auto"/>
        </w:rPr>
      </w:pPr>
      <w:r>
        <w:rPr>
          <w:rFonts w:ascii="Times New Roman" w:cs="Times New Roman" w:eastAsia="Times New Roman" w:hAnsi="Times New Roman"/>
          <w:sz w:val="24"/>
          <w:szCs w:val="24"/>
          <w:b w:val="1"/>
          <w:bCs w:val="1"/>
          <w:color w:val="auto"/>
        </w:rPr>
        <w:t>d)</w:t>
      </w:r>
      <w:r>
        <w:rPr>
          <w:rFonts w:ascii="Times New Roman" w:cs="Times New Roman" w:eastAsia="Times New Roman" w:hAnsi="Times New Roman"/>
          <w:sz w:val="24"/>
          <w:szCs w:val="24"/>
          <w:color w:val="auto"/>
        </w:rPr>
        <w:t>Serum triptaz düzeyinin &gt;20 ng/mL olması (birlikte mast hücre dışı hematolojik</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klonal bir hastalık varsa geçerli değildir)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-81280</wp:posOffset>
            </wp:positionV>
            <wp:extent cx="4699000" cy="18542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56"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Tanı için 3 minör ya da 1major kriter + 1 minör kriter yete</w:t>
      </w:r>
      <w:r>
        <w:rPr>
          <w:rFonts w:ascii="Times New Roman" w:cs="Times New Roman" w:eastAsia="Times New Roman" w:hAnsi="Times New Roman"/>
          <w:sz w:val="24"/>
          <w:szCs w:val="24"/>
          <w:color w:val="auto"/>
        </w:rPr>
        <w:t>rlidir.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auto"/>
        </w:rPr>
        <w:t>B Bulguları (Borderline Benign)</w:t>
      </w:r>
    </w:p>
    <w:p>
      <w:pPr>
        <w:spacing w:after="0" w:line="298" w:lineRule="exact"/>
        <w:rPr>
          <w:sz w:val="20"/>
          <w:szCs w:val="20"/>
          <w:color w:val="auto"/>
        </w:rPr>
      </w:pPr>
    </w:p>
    <w:p>
      <w:pPr>
        <w:ind w:left="1100" w:hanging="264"/>
        <w:spacing w:after="0"/>
        <w:tabs>
          <w:tab w:leader="none" w:pos="1100" w:val="left"/>
        </w:tabs>
        <w:numPr>
          <w:ilvl w:val="0"/>
          <w:numId w:val="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Kemik iliği biyopsisinde </w:t>
      </w:r>
      <w:r>
        <w:rPr>
          <w:rFonts w:ascii="Times New Roman" w:cs="Times New Roman" w:eastAsia="Times New Roman" w:hAnsi="Times New Roman"/>
          <w:sz w:val="24"/>
          <w:szCs w:val="24"/>
          <w:color w:val="auto"/>
        </w:rPr>
        <w:t>mast hücre</w:t>
      </w:r>
      <w:r>
        <w:rPr>
          <w:rFonts w:ascii="Times New Roman" w:cs="Times New Roman" w:eastAsia="Times New Roman" w:hAnsi="Times New Roman"/>
          <w:sz w:val="24"/>
          <w:szCs w:val="24"/>
          <w:color w:val="auto"/>
        </w:rPr>
        <w:t xml:space="preserve"> infiltrasyon oranının &gt;%30 olması ve</w:t>
      </w:r>
      <w:r>
        <w:rPr>
          <w:rFonts w:ascii="Times New Roman" w:cs="Times New Roman" w:eastAsia="Times New Roman" w:hAnsi="Times New Roman"/>
          <w:sz w:val="24"/>
          <w:szCs w:val="24"/>
          <w:color w:val="auto"/>
        </w:rPr>
        <w:t>/veya</w:t>
      </w:r>
    </w:p>
    <w:p>
      <w:pPr>
        <w:spacing w:after="0" w:line="13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serum total triptaz düzeyinin &gt;200 ng/ml olması</w:t>
      </w:r>
    </w:p>
    <w:p>
      <w:pPr>
        <w:spacing w:after="0" w:line="298" w:lineRule="exact"/>
        <w:rPr>
          <w:sz w:val="20"/>
          <w:szCs w:val="20"/>
          <w:color w:val="auto"/>
        </w:rPr>
      </w:pPr>
    </w:p>
    <w:p>
      <w:pPr>
        <w:ind w:left="1120" w:hanging="284"/>
        <w:spacing w:after="0"/>
        <w:tabs>
          <w:tab w:leader="none" w:pos="1120" w:val="left"/>
        </w:tabs>
        <w:numPr>
          <w:ilvl w:val="0"/>
          <w:numId w:val="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Yağ hücre kaybı ile birlikte olan hipersellüler kemik iliği, sitopeni olmaksızın</w:t>
      </w:r>
    </w:p>
    <w:p>
      <w:pPr>
        <w:spacing w:after="0" w:line="149" w:lineRule="exact"/>
        <w:rPr>
          <w:sz w:val="20"/>
          <w:szCs w:val="20"/>
          <w:color w:val="auto"/>
        </w:rPr>
      </w:pPr>
    </w:p>
    <w:p>
      <w:pPr>
        <w:ind w:left="840"/>
        <w:spacing w:after="0" w:line="350" w:lineRule="auto"/>
        <w:rPr>
          <w:sz w:val="20"/>
          <w:szCs w:val="20"/>
          <w:color w:val="auto"/>
        </w:rPr>
      </w:pPr>
      <w:r>
        <w:rPr>
          <w:rFonts w:ascii="Times New Roman" w:cs="Times New Roman" w:eastAsia="Times New Roman" w:hAnsi="Times New Roman"/>
          <w:sz w:val="24"/>
          <w:szCs w:val="24"/>
          <w:color w:val="auto"/>
        </w:rPr>
        <w:t>v</w:t>
      </w:r>
      <w:r>
        <w:rPr>
          <w:rFonts w:ascii="Times New Roman" w:cs="Times New Roman" w:eastAsia="Times New Roman" w:hAnsi="Times New Roman"/>
          <w:sz w:val="24"/>
          <w:szCs w:val="24"/>
          <w:color w:val="auto"/>
        </w:rPr>
        <w:t>eya MDS ve MDS’ye ait</w:t>
      </w:r>
      <w:r>
        <w:rPr>
          <w:rFonts w:ascii="Times New Roman" w:cs="Times New Roman" w:eastAsia="Times New Roman" w:hAnsi="Times New Roman"/>
          <w:sz w:val="24"/>
          <w:szCs w:val="24"/>
          <w:color w:val="auto"/>
        </w:rPr>
        <w:t xml:space="preserve"> WHO ölçütleri olmadan hafif myelodisplastik </w:t>
      </w:r>
      <w:r>
        <w:rPr>
          <w:rFonts w:ascii="Times New Roman" w:cs="Times New Roman" w:eastAsia="Times New Roman" w:hAnsi="Times New Roman"/>
          <w:sz w:val="24"/>
          <w:szCs w:val="24"/>
          <w:color w:val="auto"/>
        </w:rPr>
        <w:t>değişiklikler saptanması</w:t>
      </w:r>
    </w:p>
    <w:p>
      <w:pPr>
        <w:spacing w:after="0" w:line="184" w:lineRule="exact"/>
        <w:rPr>
          <w:sz w:val="20"/>
          <w:szCs w:val="20"/>
          <w:color w:val="auto"/>
        </w:rPr>
      </w:pPr>
    </w:p>
    <w:p>
      <w:pPr>
        <w:ind w:left="840" w:hanging="4"/>
        <w:spacing w:after="0" w:line="348" w:lineRule="auto"/>
        <w:tabs>
          <w:tab w:leader="none" w:pos="1241" w:val="left"/>
        </w:tabs>
        <w:numPr>
          <w:ilvl w:val="0"/>
          <w:numId w:val="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Organomegali: Organ fonksiyonunu bozmayan ele gelen hepatomegali, splenomegali, veya lenfadenopati </w:t>
      </w:r>
      <w:r>
        <w:rPr>
          <w:rFonts w:ascii="Times New Roman" w:cs="Times New Roman" w:eastAsia="Times New Roman" w:hAnsi="Times New Roman"/>
          <w:sz w:val="24"/>
          <w:szCs w:val="24"/>
          <w:color w:val="auto"/>
        </w:rPr>
        <w:t>(BT veya US’de &gt;2 cm) saptanması</w:t>
      </w:r>
    </w:p>
    <w:p>
      <w:pPr>
        <w:spacing w:after="0" w:line="17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 xml:space="preserve">En az iki tanesinin </w:t>
      </w:r>
      <w:r>
        <w:rPr>
          <w:rFonts w:ascii="Times New Roman" w:cs="Times New Roman" w:eastAsia="Times New Roman" w:hAnsi="Times New Roman"/>
          <w:sz w:val="24"/>
          <w:szCs w:val="24"/>
          <w:color w:val="auto"/>
        </w:rPr>
        <w:t>varlığı artmış tümör yükünü gösterir.</w:t>
      </w:r>
    </w:p>
    <w:p>
      <w:pPr>
        <w:spacing w:after="0" w:line="30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auto"/>
        </w:rPr>
        <w:t>C Bulguları</w:t>
      </w:r>
    </w:p>
    <w:p>
      <w:pPr>
        <w:spacing w:after="0" w:line="310" w:lineRule="exact"/>
        <w:rPr>
          <w:sz w:val="20"/>
          <w:szCs w:val="20"/>
          <w:color w:val="auto"/>
        </w:rPr>
      </w:pPr>
    </w:p>
    <w:p>
      <w:pPr>
        <w:ind w:left="840"/>
        <w:spacing w:after="0" w:line="348" w:lineRule="auto"/>
        <w:rPr>
          <w:sz w:val="20"/>
          <w:szCs w:val="20"/>
          <w:color w:val="auto"/>
        </w:rPr>
      </w:pPr>
      <w:r>
        <w:rPr>
          <w:rFonts w:ascii="Times New Roman" w:cs="Times New Roman" w:eastAsia="Times New Roman" w:hAnsi="Times New Roman"/>
          <w:sz w:val="24"/>
          <w:szCs w:val="24"/>
          <w:color w:val="auto"/>
        </w:rPr>
        <w:t>Mast hücre infiltrasyonuna bağlı organ disfonksiyonuna ait bulgular saptanması (olguların çoğunda bi</w:t>
      </w:r>
      <w:r>
        <w:rPr>
          <w:rFonts w:ascii="Times New Roman" w:cs="Times New Roman" w:eastAsia="Times New Roman" w:hAnsi="Times New Roman"/>
          <w:sz w:val="24"/>
          <w:szCs w:val="24"/>
          <w:color w:val="auto"/>
        </w:rPr>
        <w:t>y</w:t>
      </w:r>
      <w:r>
        <w:rPr>
          <w:rFonts w:ascii="Times New Roman" w:cs="Times New Roman" w:eastAsia="Times New Roman" w:hAnsi="Times New Roman"/>
          <w:sz w:val="24"/>
          <w:szCs w:val="24"/>
          <w:color w:val="auto"/>
        </w:rPr>
        <w:t>opsi ile konfirme edilmelidir) C = “Consider Cytoreduction”</w:t>
      </w:r>
    </w:p>
    <w:p>
      <w:pPr>
        <w:spacing w:after="0" w:line="166" w:lineRule="exact"/>
        <w:rPr>
          <w:sz w:val="20"/>
          <w:szCs w:val="20"/>
          <w:color w:val="auto"/>
        </w:rPr>
      </w:pPr>
    </w:p>
    <w:p>
      <w:pPr>
        <w:ind w:left="1560" w:hanging="364"/>
        <w:spacing w:after="0"/>
        <w:tabs>
          <w:tab w:leader="none" w:pos="1560" w:val="left"/>
        </w:tabs>
        <w:numPr>
          <w:ilvl w:val="0"/>
          <w:numId w:val="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En az bir sitopeni </w:t>
      </w:r>
      <w:r>
        <w:rPr>
          <w:rFonts w:ascii="Times New Roman" w:cs="Times New Roman" w:eastAsia="Times New Roman" w:hAnsi="Times New Roman"/>
          <w:sz w:val="24"/>
          <w:szCs w:val="24"/>
          <w:color w:val="auto"/>
        </w:rPr>
        <w:t>saptanması</w:t>
      </w:r>
      <w:r>
        <w:rPr>
          <w:rFonts w:ascii="Times New Roman" w:cs="Times New Roman" w:eastAsia="Times New Roman" w:hAnsi="Times New Roman"/>
          <w:sz w:val="24"/>
          <w:szCs w:val="24"/>
          <w:color w:val="auto"/>
        </w:rPr>
        <w:t xml:space="preserve"> (Hb &lt; 10 g/dl, nötrofil &lt; 1000/mm</w:t>
      </w:r>
      <w:r>
        <w:rPr>
          <w:rFonts w:ascii="Times New Roman" w:cs="Times New Roman" w:eastAsia="Times New Roman" w:hAnsi="Times New Roman"/>
          <w:sz w:val="32"/>
          <w:szCs w:val="32"/>
          <w:color w:val="auto"/>
          <w:vertAlign w:val="superscript"/>
        </w:rPr>
        <w:t>3</w:t>
      </w:r>
      <w:r>
        <w:rPr>
          <w:rFonts w:ascii="Times New Roman" w:cs="Times New Roman" w:eastAsia="Times New Roman" w:hAnsi="Times New Roman"/>
          <w:sz w:val="24"/>
          <w:szCs w:val="24"/>
          <w:color w:val="auto"/>
        </w:rPr>
        <w:t>, trombosit</w:t>
      </w:r>
    </w:p>
    <w:p>
      <w:pPr>
        <w:spacing w:after="0" w:line="47" w:lineRule="exact"/>
        <w:rPr>
          <w:sz w:val="20"/>
          <w:szCs w:val="20"/>
          <w:color w:val="auto"/>
        </w:rPr>
      </w:pPr>
    </w:p>
    <w:p>
      <w:pPr>
        <w:ind w:left="1860" w:hanging="304"/>
        <w:spacing w:after="0"/>
        <w:tabs>
          <w:tab w:leader="none" w:pos="1860" w:val="left"/>
        </w:tabs>
        <w:numPr>
          <w:ilvl w:val="0"/>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100  bin/mm</w:t>
      </w:r>
      <w:r>
        <w:rPr>
          <w:rFonts w:ascii="Times New Roman" w:cs="Times New Roman" w:eastAsia="Times New Roman" w:hAnsi="Times New Roman"/>
          <w:sz w:val="32"/>
          <w:szCs w:val="32"/>
          <w:color w:val="auto"/>
          <w:vertAlign w:val="superscript"/>
        </w:rPr>
        <w:t>3</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Mast  hücre  infiltrasyonu  dışında  başka  bir  neden</w:t>
      </w:r>
    </w:p>
    <w:p>
      <w:pPr>
        <w:spacing w:after="0" w:line="53" w:lineRule="exact"/>
        <w:rPr>
          <w:sz w:val="20"/>
          <w:szCs w:val="20"/>
          <w:color w:val="auto"/>
        </w:rPr>
      </w:pPr>
    </w:p>
    <w:p>
      <w:pPr>
        <w:ind w:left="1560"/>
        <w:spacing w:after="0"/>
        <w:rPr>
          <w:sz w:val="20"/>
          <w:szCs w:val="20"/>
          <w:color w:val="auto"/>
        </w:rPr>
      </w:pPr>
      <w:r>
        <w:rPr>
          <w:rFonts w:ascii="Times New Roman" w:cs="Times New Roman" w:eastAsia="Times New Roman" w:hAnsi="Times New Roman"/>
          <w:sz w:val="24"/>
          <w:szCs w:val="24"/>
          <w:color w:val="auto"/>
        </w:rPr>
        <w:t>gösterilememeli</w:t>
      </w:r>
    </w:p>
    <w:p>
      <w:pPr>
        <w:spacing w:after="0" w:line="139" w:lineRule="exact"/>
        <w:rPr>
          <w:sz w:val="20"/>
          <w:szCs w:val="20"/>
          <w:color w:val="auto"/>
        </w:rPr>
      </w:pPr>
    </w:p>
    <w:p>
      <w:pPr>
        <w:ind w:left="1560" w:hanging="364"/>
        <w:spacing w:after="0"/>
        <w:tabs>
          <w:tab w:leader="none" w:pos="1560" w:val="left"/>
        </w:tabs>
        <w:numPr>
          <w:ilvl w:val="0"/>
          <w:numId w:val="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Ele gelen hepatomegali ve </w:t>
      </w:r>
      <w:r>
        <w:rPr>
          <w:rFonts w:ascii="Times New Roman" w:cs="Times New Roman" w:eastAsia="Times New Roman" w:hAnsi="Times New Roman"/>
          <w:sz w:val="24"/>
          <w:szCs w:val="24"/>
          <w:color w:val="auto"/>
        </w:rPr>
        <w:t>KCFT bozukluğu, assit veya portal HT saptanması</w:t>
      </w:r>
    </w:p>
    <w:p>
      <w:pPr>
        <w:sectPr>
          <w:pgSz w:w="11900" w:h="16838" w:orient="portrait"/>
          <w:cols w:equalWidth="0" w:num="1">
            <w:col w:w="9060"/>
          </w:cols>
          <w:pgMar w:left="1440" w:top="714" w:right="1406" w:bottom="1440" w:gutter="0" w:footer="0" w:header="0"/>
        </w:sectPr>
      </w:pPr>
    </w:p>
    <w:bookmarkStart w:id="22" w:name="page23"/>
    <w:bookmarkEnd w:id="22"/>
    <w:p>
      <w:pPr>
        <w:jc w:val="right"/>
        <w:spacing w:after="0"/>
        <w:rPr>
          <w:sz w:val="20"/>
          <w:szCs w:val="20"/>
          <w:color w:val="auto"/>
        </w:rPr>
      </w:pPr>
      <w:r>
        <w:rPr>
          <w:rFonts w:ascii="Calibri" w:cs="Calibri" w:eastAsia="Calibri" w:hAnsi="Calibri"/>
          <w:sz w:val="22"/>
          <w:szCs w:val="22"/>
          <w:color w:val="auto"/>
        </w:rPr>
        <w:t>12</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1560" w:hanging="364"/>
        <w:spacing w:after="0"/>
        <w:tabs>
          <w:tab w:leader="none" w:pos="1560" w:val="left"/>
        </w:tabs>
        <w:numPr>
          <w:ilvl w:val="0"/>
          <w:numId w:val="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Ele gelen splenomegali ve hipersplenizm </w:t>
      </w:r>
      <w:r>
        <w:rPr>
          <w:rFonts w:ascii="Times New Roman" w:cs="Times New Roman" w:eastAsia="Times New Roman" w:hAnsi="Times New Roman"/>
          <w:sz w:val="24"/>
          <w:szCs w:val="24"/>
          <w:color w:val="auto"/>
        </w:rPr>
        <w:t>saptanması</w:t>
      </w:r>
    </w:p>
    <w:p>
      <w:pPr>
        <w:spacing w:after="0" w:line="149" w:lineRule="exact"/>
        <w:rPr>
          <w:rFonts w:ascii="Times New Roman" w:cs="Times New Roman" w:eastAsia="Times New Roman" w:hAnsi="Times New Roman"/>
          <w:sz w:val="24"/>
          <w:szCs w:val="24"/>
          <w:b w:val="1"/>
          <w:bCs w:val="1"/>
          <w:color w:val="auto"/>
        </w:rPr>
      </w:pPr>
    </w:p>
    <w:p>
      <w:pPr>
        <w:ind w:left="1560" w:hanging="364"/>
        <w:spacing w:after="0" w:line="350" w:lineRule="auto"/>
        <w:tabs>
          <w:tab w:leader="none" w:pos="1560" w:val="left"/>
        </w:tabs>
        <w:numPr>
          <w:ilvl w:val="0"/>
          <w:numId w:val="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Gastrointestinal mast hücre infiltrasyonuna bağlı malabsorbsiyon </w:t>
      </w:r>
      <w:r>
        <w:rPr>
          <w:rFonts w:ascii="Times New Roman" w:cs="Times New Roman" w:eastAsia="Times New Roman" w:hAnsi="Times New Roman"/>
          <w:sz w:val="24"/>
          <w:szCs w:val="24"/>
          <w:color w:val="auto"/>
        </w:rPr>
        <w:t>ve kilo</w:t>
      </w:r>
      <w:r>
        <w:rPr>
          <w:rFonts w:ascii="Times New Roman" w:cs="Times New Roman" w:eastAsia="Times New Roman" w:hAnsi="Times New Roman"/>
          <w:sz w:val="24"/>
          <w:szCs w:val="24"/>
          <w:color w:val="auto"/>
        </w:rPr>
        <w:t xml:space="preserve"> kaybı saptanması</w:t>
      </w:r>
    </w:p>
    <w:p>
      <w:pPr>
        <w:spacing w:after="0" w:line="10" w:lineRule="exact"/>
        <w:rPr>
          <w:rFonts w:ascii="Times New Roman" w:cs="Times New Roman" w:eastAsia="Times New Roman" w:hAnsi="Times New Roman"/>
          <w:sz w:val="24"/>
          <w:szCs w:val="24"/>
          <w:b w:val="1"/>
          <w:bCs w:val="1"/>
          <w:color w:val="auto"/>
        </w:rPr>
      </w:pPr>
    </w:p>
    <w:p>
      <w:pPr>
        <w:ind w:left="1560" w:hanging="364"/>
        <w:spacing w:after="0"/>
        <w:tabs>
          <w:tab w:leader="none" w:pos="1560" w:val="left"/>
        </w:tabs>
        <w:numPr>
          <w:ilvl w:val="0"/>
          <w:numId w:val="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Kemik  tutulumu</w:t>
      </w:r>
      <w:r>
        <w:rPr>
          <w:rFonts w:ascii="Times New Roman" w:cs="Times New Roman" w:eastAsia="Times New Roman" w:hAnsi="Times New Roman"/>
          <w:sz w:val="24"/>
          <w:szCs w:val="24"/>
          <w:color w:val="auto"/>
        </w:rPr>
        <w:t>na  bağlı</w:t>
      </w:r>
      <w:r>
        <w:rPr>
          <w:rFonts w:ascii="Times New Roman" w:cs="Times New Roman" w:eastAsia="Times New Roman" w:hAnsi="Times New Roman"/>
          <w:sz w:val="24"/>
          <w:szCs w:val="24"/>
          <w:color w:val="auto"/>
        </w:rPr>
        <w:t xml:space="preserve">  özellikle  Büyük  osteolitik  lezyonlar  ve/veya</w:t>
      </w:r>
    </w:p>
    <w:p>
      <w:pPr>
        <w:spacing w:after="0" w:line="139" w:lineRule="exact"/>
        <w:rPr>
          <w:sz w:val="20"/>
          <w:szCs w:val="20"/>
          <w:color w:val="auto"/>
        </w:rPr>
      </w:pPr>
    </w:p>
    <w:p>
      <w:pPr>
        <w:ind w:left="1560"/>
        <w:spacing w:after="0"/>
        <w:rPr>
          <w:sz w:val="20"/>
          <w:szCs w:val="20"/>
          <w:color w:val="auto"/>
        </w:rPr>
      </w:pPr>
      <w:r>
        <w:rPr>
          <w:rFonts w:ascii="Times New Roman" w:cs="Times New Roman" w:eastAsia="Times New Roman" w:hAnsi="Times New Roman"/>
          <w:sz w:val="24"/>
          <w:szCs w:val="24"/>
          <w:color w:val="auto"/>
        </w:rPr>
        <w:t>patolojik fraktür</w:t>
      </w:r>
      <w:r>
        <w:rPr>
          <w:rFonts w:ascii="Times New Roman" w:cs="Times New Roman" w:eastAsia="Times New Roman" w:hAnsi="Times New Roman"/>
          <w:sz w:val="24"/>
          <w:szCs w:val="24"/>
          <w:color w:val="auto"/>
        </w:rPr>
        <w:t>ler saptanması</w:t>
      </w:r>
    </w:p>
    <w:p>
      <w:pPr>
        <w:spacing w:after="0" w:line="149" w:lineRule="exact"/>
        <w:rPr>
          <w:sz w:val="20"/>
          <w:szCs w:val="20"/>
          <w:color w:val="auto"/>
        </w:rPr>
      </w:pPr>
    </w:p>
    <w:p>
      <w:pPr>
        <w:ind w:left="1200"/>
        <w:spacing w:after="0" w:line="350" w:lineRule="auto"/>
        <w:rPr>
          <w:sz w:val="20"/>
          <w:szCs w:val="20"/>
          <w:color w:val="auto"/>
        </w:rPr>
      </w:pPr>
      <w:r>
        <w:rPr>
          <w:rFonts w:ascii="Times New Roman" w:cs="Times New Roman" w:eastAsia="Times New Roman" w:hAnsi="Times New Roman"/>
          <w:sz w:val="24"/>
          <w:szCs w:val="24"/>
          <w:color w:val="auto"/>
        </w:rPr>
        <w:t xml:space="preserve">Bu bulgulardan bir tanesinin olması agresif sistemik mastositoz tanısı için </w:t>
      </w:r>
      <w:r>
        <w:rPr>
          <w:rFonts w:ascii="Times New Roman" w:cs="Times New Roman" w:eastAsia="Times New Roman" w:hAnsi="Times New Roman"/>
          <w:sz w:val="24"/>
          <w:szCs w:val="24"/>
          <w:color w:val="auto"/>
        </w:rPr>
        <w:t>yeterlidir.</w:t>
      </w:r>
    </w:p>
    <w:p>
      <w:pPr>
        <w:spacing w:after="0" w:line="172"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4"/>
          <w:szCs w:val="24"/>
          <w:color w:val="auto"/>
        </w:rPr>
        <w:t>Sistemik Mastositozu 5’e ayırmak mümkündür.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auto"/>
        </w:rPr>
        <w:t>İndolent Sistemik Mastositoz</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Düşük tümör yükü</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mevcuttur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ve organ hasarı yok</w:t>
      </w:r>
      <w:r>
        <w:rPr>
          <w:rFonts w:ascii="Times New Roman" w:cs="Times New Roman" w:eastAsia="Times New Roman" w:hAnsi="Times New Roman"/>
          <w:sz w:val="24"/>
          <w:szCs w:val="24"/>
          <w:color w:val="auto"/>
        </w:rPr>
        <w:t>tur.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-164465</wp:posOffset>
            </wp:positionV>
            <wp:extent cx="4699000" cy="18542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1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(B  bulgularında</w:t>
      </w:r>
      <w:r>
        <w:rPr>
          <w:rFonts w:ascii="Times New Roman" w:cs="Times New Roman" w:eastAsia="Times New Roman" w:hAnsi="Times New Roman"/>
          <w:sz w:val="24"/>
          <w:szCs w:val="24"/>
          <w:color w:val="auto"/>
        </w:rPr>
        <w:t>n  en  fazla  bir  tane  mevcut,  C  kriterlerinden  hiçbiri  yok)  (112).</w:t>
      </w:r>
    </w:p>
    <w:p>
      <w:pPr>
        <w:spacing w:after="0" w:line="137"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 xml:space="preserve">Sistemik mastositozun en sık formudur </w:t>
      </w:r>
      <w:r>
        <w:rPr>
          <w:rFonts w:ascii="Times New Roman" w:cs="Times New Roman" w:eastAsia="Times New Roman" w:hAnsi="Times New Roman"/>
          <w:sz w:val="24"/>
          <w:szCs w:val="24"/>
          <w:color w:val="auto"/>
        </w:rPr>
        <w:t>(103, 113).</w:t>
      </w:r>
    </w:p>
    <w:p>
      <w:pPr>
        <w:spacing w:after="0" w:line="310" w:lineRule="exact"/>
        <w:rPr>
          <w:sz w:val="20"/>
          <w:szCs w:val="20"/>
          <w:color w:val="auto"/>
        </w:rPr>
      </w:pPr>
    </w:p>
    <w:p>
      <w:pPr>
        <w:jc w:val="both"/>
        <w:ind w:left="840"/>
        <w:spacing w:after="0" w:line="358" w:lineRule="auto"/>
        <w:rPr>
          <w:sz w:val="20"/>
          <w:szCs w:val="20"/>
          <w:color w:val="auto"/>
        </w:rPr>
      </w:pP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SM ASM, SM-AHN ve MHL</w:t>
      </w:r>
      <w:r>
        <w:rPr>
          <w:rFonts w:ascii="Times New Roman" w:cs="Times New Roman" w:eastAsia="Times New Roman" w:hAnsi="Times New Roman"/>
          <w:sz w:val="24"/>
          <w:szCs w:val="24"/>
          <w:color w:val="auto"/>
        </w:rPr>
        <w:t xml:space="preserve"> hastalarına göre daha genç yaşta görülmektedir. </w:t>
      </w:r>
      <w:r>
        <w:rPr>
          <w:rFonts w:ascii="Times New Roman" w:cs="Times New Roman" w:eastAsia="Times New Roman" w:hAnsi="Times New Roman"/>
          <w:sz w:val="24"/>
          <w:szCs w:val="24"/>
          <w:color w:val="auto"/>
        </w:rPr>
        <w:t>Genellikle 40-</w:t>
      </w:r>
      <w:r>
        <w:rPr>
          <w:rFonts w:ascii="Times New Roman" w:cs="Times New Roman" w:eastAsia="Times New Roman" w:hAnsi="Times New Roman"/>
          <w:sz w:val="24"/>
          <w:szCs w:val="24"/>
          <w:color w:val="auto"/>
        </w:rPr>
        <w:t>50 yaş civarında görülmektedir. Agresif formlara göre mast hücre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mediatör aracılı semptomları ve cilt tutulumu daha sıktır. Konstitüsyonel </w:t>
      </w:r>
      <w:r>
        <w:rPr>
          <w:rFonts w:ascii="Times New Roman" w:cs="Times New Roman" w:eastAsia="Times New Roman" w:hAnsi="Times New Roman"/>
          <w:sz w:val="24"/>
          <w:szCs w:val="24"/>
          <w:color w:val="auto"/>
        </w:rPr>
        <w:t xml:space="preserve">semptomlar, organomegali ve organ disfonksiyonu ile ilgili semptomlar agresif formlara göre daha nadir görülür. </w:t>
      </w:r>
      <w:r>
        <w:rPr>
          <w:rFonts w:ascii="Times New Roman" w:cs="Times New Roman" w:eastAsia="Times New Roman" w:hAnsi="Times New Roman"/>
          <w:sz w:val="24"/>
          <w:szCs w:val="24"/>
          <w:color w:val="auto"/>
        </w:rPr>
        <w:t>İSM’de beklenen yaşam süresi normal popülasyon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ile aynıdır </w:t>
      </w:r>
      <w:r>
        <w:rPr>
          <w:rFonts w:ascii="Times New Roman" w:cs="Times New Roman" w:eastAsia="Times New Roman" w:hAnsi="Times New Roman"/>
          <w:sz w:val="24"/>
          <w:szCs w:val="24"/>
          <w:color w:val="auto"/>
        </w:rPr>
        <w:t>(8).</w:t>
      </w:r>
    </w:p>
    <w:p>
      <w:pPr>
        <w:spacing w:after="0" w:line="175" w:lineRule="exact"/>
        <w:rPr>
          <w:sz w:val="20"/>
          <w:szCs w:val="20"/>
          <w:color w:val="auto"/>
        </w:rPr>
      </w:pPr>
    </w:p>
    <w:p>
      <w:pPr>
        <w:jc w:val="both"/>
        <w:ind w:left="840" w:firstLine="708"/>
        <w:spacing w:after="0" w:line="357" w:lineRule="auto"/>
        <w:rPr>
          <w:sz w:val="20"/>
          <w:szCs w:val="20"/>
          <w:color w:val="auto"/>
        </w:rPr>
      </w:pP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color w:val="auto"/>
        </w:rPr>
        <w:t>İzole Kemik İliği Mastositozu</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İSM’nin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bir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varyantı olan izole kemik iliği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mastositozunda yalnızca kemik iliği </w:t>
      </w:r>
      <w:r>
        <w:rPr>
          <w:rFonts w:ascii="Times New Roman" w:cs="Times New Roman" w:eastAsia="Times New Roman" w:hAnsi="Times New Roman"/>
          <w:sz w:val="24"/>
          <w:szCs w:val="24"/>
          <w:color w:val="auto"/>
        </w:rPr>
        <w:t>tutulumu görülür. Cilt tutulumu görülmez ve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triptaz düzeyi &lt;20 ng/ml düzeyinde olabilmektedir. Osteoporoz ve mast hücre </w:t>
      </w:r>
      <w:r>
        <w:rPr>
          <w:rFonts w:ascii="Times New Roman" w:cs="Times New Roman" w:eastAsia="Times New Roman" w:hAnsi="Times New Roman"/>
          <w:sz w:val="24"/>
          <w:szCs w:val="24"/>
          <w:color w:val="auto"/>
        </w:rPr>
        <w:t xml:space="preserve">mediatörü aracılı semptomlar </w:t>
      </w:r>
      <w:r>
        <w:rPr>
          <w:rFonts w:ascii="Times New Roman" w:cs="Times New Roman" w:eastAsia="Times New Roman" w:hAnsi="Times New Roman"/>
          <w:sz w:val="24"/>
          <w:szCs w:val="24"/>
          <w:color w:val="auto"/>
        </w:rPr>
        <w:t>(özellikle anafilaksi) görülse de genel olarak iyi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prognozludur (114).</w:t>
      </w:r>
    </w:p>
    <w:p>
      <w:pPr>
        <w:spacing w:after="0" w:line="178" w:lineRule="exact"/>
        <w:rPr>
          <w:sz w:val="20"/>
          <w:szCs w:val="20"/>
          <w:color w:val="auto"/>
        </w:rPr>
      </w:pPr>
    </w:p>
    <w:p>
      <w:pPr>
        <w:jc w:val="both"/>
        <w:ind w:left="840"/>
        <w:spacing w:after="0" w:line="354" w:lineRule="auto"/>
        <w:rPr>
          <w:sz w:val="20"/>
          <w:szCs w:val="20"/>
          <w:color w:val="auto"/>
        </w:rPr>
      </w:pPr>
      <w:r>
        <w:rPr>
          <w:rFonts w:ascii="Times New Roman" w:cs="Times New Roman" w:eastAsia="Times New Roman" w:hAnsi="Times New Roman"/>
          <w:sz w:val="24"/>
          <w:szCs w:val="24"/>
          <w:b w:val="1"/>
          <w:bCs w:val="1"/>
          <w:color w:val="auto"/>
        </w:rPr>
        <w:t>Smoldering Sistemik Mastositoz</w:t>
      </w:r>
      <w:r>
        <w:rPr>
          <w:rFonts w:ascii="Times New Roman" w:cs="Times New Roman" w:eastAsia="Times New Roman" w:hAnsi="Times New Roman"/>
          <w:sz w:val="24"/>
          <w:szCs w:val="24"/>
          <w:color w:val="auto"/>
        </w:rPr>
        <w:t>: Yüksek tümör yükü var (iki veya daha fazla B</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bulgusu mevcut, </w:t>
      </w:r>
      <w:r>
        <w:rPr>
          <w:rFonts w:ascii="Times New Roman" w:cs="Times New Roman" w:eastAsia="Times New Roman" w:hAnsi="Times New Roman"/>
          <w:sz w:val="24"/>
          <w:szCs w:val="24"/>
          <w:color w:val="auto"/>
        </w:rPr>
        <w:t>organ hasarı yok)</w:t>
      </w:r>
      <w:r>
        <w:rPr>
          <w:rFonts w:ascii="Times New Roman" w:cs="Times New Roman" w:eastAsia="Times New Roman" w:hAnsi="Times New Roman"/>
          <w:sz w:val="24"/>
          <w:szCs w:val="24"/>
          <w:color w:val="auto"/>
        </w:rPr>
        <w:t xml:space="preserve"> (112)</w:t>
      </w:r>
      <w:r>
        <w:rPr>
          <w:rFonts w:ascii="Times New Roman" w:cs="Times New Roman" w:eastAsia="Times New Roman" w:hAnsi="Times New Roman"/>
          <w:sz w:val="24"/>
          <w:szCs w:val="24"/>
          <w:color w:val="auto"/>
        </w:rPr>
        <w:t>. Daha önceden ayrı bir</w:t>
      </w:r>
      <w:r>
        <w:rPr>
          <w:rFonts w:ascii="Times New Roman" w:cs="Times New Roman" w:eastAsia="Times New Roman" w:hAnsi="Times New Roman"/>
          <w:sz w:val="24"/>
          <w:szCs w:val="24"/>
          <w:color w:val="auto"/>
        </w:rPr>
        <w:t xml:space="preserve"> alt tip </w:t>
      </w:r>
      <w:r>
        <w:rPr>
          <w:rFonts w:ascii="Times New Roman" w:cs="Times New Roman" w:eastAsia="Times New Roman" w:hAnsi="Times New Roman"/>
          <w:sz w:val="24"/>
          <w:szCs w:val="24"/>
          <w:color w:val="auto"/>
        </w:rPr>
        <w:t>değil iken son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WHO sınıflandırmasında ayrı bir </w:t>
      </w:r>
      <w:r>
        <w:rPr>
          <w:rFonts w:ascii="Times New Roman" w:cs="Times New Roman" w:eastAsia="Times New Roman" w:hAnsi="Times New Roman"/>
          <w:sz w:val="24"/>
          <w:szCs w:val="24"/>
          <w:color w:val="auto"/>
        </w:rPr>
        <w:t>alt tip</w:t>
      </w:r>
      <w:r>
        <w:rPr>
          <w:rFonts w:ascii="Times New Roman" w:cs="Times New Roman" w:eastAsia="Times New Roman" w:hAnsi="Times New Roman"/>
          <w:sz w:val="24"/>
          <w:szCs w:val="24"/>
          <w:color w:val="auto"/>
        </w:rPr>
        <w:t xml:space="preserve"> olarak değerlendirildi. SSM’de İSM’ye</w:t>
      </w:r>
    </w:p>
    <w:p>
      <w:pPr>
        <w:spacing w:after="0" w:line="22" w:lineRule="exact"/>
        <w:rPr>
          <w:sz w:val="20"/>
          <w:szCs w:val="20"/>
          <w:color w:val="auto"/>
        </w:rPr>
      </w:pPr>
    </w:p>
    <w:p>
      <w:pPr>
        <w:jc w:val="both"/>
        <w:ind w:left="840"/>
        <w:spacing w:after="0" w:line="356" w:lineRule="auto"/>
        <w:rPr>
          <w:sz w:val="20"/>
          <w:szCs w:val="20"/>
          <w:color w:val="auto"/>
        </w:rPr>
      </w:pPr>
      <w:r>
        <w:rPr>
          <w:rFonts w:ascii="Times New Roman" w:cs="Times New Roman" w:eastAsia="Times New Roman" w:hAnsi="Times New Roman"/>
          <w:sz w:val="24"/>
          <w:szCs w:val="24"/>
          <w:color w:val="auto"/>
        </w:rPr>
        <w:t xml:space="preserve">oranla yaşam süresinde kısalma söz konusudur. SSM daha yaşlı grupta görülmektedir. Sitopeniler daha sık görülmekte ve mast hücre mediatör düzeyi daha fazla saptanmaktadır </w:t>
      </w:r>
      <w:r>
        <w:rPr>
          <w:rFonts w:ascii="Times New Roman" w:cs="Times New Roman" w:eastAsia="Times New Roman" w:hAnsi="Times New Roman"/>
          <w:sz w:val="24"/>
          <w:szCs w:val="24"/>
          <w:color w:val="auto"/>
        </w:rPr>
        <w:t>(115). SS</w:t>
      </w:r>
      <w:r>
        <w:rPr>
          <w:rFonts w:ascii="Times New Roman" w:cs="Times New Roman" w:eastAsia="Times New Roman" w:hAnsi="Times New Roman"/>
          <w:sz w:val="24"/>
          <w:szCs w:val="24"/>
          <w:color w:val="auto"/>
        </w:rPr>
        <w:t xml:space="preserve">M’li hastalarda İSM’li hastalara göre daha yüksek </w:t>
      </w:r>
      <w:r>
        <w:rPr>
          <w:rFonts w:ascii="Times New Roman" w:cs="Times New Roman" w:eastAsia="Times New Roman" w:hAnsi="Times New Roman"/>
          <w:sz w:val="24"/>
          <w:szCs w:val="24"/>
          <w:color w:val="auto"/>
        </w:rPr>
        <w:t>ASM ve MHL</w:t>
      </w:r>
      <w:r>
        <w:rPr>
          <w:rFonts w:ascii="Times New Roman" w:cs="Times New Roman" w:eastAsia="Times New Roman" w:hAnsi="Times New Roman"/>
          <w:sz w:val="24"/>
          <w:szCs w:val="24"/>
          <w:color w:val="auto"/>
        </w:rPr>
        <w:t>’ye dönüşme riski mevcuttur. İSM’li hastalarda</w:t>
      </w:r>
      <w:r>
        <w:rPr>
          <w:rFonts w:ascii="Times New Roman" w:cs="Times New Roman" w:eastAsia="Times New Roman" w:hAnsi="Times New Roman"/>
          <w:sz w:val="24"/>
          <w:szCs w:val="24"/>
          <w:color w:val="auto"/>
        </w:rPr>
        <w:t xml:space="preserve"> ASM veya MHL</w:t>
      </w:r>
      <w:r>
        <w:rPr>
          <w:rFonts w:ascii="Times New Roman" w:cs="Times New Roman" w:eastAsia="Times New Roman" w:hAnsi="Times New Roman"/>
          <w:sz w:val="24"/>
          <w:szCs w:val="24"/>
          <w:color w:val="auto"/>
        </w:rPr>
        <w:t>’ye</w:t>
      </w:r>
    </w:p>
    <w:p>
      <w:pPr>
        <w:sectPr>
          <w:pgSz w:w="11900" w:h="16838" w:orient="portrait"/>
          <w:cols w:equalWidth="0" w:num="1">
            <w:col w:w="9060"/>
          </w:cols>
          <w:pgMar w:left="1440" w:top="714" w:right="1406" w:bottom="1440" w:gutter="0" w:footer="0" w:header="0"/>
        </w:sectPr>
      </w:pPr>
    </w:p>
    <w:bookmarkStart w:id="23" w:name="page24"/>
    <w:bookmarkEnd w:id="23"/>
    <w:p>
      <w:pPr>
        <w:ind w:left="8840"/>
        <w:spacing w:after="0"/>
        <w:rPr>
          <w:sz w:val="20"/>
          <w:szCs w:val="20"/>
          <w:color w:val="auto"/>
        </w:rPr>
      </w:pPr>
      <w:r>
        <w:rPr>
          <w:rFonts w:ascii="Calibri" w:cs="Calibri" w:eastAsia="Calibri" w:hAnsi="Calibri"/>
          <w:sz w:val="21"/>
          <w:szCs w:val="21"/>
          <w:color w:val="auto"/>
        </w:rPr>
        <w:t>13</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left="840"/>
        <w:spacing w:after="0" w:line="357" w:lineRule="auto"/>
        <w:rPr>
          <w:sz w:val="20"/>
          <w:szCs w:val="20"/>
          <w:color w:val="auto"/>
        </w:rPr>
      </w:pPr>
      <w:r>
        <w:rPr>
          <w:rFonts w:ascii="Times New Roman" w:cs="Times New Roman" w:eastAsia="Times New Roman" w:hAnsi="Times New Roman"/>
          <w:sz w:val="24"/>
          <w:szCs w:val="24"/>
          <w:color w:val="auto"/>
        </w:rPr>
        <w:t>dönüşme riski %3 civarındayken SSM’de % 18 civarındadır. Escribano ve arkadaşlarının yapmış olduğu çalışmaya göre İSM</w:t>
      </w:r>
      <w:r>
        <w:rPr>
          <w:rFonts w:ascii="Times New Roman" w:cs="Times New Roman" w:eastAsia="Times New Roman" w:hAnsi="Times New Roman"/>
          <w:sz w:val="24"/>
          <w:szCs w:val="24"/>
          <w:color w:val="auto"/>
        </w:rPr>
        <w:t>ve SSM ile takipli hastalarda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progresyonu gösteren en önemli iki parametre beta 2 mikroglobulin düzeyi ve mast hücresi harici myeloid ve lenfoid se</w:t>
      </w:r>
      <w:r>
        <w:rPr>
          <w:rFonts w:ascii="Times New Roman" w:cs="Times New Roman" w:eastAsia="Times New Roman" w:hAnsi="Times New Roman"/>
          <w:sz w:val="24"/>
          <w:szCs w:val="24"/>
          <w:color w:val="auto"/>
        </w:rPr>
        <w:t>rilerde KIT D816V mutasyonu saptanmasıdır</w:t>
      </w:r>
      <w:r>
        <w:rPr>
          <w:rFonts w:ascii="Times New Roman" w:cs="Times New Roman" w:eastAsia="Times New Roman" w:hAnsi="Times New Roman"/>
          <w:sz w:val="24"/>
          <w:szCs w:val="24"/>
          <w:color w:val="auto"/>
        </w:rPr>
        <w:t xml:space="preserve"> (116).</w:t>
      </w:r>
    </w:p>
    <w:p>
      <w:pPr>
        <w:spacing w:after="0" w:line="177" w:lineRule="exact"/>
        <w:rPr>
          <w:sz w:val="20"/>
          <w:szCs w:val="20"/>
          <w:color w:val="auto"/>
        </w:rPr>
      </w:pPr>
    </w:p>
    <w:p>
      <w:pPr>
        <w:jc w:val="both"/>
        <w:ind w:left="840"/>
        <w:spacing w:after="0" w:line="358" w:lineRule="auto"/>
        <w:rPr>
          <w:sz w:val="20"/>
          <w:szCs w:val="20"/>
          <w:color w:val="auto"/>
        </w:rPr>
      </w:pPr>
      <w:r>
        <w:rPr>
          <w:rFonts w:ascii="Times New Roman" w:cs="Times New Roman" w:eastAsia="Times New Roman" w:hAnsi="Times New Roman"/>
          <w:sz w:val="24"/>
          <w:szCs w:val="24"/>
          <w:b w:val="1"/>
          <w:bCs w:val="1"/>
          <w:color w:val="auto"/>
        </w:rPr>
        <w:t>Agresif Sistemik Mastositoz</w:t>
      </w:r>
      <w:r>
        <w:rPr>
          <w:rFonts w:ascii="Times New Roman" w:cs="Times New Roman" w:eastAsia="Times New Roman" w:hAnsi="Times New Roman"/>
          <w:sz w:val="24"/>
          <w:szCs w:val="24"/>
          <w:color w:val="auto"/>
        </w:rPr>
        <w:t>: Bu hastalarda</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 bulgularından en az biri mevcut</w:t>
      </w:r>
      <w:r>
        <w:rPr>
          <w:rFonts w:ascii="Times New Roman" w:cs="Times New Roman" w:eastAsia="Times New Roman" w:hAnsi="Times New Roman"/>
          <w:sz w:val="24"/>
          <w:szCs w:val="24"/>
          <w:color w:val="auto"/>
        </w:rPr>
        <w:t>tur,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ancak mast hücreli lösemi </w:t>
      </w:r>
      <w:r>
        <w:rPr>
          <w:rFonts w:ascii="Times New Roman" w:cs="Times New Roman" w:eastAsia="Times New Roman" w:hAnsi="Times New Roman"/>
          <w:sz w:val="24"/>
          <w:szCs w:val="24"/>
          <w:color w:val="auto"/>
        </w:rPr>
        <w:t>tanısı karşılanamamaktadır</w:t>
      </w:r>
      <w:r>
        <w:rPr>
          <w:rFonts w:ascii="Times New Roman" w:cs="Times New Roman" w:eastAsia="Times New Roman" w:hAnsi="Times New Roman"/>
          <w:sz w:val="24"/>
          <w:szCs w:val="24"/>
          <w:color w:val="auto"/>
        </w:rPr>
        <w:t xml:space="preserve"> (112). </w:t>
      </w:r>
      <w:r>
        <w:rPr>
          <w:rFonts w:ascii="Times New Roman" w:cs="Times New Roman" w:eastAsia="Times New Roman" w:hAnsi="Times New Roman"/>
          <w:sz w:val="24"/>
          <w:szCs w:val="24"/>
          <w:color w:val="auto"/>
        </w:rPr>
        <w:t>ASM hastalarında</w:t>
      </w:r>
      <w:r>
        <w:rPr>
          <w:rFonts w:ascii="Times New Roman" w:cs="Times New Roman" w:eastAsia="Times New Roman" w:hAnsi="Times New Roman"/>
          <w:sz w:val="24"/>
          <w:szCs w:val="24"/>
          <w:color w:val="auto"/>
        </w:rPr>
        <w:t xml:space="preserve"> saptanan semptom ve bulgulardan mast </w:t>
      </w:r>
      <w:r>
        <w:rPr>
          <w:rFonts w:ascii="Times New Roman" w:cs="Times New Roman" w:eastAsia="Times New Roman" w:hAnsi="Times New Roman"/>
          <w:sz w:val="24"/>
          <w:szCs w:val="24"/>
          <w:color w:val="auto"/>
        </w:rPr>
        <w:t>hücrelerinin dokuları infiltre etmesi</w:t>
      </w:r>
      <w:r>
        <w:rPr>
          <w:rFonts w:ascii="Times New Roman" w:cs="Times New Roman" w:eastAsia="Times New Roman" w:hAnsi="Times New Roman"/>
          <w:sz w:val="24"/>
          <w:szCs w:val="24"/>
          <w:color w:val="auto"/>
        </w:rPr>
        <w:t xml:space="preserve"> nedeniyle </w:t>
      </w:r>
      <w:r>
        <w:rPr>
          <w:rFonts w:ascii="Times New Roman" w:cs="Times New Roman" w:eastAsia="Times New Roman" w:hAnsi="Times New Roman"/>
          <w:sz w:val="24"/>
          <w:szCs w:val="24"/>
          <w:color w:val="auto"/>
        </w:rPr>
        <w:t>gelişen</w:t>
      </w:r>
      <w:r>
        <w:rPr>
          <w:rFonts w:ascii="Times New Roman" w:cs="Times New Roman" w:eastAsia="Times New Roman" w:hAnsi="Times New Roman"/>
          <w:sz w:val="24"/>
          <w:szCs w:val="24"/>
          <w:color w:val="auto"/>
        </w:rPr>
        <w:t xml:space="preserve"> organ disfonksiyon</w:t>
      </w:r>
      <w:r>
        <w:rPr>
          <w:rFonts w:ascii="Times New Roman" w:cs="Times New Roman" w:eastAsia="Times New Roman" w:hAnsi="Times New Roman"/>
          <w:sz w:val="24"/>
          <w:szCs w:val="24"/>
          <w:color w:val="auto"/>
        </w:rPr>
        <w:t>ları sorumludur. Hastalarda İSM’ye göre çok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daha fazla konstitüsyonel semptomlar, organomegali, anemi, lökositoz, kilo kaybı, trombositopeni ve triptaz yüksekliği mevcuttur. Hastaların ortalama sağ kalım </w:t>
      </w:r>
      <w:r>
        <w:rPr>
          <w:rFonts w:ascii="Times New Roman" w:cs="Times New Roman" w:eastAsia="Times New Roman" w:hAnsi="Times New Roman"/>
          <w:sz w:val="24"/>
          <w:szCs w:val="24"/>
          <w:color w:val="auto"/>
        </w:rPr>
        <w:t>süreleri L</w:t>
      </w:r>
      <w:r>
        <w:rPr>
          <w:rFonts w:ascii="Times New Roman" w:cs="Times New Roman" w:eastAsia="Times New Roman" w:hAnsi="Times New Roman"/>
          <w:sz w:val="24"/>
          <w:szCs w:val="24"/>
          <w:color w:val="auto"/>
        </w:rPr>
        <w:t>im ve arkadaşlarının çalışmasında 41 ay olarak saptanmıştır</w:t>
      </w:r>
      <w:r>
        <w:rPr>
          <w:rFonts w:ascii="Times New Roman" w:cs="Times New Roman" w:eastAsia="Times New Roman" w:hAnsi="Times New Roman"/>
          <w:sz w:val="24"/>
          <w:szCs w:val="24"/>
          <w:color w:val="auto"/>
        </w:rPr>
        <w:t xml:space="preserve"> (8).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-572135</wp:posOffset>
            </wp:positionV>
            <wp:extent cx="4699000" cy="18542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57" w:lineRule="exact"/>
        <w:rPr>
          <w:sz w:val="20"/>
          <w:szCs w:val="20"/>
          <w:color w:val="auto"/>
        </w:rPr>
      </w:pPr>
    </w:p>
    <w:p>
      <w:pPr>
        <w:jc w:val="both"/>
        <w:ind w:left="840"/>
        <w:spacing w:after="0" w:line="357" w:lineRule="auto"/>
        <w:rPr>
          <w:sz w:val="20"/>
          <w:szCs w:val="20"/>
          <w:color w:val="auto"/>
        </w:rPr>
      </w:pPr>
      <w:r>
        <w:rPr>
          <w:rFonts w:ascii="Times New Roman" w:cs="Times New Roman" w:eastAsia="Times New Roman" w:hAnsi="Times New Roman"/>
          <w:sz w:val="24"/>
          <w:szCs w:val="24"/>
          <w:b w:val="1"/>
          <w:bCs w:val="1"/>
          <w:color w:val="auto"/>
        </w:rPr>
        <w:t xml:space="preserve">Asosiye Hematolojik Neoplazi ile Birlikte Sistemik Mastositoz: </w:t>
      </w:r>
      <w:r>
        <w:rPr>
          <w:rFonts w:ascii="Times New Roman" w:cs="Times New Roman" w:eastAsia="Times New Roman" w:hAnsi="Times New Roman"/>
          <w:sz w:val="24"/>
          <w:szCs w:val="24"/>
          <w:color w:val="auto"/>
        </w:rPr>
        <w:t>Sistemik</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mastositoza ek olarak ilişkili başka bir hematolojik neoplazi </w:t>
      </w:r>
      <w:r>
        <w:rPr>
          <w:rFonts w:ascii="Times New Roman" w:cs="Times New Roman" w:eastAsia="Times New Roman" w:hAnsi="Times New Roman"/>
          <w:sz w:val="24"/>
          <w:szCs w:val="24"/>
          <w:color w:val="auto"/>
        </w:rPr>
        <w:t>(MDS, AML, KMML,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MPN gibi) görülmesidir</w:t>
      </w:r>
      <w:r>
        <w:rPr>
          <w:rFonts w:ascii="Times New Roman" w:cs="Times New Roman" w:eastAsia="Times New Roman" w:hAnsi="Times New Roman"/>
          <w:sz w:val="24"/>
          <w:szCs w:val="24"/>
          <w:color w:val="auto"/>
        </w:rPr>
        <w:t>. En sık ikinci subgru</w:t>
      </w:r>
      <w:r>
        <w:rPr>
          <w:rFonts w:ascii="Times New Roman" w:cs="Times New Roman" w:eastAsia="Times New Roman" w:hAnsi="Times New Roman"/>
          <w:sz w:val="24"/>
          <w:szCs w:val="24"/>
          <w:color w:val="auto"/>
        </w:rPr>
        <w:t>ptur (8)</w:t>
      </w:r>
      <w:r>
        <w:rPr>
          <w:rFonts w:ascii="Times New Roman" w:cs="Times New Roman" w:eastAsia="Times New Roman" w:hAnsi="Times New Roman"/>
          <w:sz w:val="24"/>
          <w:szCs w:val="24"/>
          <w:color w:val="auto"/>
        </w:rPr>
        <w:t>. Genellikle 60 yaş ve üzerinde</w:t>
      </w:r>
      <w:r>
        <w:rPr>
          <w:rFonts w:ascii="Times New Roman" w:cs="Times New Roman" w:eastAsia="Times New Roman" w:hAnsi="Times New Roman"/>
          <w:sz w:val="24"/>
          <w:szCs w:val="24"/>
          <w:color w:val="auto"/>
        </w:rPr>
        <w:t xml:space="preserve"> görülür (8)</w:t>
      </w:r>
      <w:r>
        <w:rPr>
          <w:rFonts w:ascii="Times New Roman" w:cs="Times New Roman" w:eastAsia="Times New Roman" w:hAnsi="Times New Roman"/>
          <w:sz w:val="24"/>
          <w:szCs w:val="24"/>
          <w:color w:val="auto"/>
        </w:rPr>
        <w:t>. Hematolojik bir anormallik araştırılırken saptanırlar</w:t>
      </w:r>
      <w:r>
        <w:rPr>
          <w:rFonts w:ascii="Times New Roman" w:cs="Times New Roman" w:eastAsia="Times New Roman" w:hAnsi="Times New Roman"/>
          <w:sz w:val="24"/>
          <w:szCs w:val="24"/>
          <w:color w:val="auto"/>
        </w:rPr>
        <w:t xml:space="preserve"> (8, 84, 117). Hem miyeloid hem de lenfoid kökenli neoplaziler bu subgrubun bir komponenti olabilir. Mi</w:t>
      </w:r>
      <w:r>
        <w:rPr>
          <w:rFonts w:ascii="Times New Roman" w:cs="Times New Roman" w:eastAsia="Times New Roman" w:hAnsi="Times New Roman"/>
          <w:sz w:val="24"/>
          <w:szCs w:val="24"/>
          <w:color w:val="auto"/>
        </w:rPr>
        <w:t>yeloid neoplazm ve SM birlikteliği lenfoid neoplazm ve SM birlikteliğine göre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çok daha sık </w:t>
      </w:r>
      <w:r>
        <w:rPr>
          <w:rFonts w:ascii="Times New Roman" w:cs="Times New Roman" w:eastAsia="Times New Roman" w:hAnsi="Times New Roman"/>
          <w:sz w:val="24"/>
          <w:szCs w:val="24"/>
          <w:color w:val="auto"/>
        </w:rPr>
        <w:t>görülür. Mi</w:t>
      </w:r>
      <w:r>
        <w:rPr>
          <w:rFonts w:ascii="Times New Roman" w:cs="Times New Roman" w:eastAsia="Times New Roman" w:hAnsi="Times New Roman"/>
          <w:sz w:val="24"/>
          <w:szCs w:val="24"/>
          <w:color w:val="auto"/>
        </w:rPr>
        <w:t xml:space="preserve">yeloid malignensilerden ise sırasıyla MPN, KMML ve MDS ile SM birlikteliği sıktır </w:t>
      </w:r>
      <w:r>
        <w:rPr>
          <w:rFonts w:ascii="Times New Roman" w:cs="Times New Roman" w:eastAsia="Times New Roman" w:hAnsi="Times New Roman"/>
          <w:sz w:val="24"/>
          <w:szCs w:val="24"/>
          <w:color w:val="auto"/>
        </w:rPr>
        <w:t>(8).</w:t>
      </w:r>
    </w:p>
    <w:p>
      <w:pPr>
        <w:spacing w:after="0" w:line="8" w:lineRule="exact"/>
        <w:rPr>
          <w:sz w:val="20"/>
          <w:szCs w:val="20"/>
          <w:color w:val="auto"/>
        </w:rPr>
      </w:pPr>
    </w:p>
    <w:p>
      <w:pPr>
        <w:jc w:val="both"/>
        <w:ind w:left="840"/>
        <w:spacing w:after="0" w:line="338" w:lineRule="auto"/>
        <w:rPr>
          <w:sz w:val="20"/>
          <w:szCs w:val="20"/>
          <w:color w:val="auto"/>
        </w:rPr>
      </w:pPr>
      <w:r>
        <w:rPr>
          <w:rFonts w:ascii="Times New Roman" w:cs="Times New Roman" w:eastAsia="Times New Roman" w:hAnsi="Times New Roman"/>
          <w:sz w:val="24"/>
          <w:szCs w:val="24"/>
          <w:color w:val="auto"/>
        </w:rPr>
        <w:t>SM-</w:t>
      </w:r>
      <w:r>
        <w:rPr>
          <w:rFonts w:ascii="Times New Roman" w:cs="Times New Roman" w:eastAsia="Times New Roman" w:hAnsi="Times New Roman"/>
          <w:sz w:val="24"/>
          <w:szCs w:val="24"/>
          <w:color w:val="auto"/>
        </w:rPr>
        <w:t>MPN ilişkili vakaların %50</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55 civarında ciddi eozinofili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1500/mm</w:t>
      </w:r>
      <w:r>
        <w:rPr>
          <w:rFonts w:ascii="Times New Roman" w:cs="Times New Roman" w:eastAsia="Times New Roman" w:hAnsi="Times New Roman"/>
          <w:sz w:val="32"/>
          <w:szCs w:val="32"/>
          <w:color w:val="auto"/>
          <w:vertAlign w:val="superscript"/>
        </w:rPr>
        <w:t>3</w:t>
      </w:r>
      <w:r>
        <w:rPr>
          <w:rFonts w:ascii="Times New Roman" w:cs="Times New Roman" w:eastAsia="Times New Roman" w:hAnsi="Times New Roman"/>
          <w:sz w:val="24"/>
          <w:szCs w:val="24"/>
          <w:color w:val="auto"/>
        </w:rPr>
        <w:t xml:space="preserve">) görülür. </w:t>
      </w:r>
      <w:r>
        <w:rPr>
          <w:rFonts w:ascii="Times New Roman" w:cs="Times New Roman" w:eastAsia="Times New Roman" w:hAnsi="Times New Roman"/>
          <w:sz w:val="24"/>
          <w:szCs w:val="24"/>
          <w:color w:val="auto"/>
        </w:rPr>
        <w:t xml:space="preserve">Eozinofili saptanan vakaların yaklaşık yarısında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FIP1L1-PDGFRA</w:t>
      </w:r>
      <w:r>
        <w:rPr>
          <w:rFonts w:ascii="Times New Roman" w:cs="Times New Roman" w:eastAsia="Times New Roman" w:hAnsi="Times New Roman"/>
          <w:sz w:val="24"/>
          <w:szCs w:val="24"/>
          <w:color w:val="auto"/>
        </w:rPr>
        <w:t>] füzyon geni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mevcuttur. </w:t>
      </w:r>
      <w:r>
        <w:rPr>
          <w:rFonts w:ascii="Times New Roman" w:cs="Times New Roman" w:eastAsia="Times New Roman" w:hAnsi="Times New Roman"/>
          <w:sz w:val="24"/>
          <w:szCs w:val="24"/>
          <w:color w:val="auto"/>
        </w:rPr>
        <w:t>Ortalama yaşam süresi 24 aydır ancak eşlik eden neoplazmın agresifliğine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göre ortalama yaşam süresi değişmektedir. SM</w:t>
      </w:r>
      <w:r>
        <w:rPr>
          <w:rFonts w:ascii="Times New Roman" w:cs="Times New Roman" w:eastAsia="Times New Roman" w:hAnsi="Times New Roman"/>
          <w:sz w:val="24"/>
          <w:szCs w:val="24"/>
          <w:color w:val="auto"/>
        </w:rPr>
        <w:t>-MPN grubu SM-AML, SM-MDS ve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SM-</w:t>
      </w:r>
      <w:r>
        <w:rPr>
          <w:rFonts w:ascii="Times New Roman" w:cs="Times New Roman" w:eastAsia="Times New Roman" w:hAnsi="Times New Roman"/>
          <w:sz w:val="24"/>
          <w:szCs w:val="24"/>
          <w:color w:val="auto"/>
        </w:rPr>
        <w:t>KMML’ye göre daha uzun ortalama yaşam süresine sahiptir</w:t>
      </w:r>
      <w:r>
        <w:rPr>
          <w:rFonts w:ascii="Times New Roman" w:cs="Times New Roman" w:eastAsia="Times New Roman" w:hAnsi="Times New Roman"/>
          <w:sz w:val="24"/>
          <w:szCs w:val="24"/>
          <w:color w:val="auto"/>
        </w:rPr>
        <w:t xml:space="preserve"> (8). Mast hücresi harici mi</w:t>
      </w:r>
      <w:r>
        <w:rPr>
          <w:rFonts w:ascii="Times New Roman" w:cs="Times New Roman" w:eastAsia="Times New Roman" w:hAnsi="Times New Roman"/>
          <w:sz w:val="24"/>
          <w:szCs w:val="24"/>
          <w:color w:val="auto"/>
        </w:rPr>
        <w:t>yeloid ve lenfoid serilerde KIT D816V mutasyonu sıklıkla bulunur.</w:t>
      </w:r>
    </w:p>
    <w:p>
      <w:pPr>
        <w:spacing w:after="0" w:line="200" w:lineRule="exact"/>
        <w:rPr>
          <w:sz w:val="20"/>
          <w:szCs w:val="20"/>
          <w:color w:val="auto"/>
        </w:rPr>
      </w:pPr>
    </w:p>
    <w:p>
      <w:pPr>
        <w:spacing w:after="0" w:line="256" w:lineRule="exact"/>
        <w:rPr>
          <w:sz w:val="20"/>
          <w:szCs w:val="20"/>
          <w:color w:val="auto"/>
        </w:rPr>
      </w:pPr>
    </w:p>
    <w:p>
      <w:pPr>
        <w:jc w:val="both"/>
        <w:ind w:left="840"/>
        <w:spacing w:after="0" w:line="356" w:lineRule="auto"/>
        <w:rPr>
          <w:sz w:val="20"/>
          <w:szCs w:val="20"/>
          <w:color w:val="auto"/>
        </w:rPr>
      </w:pPr>
      <w:r>
        <w:rPr>
          <w:rFonts w:ascii="Times New Roman" w:cs="Times New Roman" w:eastAsia="Times New Roman" w:hAnsi="Times New Roman"/>
          <w:sz w:val="24"/>
          <w:szCs w:val="24"/>
          <w:b w:val="1"/>
          <w:bCs w:val="1"/>
          <w:color w:val="auto"/>
        </w:rPr>
        <w:t>Mast Hücreli Lösemi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Kemik iliği biyopsisinde diffüz</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atipik morfolojide mast hücre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infiltrasyonu, kemik iliği aspirasyon</w:t>
      </w:r>
      <w:r>
        <w:rPr>
          <w:rFonts w:ascii="Times New Roman" w:cs="Times New Roman" w:eastAsia="Times New Roman" w:hAnsi="Times New Roman"/>
          <w:sz w:val="24"/>
          <w:szCs w:val="24"/>
          <w:color w:val="auto"/>
        </w:rPr>
        <w:t>u veya periferik kan</w:t>
      </w:r>
      <w:r>
        <w:rPr>
          <w:rFonts w:ascii="Times New Roman" w:cs="Times New Roman" w:eastAsia="Times New Roman" w:hAnsi="Times New Roman"/>
          <w:sz w:val="24"/>
          <w:szCs w:val="24"/>
          <w:color w:val="auto"/>
        </w:rPr>
        <w:t xml:space="preserve"> yaymasında ≥20% atipik mast hücre saptanmasıdır </w:t>
      </w:r>
      <w:r>
        <w:rPr>
          <w:rFonts w:ascii="Times New Roman" w:cs="Times New Roman" w:eastAsia="Times New Roman" w:hAnsi="Times New Roman"/>
          <w:sz w:val="24"/>
          <w:szCs w:val="24"/>
          <w:color w:val="auto"/>
        </w:rPr>
        <w:t>(8).</w:t>
      </w:r>
      <w:r>
        <w:rPr>
          <w:rFonts w:ascii="Times New Roman" w:cs="Times New Roman" w:eastAsia="Times New Roman" w:hAnsi="Times New Roman"/>
          <w:sz w:val="24"/>
          <w:szCs w:val="24"/>
          <w:color w:val="auto"/>
        </w:rPr>
        <w:t xml:space="preserve"> SM’nin en nadir ve en kötü prognozlu subtipidir </w:t>
      </w:r>
      <w:r>
        <w:rPr>
          <w:rFonts w:ascii="Times New Roman" w:cs="Times New Roman" w:eastAsia="Times New Roman" w:hAnsi="Times New Roman"/>
          <w:sz w:val="24"/>
          <w:szCs w:val="24"/>
          <w:color w:val="auto"/>
        </w:rPr>
        <w:t>(8).</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MHL </w:t>
      </w:r>
      <w:r>
        <w:rPr>
          <w:rFonts w:ascii="Times New Roman" w:cs="Times New Roman" w:eastAsia="Times New Roman" w:hAnsi="Times New Roman"/>
          <w:sz w:val="24"/>
          <w:szCs w:val="24"/>
          <w:color w:val="auto"/>
        </w:rPr>
        <w:t>hastaları periferik yaymadaki mast hücresi miktarına göre ikiye ayrılır.</w:t>
      </w:r>
    </w:p>
    <w:p>
      <w:pPr>
        <w:sectPr>
          <w:pgSz w:w="11900" w:h="16838" w:orient="portrait"/>
          <w:cols w:equalWidth="0" w:num="1">
            <w:col w:w="9060"/>
          </w:cols>
          <w:pgMar w:left="1440" w:top="726" w:right="1406" w:bottom="1440" w:gutter="0" w:footer="0" w:header="0"/>
        </w:sectPr>
      </w:pPr>
    </w:p>
    <w:bookmarkStart w:id="24" w:name="page25"/>
    <w:bookmarkEnd w:id="24"/>
    <w:p>
      <w:pPr>
        <w:jc w:val="right"/>
        <w:spacing w:after="0"/>
        <w:rPr>
          <w:sz w:val="20"/>
          <w:szCs w:val="20"/>
          <w:color w:val="auto"/>
        </w:rPr>
      </w:pPr>
      <w:r>
        <w:rPr>
          <w:rFonts w:ascii="Calibri" w:cs="Calibri" w:eastAsia="Calibri" w:hAnsi="Calibri"/>
          <w:sz w:val="22"/>
          <w:szCs w:val="22"/>
          <w:color w:val="auto"/>
        </w:rPr>
        <w:t>14</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left="840"/>
        <w:spacing w:after="0" w:line="358" w:lineRule="auto"/>
        <w:rPr>
          <w:sz w:val="20"/>
          <w:szCs w:val="20"/>
          <w:color w:val="auto"/>
        </w:rPr>
      </w:pPr>
      <w:r>
        <w:rPr>
          <w:rFonts w:ascii="Times New Roman" w:cs="Times New Roman" w:eastAsia="Times New Roman" w:hAnsi="Times New Roman"/>
          <w:sz w:val="24"/>
          <w:szCs w:val="24"/>
          <w:color w:val="auto"/>
        </w:rPr>
        <w:t xml:space="preserve">Periferik kanda %10’dan daha az atipik mast hücresi saptanırsa alösemik </w:t>
      </w:r>
      <w:r>
        <w:rPr>
          <w:rFonts w:ascii="Times New Roman" w:cs="Times New Roman" w:eastAsia="Times New Roman" w:hAnsi="Times New Roman"/>
          <w:sz w:val="24"/>
          <w:szCs w:val="24"/>
          <w:color w:val="auto"/>
        </w:rPr>
        <w:t>MHL , %10</w:t>
      </w:r>
      <w:r>
        <w:rPr>
          <w:rFonts w:ascii="Times New Roman" w:cs="Times New Roman" w:eastAsia="Times New Roman" w:hAnsi="Times New Roman"/>
          <w:sz w:val="24"/>
          <w:szCs w:val="24"/>
          <w:color w:val="auto"/>
        </w:rPr>
        <w:t xml:space="preserve"> ve üzerinde atipik mast hücresi saptanırsa klasik </w:t>
      </w:r>
      <w:r>
        <w:rPr>
          <w:rFonts w:ascii="Times New Roman" w:cs="Times New Roman" w:eastAsia="Times New Roman" w:hAnsi="Times New Roman"/>
          <w:sz w:val="24"/>
          <w:szCs w:val="24"/>
          <w:color w:val="auto"/>
        </w:rPr>
        <w:t>MHL</w:t>
      </w:r>
      <w:r>
        <w:rPr>
          <w:rFonts w:ascii="Times New Roman" w:cs="Times New Roman" w:eastAsia="Times New Roman" w:hAnsi="Times New Roman"/>
          <w:sz w:val="24"/>
          <w:szCs w:val="24"/>
          <w:color w:val="auto"/>
        </w:rPr>
        <w:t xml:space="preserve"> şeklinde adlandırılır. Bu hastalarda konstitüsyonel semptomlar, sitopeniler, malabsorbsiyon ve kilo kaybı çok sıktır. </w:t>
      </w:r>
      <w:r>
        <w:rPr>
          <w:rFonts w:ascii="Times New Roman" w:cs="Times New Roman" w:eastAsia="Times New Roman" w:hAnsi="Times New Roman"/>
          <w:sz w:val="24"/>
          <w:szCs w:val="24"/>
          <w:color w:val="auto"/>
        </w:rPr>
        <w:t>MHL</w:t>
      </w:r>
      <w:r>
        <w:rPr>
          <w:rFonts w:ascii="Times New Roman" w:cs="Times New Roman" w:eastAsia="Times New Roman" w:hAnsi="Times New Roman"/>
          <w:sz w:val="24"/>
          <w:szCs w:val="24"/>
          <w:color w:val="auto"/>
        </w:rPr>
        <w:t xml:space="preserve">’de çok ciddi triptaz düzeyi yükseklikleri (&gt;500 ng/ml) saptanabilir. Bu hastalarda KIT D816V dışı mutasyonlar ve ek mutasyonlar sık saptanır. Bu hastalardan genelde tedaviye iyi yanıt alınamaz. Ortalama yaşam süresi </w:t>
      </w:r>
      <w:r>
        <w:rPr>
          <w:rFonts w:ascii="Times New Roman" w:cs="Times New Roman" w:eastAsia="Times New Roman" w:hAnsi="Times New Roman"/>
          <w:sz w:val="24"/>
          <w:szCs w:val="24"/>
          <w:color w:val="auto"/>
        </w:rPr>
        <w:t>&lt;6 ay</w:t>
      </w:r>
      <w:r>
        <w:rPr>
          <w:rFonts w:ascii="Times New Roman" w:cs="Times New Roman" w:eastAsia="Times New Roman" w:hAnsi="Times New Roman"/>
          <w:sz w:val="24"/>
          <w:szCs w:val="24"/>
          <w:color w:val="auto"/>
        </w:rPr>
        <w:t xml:space="preserve"> civarındadır </w:t>
      </w:r>
      <w:r>
        <w:rPr>
          <w:rFonts w:ascii="Times New Roman" w:cs="Times New Roman" w:eastAsia="Times New Roman" w:hAnsi="Times New Roman"/>
          <w:sz w:val="24"/>
          <w:szCs w:val="24"/>
          <w:color w:val="auto"/>
        </w:rPr>
        <w:t>(118).</w:t>
      </w:r>
    </w:p>
    <w:p>
      <w:pPr>
        <w:spacing w:after="0" w:line="176" w:lineRule="exact"/>
        <w:rPr>
          <w:sz w:val="20"/>
          <w:szCs w:val="20"/>
          <w:color w:val="auto"/>
        </w:rPr>
      </w:pPr>
    </w:p>
    <w:p>
      <w:pPr>
        <w:jc w:val="both"/>
        <w:ind w:left="840" w:firstLine="708"/>
        <w:spacing w:after="0" w:line="354" w:lineRule="auto"/>
        <w:rPr>
          <w:sz w:val="20"/>
          <w:szCs w:val="20"/>
          <w:color w:val="auto"/>
        </w:rPr>
      </w:pPr>
      <w:r>
        <w:rPr>
          <w:rFonts w:ascii="Times New Roman" w:cs="Times New Roman" w:eastAsia="Times New Roman" w:hAnsi="Times New Roman"/>
          <w:sz w:val="24"/>
          <w:szCs w:val="24"/>
          <w:color w:val="auto"/>
        </w:rPr>
        <w:t>Sistemik m</w:t>
      </w:r>
      <w:r>
        <w:rPr>
          <w:rFonts w:ascii="Times New Roman" w:cs="Times New Roman" w:eastAsia="Times New Roman" w:hAnsi="Times New Roman"/>
          <w:sz w:val="24"/>
          <w:szCs w:val="24"/>
          <w:color w:val="auto"/>
        </w:rPr>
        <w:t>astositozu kliniğe, hastalık yüküne, kemik iliği tutulumuna ve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organ disfonksiyonuna göre ayırmak tedavi şeklini ve takip sürecini değiştirmektedir. Hastaların sağ kalımı da belirgin şekilde değişmektedir.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-43180</wp:posOffset>
            </wp:positionV>
            <wp:extent cx="4699000" cy="18542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4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222222"/>
        </w:rPr>
        <w:t>2.2.4 Semptomlar ve Bulgular</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222222"/>
        </w:rPr>
        <w:t>Sistemik mastositoz ve semptomlarını üç grupta toplamak mümkündür.</w:t>
      </w:r>
    </w:p>
    <w:p>
      <w:pPr>
        <w:spacing w:after="0" w:line="316" w:lineRule="exact"/>
        <w:rPr>
          <w:sz w:val="20"/>
          <w:szCs w:val="20"/>
          <w:color w:val="auto"/>
        </w:rPr>
      </w:pPr>
    </w:p>
    <w:p>
      <w:pPr>
        <w:ind w:left="1560" w:hanging="364"/>
        <w:spacing w:after="0"/>
        <w:tabs>
          <w:tab w:leader="none" w:pos="1560" w:val="left"/>
        </w:tabs>
        <w:numPr>
          <w:ilvl w:val="0"/>
          <w:numId w:val="11"/>
        </w:numPr>
        <w:rPr>
          <w:rFonts w:ascii="Arial" w:cs="Arial" w:eastAsia="Arial" w:hAnsi="Arial"/>
          <w:sz w:val="24"/>
          <w:szCs w:val="24"/>
          <w:color w:val="222222"/>
        </w:rPr>
      </w:pPr>
      <w:r>
        <w:rPr>
          <w:rFonts w:ascii="Times New Roman" w:cs="Times New Roman" w:eastAsia="Times New Roman" w:hAnsi="Times New Roman"/>
          <w:sz w:val="24"/>
          <w:szCs w:val="24"/>
          <w:color w:val="222222"/>
        </w:rPr>
        <w:t>Cilt Bulguları</w:t>
      </w:r>
    </w:p>
    <w:p>
      <w:pPr>
        <w:spacing w:after="0" w:line="154" w:lineRule="exact"/>
        <w:rPr>
          <w:rFonts w:ascii="Arial" w:cs="Arial" w:eastAsia="Arial" w:hAnsi="Arial"/>
          <w:sz w:val="24"/>
          <w:szCs w:val="24"/>
          <w:color w:val="222222"/>
        </w:rPr>
      </w:pPr>
    </w:p>
    <w:p>
      <w:pPr>
        <w:ind w:left="1560" w:hanging="364"/>
        <w:spacing w:after="0"/>
        <w:tabs>
          <w:tab w:leader="none" w:pos="1560" w:val="left"/>
        </w:tabs>
        <w:numPr>
          <w:ilvl w:val="0"/>
          <w:numId w:val="11"/>
        </w:numPr>
        <w:rPr>
          <w:rFonts w:ascii="Arial" w:cs="Arial" w:eastAsia="Arial" w:hAnsi="Arial"/>
          <w:sz w:val="24"/>
          <w:szCs w:val="24"/>
          <w:color w:val="222222"/>
        </w:rPr>
      </w:pPr>
      <w:r>
        <w:rPr>
          <w:rFonts w:ascii="Times New Roman" w:cs="Times New Roman" w:eastAsia="Times New Roman" w:hAnsi="Times New Roman"/>
          <w:sz w:val="24"/>
          <w:szCs w:val="24"/>
          <w:color w:val="222222"/>
        </w:rPr>
        <w:t>Mast hücre mediatörü aracılı reaksiyonlar</w:t>
      </w:r>
    </w:p>
    <w:p>
      <w:pPr>
        <w:spacing w:after="0" w:line="168" w:lineRule="exact"/>
        <w:rPr>
          <w:rFonts w:ascii="Arial" w:cs="Arial" w:eastAsia="Arial" w:hAnsi="Arial"/>
          <w:sz w:val="24"/>
          <w:szCs w:val="24"/>
          <w:color w:val="222222"/>
        </w:rPr>
      </w:pPr>
    </w:p>
    <w:p>
      <w:pPr>
        <w:ind w:left="1560" w:hanging="364"/>
        <w:spacing w:after="0" w:line="345" w:lineRule="auto"/>
        <w:tabs>
          <w:tab w:leader="none" w:pos="1560" w:val="left"/>
        </w:tabs>
        <w:numPr>
          <w:ilvl w:val="0"/>
          <w:numId w:val="11"/>
        </w:numPr>
        <w:rPr>
          <w:rFonts w:ascii="Arial" w:cs="Arial" w:eastAsia="Arial" w:hAnsi="Arial"/>
          <w:sz w:val="24"/>
          <w:szCs w:val="24"/>
          <w:color w:val="222222"/>
        </w:rPr>
      </w:pPr>
      <w:r>
        <w:rPr>
          <w:rFonts w:ascii="Times New Roman" w:cs="Times New Roman" w:eastAsia="Times New Roman" w:hAnsi="Times New Roman"/>
          <w:sz w:val="24"/>
          <w:szCs w:val="24"/>
          <w:color w:val="222222"/>
        </w:rPr>
        <w:t>D</w:t>
      </w:r>
      <w:r>
        <w:rPr>
          <w:rFonts w:ascii="Times New Roman" w:cs="Times New Roman" w:eastAsia="Times New Roman" w:hAnsi="Times New Roman"/>
          <w:sz w:val="24"/>
          <w:szCs w:val="24"/>
          <w:color w:val="222222"/>
        </w:rPr>
        <w:t>oku veya organların mast hücreleri tarafından infiltrasyonuna sekonder</w:t>
      </w:r>
      <w:r>
        <w:rPr>
          <w:rFonts w:ascii="Times New Roman" w:cs="Times New Roman" w:eastAsia="Times New Roman" w:hAnsi="Times New Roman"/>
          <w:sz w:val="24"/>
          <w:szCs w:val="24"/>
          <w:color w:val="222222"/>
        </w:rPr>
        <w:t xml:space="preserve"> organ disfonksiyonu ile karaketerize semptom ve bulgular</w:t>
      </w:r>
    </w:p>
    <w:p>
      <w:pPr>
        <w:sectPr>
          <w:pgSz w:w="11900" w:h="16838" w:orient="portrait"/>
          <w:cols w:equalWidth="0" w:num="1">
            <w:col w:w="9060"/>
          </w:cols>
          <w:pgMar w:left="1440" w:top="714" w:right="1406" w:bottom="1440" w:gutter="0" w:footer="0" w:header="0"/>
        </w:sectPr>
      </w:pPr>
    </w:p>
    <w:bookmarkStart w:id="25" w:name="page26"/>
    <w:bookmarkEnd w:id="25"/>
    <w:p>
      <w:pPr>
        <w:jc w:val="right"/>
        <w:spacing w:after="0"/>
        <w:rPr>
          <w:sz w:val="20"/>
          <w:szCs w:val="20"/>
          <w:color w:val="auto"/>
        </w:rPr>
      </w:pPr>
      <w:r>
        <w:rPr>
          <w:rFonts w:ascii="Calibri" w:cs="Calibri" w:eastAsia="Calibri" w:hAnsi="Calibri"/>
          <w:sz w:val="22"/>
          <w:szCs w:val="22"/>
          <w:color w:val="auto"/>
        </w:rPr>
        <w:t>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686435</wp:posOffset>
            </wp:positionV>
            <wp:extent cx="5394325" cy="43014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5394325" cy="43014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1560"/>
        <w:spacing w:after="0"/>
        <w:rPr>
          <w:sz w:val="20"/>
          <w:szCs w:val="20"/>
          <w:color w:val="auto"/>
        </w:rPr>
      </w:pPr>
      <w:r>
        <w:rPr>
          <w:rFonts w:ascii="Times New Roman" w:cs="Times New Roman" w:eastAsia="Times New Roman" w:hAnsi="Times New Roman"/>
          <w:sz w:val="24"/>
          <w:szCs w:val="24"/>
          <w:b w:val="1"/>
          <w:bCs w:val="1"/>
          <w:color w:val="222222"/>
        </w:rPr>
        <w:t>Ş</w:t>
      </w:r>
      <w:r>
        <w:rPr>
          <w:rFonts w:ascii="Times New Roman" w:cs="Times New Roman" w:eastAsia="Times New Roman" w:hAnsi="Times New Roman"/>
          <w:sz w:val="24"/>
          <w:szCs w:val="24"/>
          <w:b w:val="1"/>
          <w:bCs w:val="1"/>
          <w:color w:val="222222"/>
        </w:rPr>
        <w:t>ekil 2</w:t>
      </w:r>
      <w:r>
        <w:rPr>
          <w:rFonts w:ascii="Times New Roman" w:cs="Times New Roman" w:eastAsia="Times New Roman" w:hAnsi="Times New Roman"/>
          <w:sz w:val="24"/>
          <w:szCs w:val="24"/>
          <w:color w:val="222222"/>
        </w:rPr>
        <w:t>-Sistemik Mastositoz Semptom ve B</w:t>
      </w:r>
      <w:r>
        <w:rPr>
          <w:rFonts w:ascii="Times New Roman" w:cs="Times New Roman" w:eastAsia="Times New Roman" w:hAnsi="Times New Roman"/>
          <w:sz w:val="24"/>
          <w:szCs w:val="24"/>
          <w:color w:val="222222"/>
        </w:rPr>
        <w:t>ulguları</w:t>
      </w:r>
      <w:r>
        <w:rPr>
          <w:rFonts w:ascii="Times New Roman" w:cs="Times New Roman" w:eastAsia="Times New Roman" w:hAnsi="Times New Roman"/>
          <w:sz w:val="24"/>
          <w:szCs w:val="24"/>
          <w:color w:val="222222"/>
        </w:rPr>
        <w:t>(111)</w:t>
      </w:r>
    </w:p>
    <w:p>
      <w:pPr>
        <w:spacing w:after="0" w:line="310" w:lineRule="exact"/>
        <w:rPr>
          <w:sz w:val="20"/>
          <w:szCs w:val="20"/>
          <w:color w:val="auto"/>
        </w:rPr>
      </w:pPr>
    </w:p>
    <w:p>
      <w:pPr>
        <w:jc w:val="both"/>
        <w:ind w:left="840" w:firstLine="708"/>
        <w:spacing w:after="0" w:line="359" w:lineRule="auto"/>
        <w:rPr>
          <w:sz w:val="20"/>
          <w:szCs w:val="20"/>
          <w:color w:val="auto"/>
        </w:rPr>
      </w:pPr>
      <w:r>
        <w:rPr>
          <w:rFonts w:ascii="Times New Roman" w:cs="Times New Roman" w:eastAsia="Times New Roman" w:hAnsi="Times New Roman"/>
          <w:sz w:val="24"/>
          <w:szCs w:val="24"/>
          <w:b w:val="1"/>
          <w:bCs w:val="1"/>
          <w:color w:val="222222"/>
        </w:rPr>
        <w:t>Cilt Semptom ve Bulguları</w:t>
      </w:r>
      <w:r>
        <w:rPr>
          <w:rFonts w:ascii="Times New Roman" w:cs="Times New Roman" w:eastAsia="Times New Roman" w:hAnsi="Times New Roman"/>
          <w:sz w:val="24"/>
          <w:szCs w:val="24"/>
          <w:color w:val="222222"/>
        </w:rPr>
        <w:t>: Mast hücrelerinin cildi infiltre etmesi sonucu</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 xml:space="preserve">diffüz kütanöz mastositoz, kütanöz mastositoma ve makülopapüler kütanöz mastositoz (MPCM) </w:t>
      </w:r>
      <w:r>
        <w:rPr>
          <w:rFonts w:ascii="Times New Roman" w:cs="Times New Roman" w:eastAsia="Times New Roman" w:hAnsi="Times New Roman"/>
          <w:sz w:val="24"/>
          <w:szCs w:val="24"/>
          <w:color w:val="222222"/>
        </w:rPr>
        <w:t>şeklinde adlandırılan lezyonlar ortaya çıkabilir</w:t>
      </w:r>
      <w:r>
        <w:rPr>
          <w:rFonts w:ascii="Times New Roman" w:cs="Times New Roman" w:eastAsia="Times New Roman" w:hAnsi="Times New Roman"/>
          <w:sz w:val="24"/>
          <w:szCs w:val="24"/>
          <w:color w:val="222222"/>
        </w:rPr>
        <w:t xml:space="preserve"> (119, 120). Bu </w:t>
      </w:r>
      <w:r>
        <w:rPr>
          <w:rFonts w:ascii="Times New Roman" w:cs="Times New Roman" w:eastAsia="Times New Roman" w:hAnsi="Times New Roman"/>
          <w:sz w:val="24"/>
          <w:szCs w:val="24"/>
          <w:color w:val="222222"/>
        </w:rPr>
        <w:t>lezyonlar arasında en sık görülen MPCM diğer adıyla ÜP’dir</w:t>
      </w:r>
      <w:r>
        <w:rPr>
          <w:rFonts w:ascii="Times New Roman" w:cs="Times New Roman" w:eastAsia="Times New Roman" w:hAnsi="Times New Roman"/>
          <w:sz w:val="24"/>
          <w:szCs w:val="24"/>
          <w:color w:val="222222"/>
        </w:rPr>
        <w:t>(5)</w:t>
      </w:r>
      <w:r>
        <w:rPr>
          <w:rFonts w:ascii="Times New Roman" w:cs="Times New Roman" w:eastAsia="Times New Roman" w:hAnsi="Times New Roman"/>
          <w:sz w:val="24"/>
          <w:szCs w:val="24"/>
          <w:color w:val="222222"/>
        </w:rPr>
        <w:t xml:space="preserve">. ÜP lezyonları, </w:t>
      </w:r>
      <w:r>
        <w:rPr>
          <w:rFonts w:ascii="Times New Roman" w:cs="Times New Roman" w:eastAsia="Times New Roman" w:hAnsi="Times New Roman"/>
          <w:sz w:val="24"/>
          <w:szCs w:val="24"/>
          <w:color w:val="222222"/>
        </w:rPr>
        <w:t xml:space="preserve">kiremit rengi kahverengi makül veya ciltten </w:t>
      </w:r>
      <w:r>
        <w:rPr>
          <w:rFonts w:ascii="Times New Roman" w:cs="Times New Roman" w:eastAsia="Times New Roman" w:hAnsi="Times New Roman"/>
          <w:sz w:val="24"/>
          <w:szCs w:val="24"/>
          <w:color w:val="222222"/>
        </w:rPr>
        <w:t>hafif kabarık papül şeklindedir fakat</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plak benzeri lezyon şeklinde de ortaya çıkabilir. Daha çok üst ekstremite ve alt ekstremitede tutulum olur. Avuç içi, ayak tabanı ve skalp </w:t>
      </w:r>
      <w:r>
        <w:rPr>
          <w:rFonts w:ascii="Times New Roman" w:cs="Times New Roman" w:eastAsia="Times New Roman" w:hAnsi="Times New Roman"/>
          <w:sz w:val="24"/>
          <w:szCs w:val="24"/>
          <w:color w:val="222222"/>
        </w:rPr>
        <w:t>tutulumu çok fazla</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beklenmez. Diffüz kütanöz mastositozda cildin diffüz tutulumu olur ve mast hücreleri dermisi diffüz infiltre eder. Büllöz erüpsiyonlar görülebilir. Diffüz kütanöz </w:t>
      </w:r>
      <w:r>
        <w:rPr>
          <w:rFonts w:ascii="Times New Roman" w:cs="Times New Roman" w:eastAsia="Times New Roman" w:hAnsi="Times New Roman"/>
          <w:sz w:val="24"/>
          <w:szCs w:val="24"/>
          <w:color w:val="222222"/>
        </w:rPr>
        <w:t xml:space="preserve">mastositozda ayrı ayrı lezyonlardan ziyade lokal bir alanın tamamında lezyon görülür. Kütanöz mastositoma en nadir formdur ve genellikle çocukluk çağında </w:t>
      </w:r>
      <w:r>
        <w:rPr>
          <w:rFonts w:ascii="Times New Roman" w:cs="Times New Roman" w:eastAsia="Times New Roman" w:hAnsi="Times New Roman"/>
          <w:sz w:val="24"/>
          <w:szCs w:val="24"/>
          <w:color w:val="222222"/>
        </w:rPr>
        <w:t xml:space="preserve">görülür. </w:t>
      </w:r>
      <w:r>
        <w:rPr>
          <w:rFonts w:ascii="Times New Roman" w:cs="Times New Roman" w:eastAsia="Times New Roman" w:hAnsi="Times New Roman"/>
          <w:sz w:val="24"/>
          <w:szCs w:val="24"/>
          <w:color w:val="222222"/>
        </w:rPr>
        <w:t>Karakteristik görünüme sahip lezyonlara ovalama ve kaşıma şeklinde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dışarıdan yapılan fiziksel müdahaleler sonucu lokalize eritem veya ürtiker ortaya çıkar </w:t>
      </w:r>
      <w:r>
        <w:rPr>
          <w:rFonts w:ascii="Times New Roman" w:cs="Times New Roman" w:eastAsia="Times New Roman" w:hAnsi="Times New Roman"/>
          <w:sz w:val="24"/>
          <w:szCs w:val="24"/>
          <w:color w:val="222222"/>
        </w:rPr>
        <w:t>ve</w:t>
      </w:r>
      <w:r>
        <w:rPr>
          <w:rFonts w:ascii="Times New Roman" w:cs="Times New Roman" w:eastAsia="Times New Roman" w:hAnsi="Times New Roman"/>
          <w:sz w:val="24"/>
          <w:szCs w:val="24"/>
          <w:color w:val="222222"/>
        </w:rPr>
        <w:t xml:space="preserve"> bu bulguya darier bulgusu denir ve lokal mast hücreleri tarafından salınan </w:t>
      </w:r>
      <w:r>
        <w:rPr>
          <w:rFonts w:ascii="Times New Roman" w:cs="Times New Roman" w:eastAsia="Times New Roman" w:hAnsi="Times New Roman"/>
          <w:sz w:val="24"/>
          <w:szCs w:val="24"/>
          <w:color w:val="222222"/>
        </w:rPr>
        <w:t xml:space="preserve">mast </w:t>
      </w:r>
      <w:r>
        <w:rPr>
          <w:rFonts w:ascii="Times New Roman" w:cs="Times New Roman" w:eastAsia="Times New Roman" w:hAnsi="Times New Roman"/>
          <w:sz w:val="24"/>
          <w:szCs w:val="24"/>
          <w:color w:val="222222"/>
        </w:rPr>
        <w:t>hücre mediatörleri nedeniyle oluşur</w:t>
      </w:r>
      <w:r>
        <w:rPr>
          <w:rFonts w:ascii="Times New Roman" w:cs="Times New Roman" w:eastAsia="Times New Roman" w:hAnsi="Times New Roman"/>
          <w:sz w:val="24"/>
          <w:szCs w:val="24"/>
          <w:color w:val="222222"/>
        </w:rPr>
        <w:t xml:space="preserve"> (121).</w:t>
      </w:r>
    </w:p>
    <w:p>
      <w:pPr>
        <w:spacing w:after="0" w:line="166"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222222"/>
        </w:rPr>
        <w:t>Kaşıntı mastositoz hastalarında çok sık görülür.</w:t>
      </w:r>
    </w:p>
    <w:p>
      <w:pPr>
        <w:sectPr>
          <w:pgSz w:w="11900" w:h="16838" w:orient="portrait"/>
          <w:cols w:equalWidth="0" w:num="1">
            <w:col w:w="9060"/>
          </w:cols>
          <w:pgMar w:left="1440" w:top="714" w:right="1406" w:bottom="1440" w:gutter="0" w:footer="0" w:header="0"/>
        </w:sectPr>
      </w:pPr>
    </w:p>
    <w:bookmarkStart w:id="26" w:name="page27"/>
    <w:bookmarkEnd w:id="26"/>
    <w:p>
      <w:pPr>
        <w:ind w:left="8840"/>
        <w:spacing w:after="0"/>
        <w:rPr>
          <w:sz w:val="20"/>
          <w:szCs w:val="20"/>
          <w:color w:val="auto"/>
        </w:rPr>
      </w:pPr>
      <w:r>
        <w:rPr>
          <w:rFonts w:ascii="Calibri" w:cs="Calibri" w:eastAsia="Calibri" w:hAnsi="Calibri"/>
          <w:sz w:val="21"/>
          <w:szCs w:val="21"/>
          <w:color w:val="auto"/>
        </w:rPr>
        <w:t>16</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left="840" w:firstLine="708"/>
        <w:spacing w:after="0" w:line="356" w:lineRule="auto"/>
        <w:rPr>
          <w:sz w:val="20"/>
          <w:szCs w:val="20"/>
          <w:color w:val="auto"/>
        </w:rPr>
      </w:pPr>
      <w:r>
        <w:rPr>
          <w:rFonts w:ascii="Times New Roman" w:cs="Times New Roman" w:eastAsia="Times New Roman" w:hAnsi="Times New Roman"/>
          <w:sz w:val="24"/>
          <w:szCs w:val="24"/>
          <w:b w:val="1"/>
          <w:bCs w:val="1"/>
          <w:color w:val="222222"/>
        </w:rPr>
        <w:t>Sistemik Mediatör Sal</w:t>
      </w:r>
      <w:r>
        <w:rPr>
          <w:rFonts w:ascii="Times New Roman" w:cs="Times New Roman" w:eastAsia="Times New Roman" w:hAnsi="Times New Roman"/>
          <w:sz w:val="24"/>
          <w:szCs w:val="24"/>
          <w:b w:val="1"/>
          <w:bCs w:val="1"/>
          <w:color w:val="222222"/>
        </w:rPr>
        <w:t>ınımı ile ilişkili Semptom ve Bulgular</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SM’de</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mediatör aracılı tekrarlayan anafilaksi, kaşıntı, yüzde kızarıklık atakları, dispepsi, kronik diyare, bulantı</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kusma, baş ağrısı, öğrenme güçlüğü, hafıza sorunu, kemik ağrıları ve osteoporoz görülmektedir.</w:t>
      </w:r>
    </w:p>
    <w:p>
      <w:pPr>
        <w:spacing w:after="0" w:line="179" w:lineRule="exact"/>
        <w:rPr>
          <w:sz w:val="20"/>
          <w:szCs w:val="20"/>
          <w:color w:val="auto"/>
        </w:rPr>
      </w:pPr>
    </w:p>
    <w:p>
      <w:pPr>
        <w:jc w:val="both"/>
        <w:ind w:left="840" w:firstLine="708"/>
        <w:spacing w:after="0" w:line="356" w:lineRule="auto"/>
        <w:rPr>
          <w:sz w:val="20"/>
          <w:szCs w:val="20"/>
          <w:color w:val="auto"/>
        </w:rPr>
      </w:pPr>
      <w:r>
        <w:rPr>
          <w:rFonts w:ascii="Times New Roman" w:cs="Times New Roman" w:eastAsia="Times New Roman" w:hAnsi="Times New Roman"/>
          <w:sz w:val="24"/>
          <w:szCs w:val="24"/>
          <w:color w:val="222222"/>
        </w:rPr>
        <w:t xml:space="preserve">Anafilaksi; </w:t>
      </w:r>
      <w:r>
        <w:rPr>
          <w:rFonts w:ascii="Times New Roman" w:cs="Times New Roman" w:eastAsia="Times New Roman" w:hAnsi="Times New Roman"/>
          <w:sz w:val="24"/>
          <w:szCs w:val="24"/>
          <w:color w:val="222222"/>
        </w:rPr>
        <w:t>hipotansiyon, GİS bulguları, senkop, yüzde kızarıklık ve vasküler</w:t>
      </w:r>
      <w:r>
        <w:rPr>
          <w:rFonts w:ascii="Times New Roman" w:cs="Times New Roman" w:eastAsia="Times New Roman" w:hAnsi="Times New Roman"/>
          <w:sz w:val="24"/>
          <w:szCs w:val="24"/>
          <w:color w:val="222222"/>
        </w:rPr>
        <w:t xml:space="preserve"> kollaps ile karakterizedir. Ürtiker ve anjiyoödem çok beklenmez (122). Mastositoz </w:t>
      </w:r>
      <w:r>
        <w:rPr>
          <w:rFonts w:ascii="Times New Roman" w:cs="Times New Roman" w:eastAsia="Times New Roman" w:hAnsi="Times New Roman"/>
          <w:sz w:val="24"/>
          <w:szCs w:val="24"/>
          <w:color w:val="222222"/>
        </w:rPr>
        <w:t xml:space="preserve">ilişkili anafilaksinin en önemli özelliklerinden biri tekrarlayıcı olması ve net bir neden saptanamamasıdır </w:t>
      </w:r>
      <w:r>
        <w:rPr>
          <w:rFonts w:ascii="Times New Roman" w:cs="Times New Roman" w:eastAsia="Times New Roman" w:hAnsi="Times New Roman"/>
          <w:sz w:val="24"/>
          <w:szCs w:val="24"/>
          <w:color w:val="222222"/>
        </w:rPr>
        <w:t>(123).</w:t>
      </w:r>
    </w:p>
    <w:p>
      <w:pPr>
        <w:spacing w:after="0" w:line="178" w:lineRule="exact"/>
        <w:rPr>
          <w:sz w:val="20"/>
          <w:szCs w:val="20"/>
          <w:color w:val="auto"/>
        </w:rPr>
      </w:pPr>
    </w:p>
    <w:p>
      <w:pPr>
        <w:jc w:val="both"/>
        <w:ind w:left="840" w:firstLine="708"/>
        <w:spacing w:after="0" w:line="356" w:lineRule="auto"/>
        <w:rPr>
          <w:sz w:val="20"/>
          <w:szCs w:val="20"/>
          <w:color w:val="auto"/>
        </w:rPr>
      </w:pPr>
      <w:r>
        <w:rPr>
          <w:rFonts w:ascii="Times New Roman" w:cs="Times New Roman" w:eastAsia="Times New Roman" w:hAnsi="Times New Roman"/>
          <w:sz w:val="24"/>
          <w:szCs w:val="24"/>
          <w:color w:val="222222"/>
        </w:rPr>
        <w:t>S</w:t>
      </w:r>
      <w:r>
        <w:rPr>
          <w:rFonts w:ascii="Times New Roman" w:cs="Times New Roman" w:eastAsia="Times New Roman" w:hAnsi="Times New Roman"/>
          <w:sz w:val="24"/>
          <w:szCs w:val="24"/>
          <w:color w:val="222222"/>
        </w:rPr>
        <w:t>M’de kaşıntı ve yüzde kızarıklık sıklıkla ortaya çıkar. Bu reak</w:t>
      </w:r>
      <w:r>
        <w:rPr>
          <w:rFonts w:ascii="Times New Roman" w:cs="Times New Roman" w:eastAsia="Times New Roman" w:hAnsi="Times New Roman"/>
          <w:sz w:val="24"/>
          <w:szCs w:val="24"/>
          <w:color w:val="222222"/>
        </w:rPr>
        <w:t xml:space="preserve">siyonlar genel </w:t>
      </w:r>
      <w:r>
        <w:rPr>
          <w:rFonts w:ascii="Times New Roman" w:cs="Times New Roman" w:eastAsia="Times New Roman" w:hAnsi="Times New Roman"/>
          <w:sz w:val="24"/>
          <w:szCs w:val="24"/>
          <w:color w:val="222222"/>
        </w:rPr>
        <w:t>olarak mediatör aracılıdır. Yüzde kızarıklık tablosunda</w:t>
      </w:r>
      <w:r>
        <w:rPr>
          <w:rFonts w:ascii="Times New Roman" w:cs="Times New Roman" w:eastAsia="Times New Roman" w:hAnsi="Times New Roman"/>
          <w:sz w:val="24"/>
          <w:szCs w:val="24"/>
          <w:color w:val="222222"/>
        </w:rPr>
        <w:t>n PGD2 sorumlu</w:t>
      </w:r>
      <w:r>
        <w:rPr>
          <w:rFonts w:ascii="Times New Roman" w:cs="Times New Roman" w:eastAsia="Times New Roman" w:hAnsi="Times New Roman"/>
          <w:sz w:val="24"/>
          <w:szCs w:val="24"/>
          <w:color w:val="222222"/>
        </w:rPr>
        <w:t xml:space="preserve"> tutulmaktadır. Kaşıntı ise baharatlı yiyecek tüketimi, alkol, kontrast madde, emosyonel stres ve sıcak duş ile tetiklenebilir.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-672465</wp:posOffset>
            </wp:positionV>
            <wp:extent cx="4699000" cy="18542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59" w:lineRule="exact"/>
        <w:rPr>
          <w:sz w:val="20"/>
          <w:szCs w:val="20"/>
          <w:color w:val="auto"/>
        </w:rPr>
      </w:pPr>
    </w:p>
    <w:p>
      <w:pPr>
        <w:jc w:val="both"/>
        <w:ind w:left="840" w:firstLine="708"/>
        <w:spacing w:after="0" w:line="348" w:lineRule="auto"/>
        <w:rPr>
          <w:sz w:val="20"/>
          <w:szCs w:val="20"/>
          <w:color w:val="auto"/>
        </w:rPr>
      </w:pPr>
      <w:r>
        <w:rPr>
          <w:rFonts w:ascii="Times New Roman" w:cs="Times New Roman" w:eastAsia="Times New Roman" w:hAnsi="Times New Roman"/>
          <w:sz w:val="24"/>
          <w:szCs w:val="24"/>
          <w:color w:val="222222"/>
        </w:rPr>
        <w:t xml:space="preserve">Hastalarda depresyon ve anksiyete görülebilir altta yatan fizyopatoloji tam </w:t>
      </w:r>
      <w:r>
        <w:rPr>
          <w:rFonts w:ascii="Times New Roman" w:cs="Times New Roman" w:eastAsia="Times New Roman" w:hAnsi="Times New Roman"/>
          <w:sz w:val="24"/>
          <w:szCs w:val="24"/>
          <w:color w:val="222222"/>
        </w:rPr>
        <w:t>anlaşılamasa da PGD2 aracılı olduğu düşünülmektedir.</w:t>
      </w:r>
    </w:p>
    <w:p>
      <w:pPr>
        <w:spacing w:after="0" w:line="186" w:lineRule="exact"/>
        <w:rPr>
          <w:sz w:val="20"/>
          <w:szCs w:val="20"/>
          <w:color w:val="auto"/>
        </w:rPr>
      </w:pPr>
    </w:p>
    <w:p>
      <w:pPr>
        <w:jc w:val="both"/>
        <w:ind w:left="840" w:firstLine="708"/>
        <w:spacing w:after="0" w:line="354" w:lineRule="auto"/>
        <w:rPr>
          <w:sz w:val="20"/>
          <w:szCs w:val="20"/>
          <w:color w:val="auto"/>
        </w:rPr>
      </w:pPr>
      <w:r>
        <w:rPr>
          <w:rFonts w:ascii="Times New Roman" w:cs="Times New Roman" w:eastAsia="Times New Roman" w:hAnsi="Times New Roman"/>
          <w:sz w:val="24"/>
          <w:szCs w:val="24"/>
          <w:color w:val="222222"/>
        </w:rPr>
        <w:t>Dispepsi, kronik diyare, tekrarlayan kramp tarzı karın ağrısı ve bulantı kusma semptomlarının özellikle PGD2 ve histamin salınımına sekonder olduğu düşünülmektedir.</w:t>
      </w:r>
    </w:p>
    <w:p>
      <w:pPr>
        <w:spacing w:after="0" w:line="183" w:lineRule="exact"/>
        <w:rPr>
          <w:sz w:val="20"/>
          <w:szCs w:val="20"/>
          <w:color w:val="auto"/>
        </w:rPr>
      </w:pPr>
    </w:p>
    <w:p>
      <w:pPr>
        <w:jc w:val="both"/>
        <w:ind w:left="840" w:firstLine="708"/>
        <w:spacing w:after="0" w:line="356" w:lineRule="auto"/>
        <w:rPr>
          <w:sz w:val="20"/>
          <w:szCs w:val="20"/>
          <w:color w:val="auto"/>
        </w:rPr>
      </w:pP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’de mediatör aracılı olduğu düşünülen fibromyalji benzeri yaygın vücut ve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kemik ağrıları olabilir. Osteoporoz ve osteopeni SM’de sıklıkla gözlemlenmektedir. </w:t>
      </w:r>
      <w:r>
        <w:rPr>
          <w:rFonts w:ascii="Times New Roman" w:cs="Times New Roman" w:eastAsia="Times New Roman" w:hAnsi="Times New Roman"/>
          <w:sz w:val="24"/>
          <w:szCs w:val="24"/>
          <w:color w:val="222222"/>
        </w:rPr>
        <w:t>Triptaz, h</w:t>
      </w:r>
      <w:r>
        <w:rPr>
          <w:rFonts w:ascii="Times New Roman" w:cs="Times New Roman" w:eastAsia="Times New Roman" w:hAnsi="Times New Roman"/>
          <w:sz w:val="24"/>
          <w:szCs w:val="24"/>
          <w:color w:val="222222"/>
        </w:rPr>
        <w:t>eparin, histamin ve sitokinlerin kemik yapım yıkım dengesine olan etkisi</w:t>
      </w:r>
      <w:r>
        <w:rPr>
          <w:rFonts w:ascii="Times New Roman" w:cs="Times New Roman" w:eastAsia="Times New Roman" w:hAnsi="Times New Roman"/>
          <w:sz w:val="24"/>
          <w:szCs w:val="24"/>
          <w:color w:val="222222"/>
        </w:rPr>
        <w:t xml:space="preserve"> nedeniyle hastalarda kemik kitlesinde azalma görülmektedir(124, 125).</w:t>
      </w:r>
    </w:p>
    <w:p>
      <w:pPr>
        <w:spacing w:after="0" w:line="165"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222222"/>
        </w:rPr>
        <w:t>S</w:t>
      </w:r>
      <w:r>
        <w:rPr>
          <w:rFonts w:ascii="Times New Roman" w:cs="Times New Roman" w:eastAsia="Times New Roman" w:hAnsi="Times New Roman"/>
          <w:sz w:val="24"/>
          <w:szCs w:val="24"/>
          <w:color w:val="222222"/>
        </w:rPr>
        <w:t>M’de</w:t>
      </w:r>
      <w:r>
        <w:rPr>
          <w:rFonts w:ascii="Times New Roman" w:cs="Times New Roman" w:eastAsia="Times New Roman" w:hAnsi="Times New Roman"/>
          <w:sz w:val="24"/>
          <w:szCs w:val="24"/>
          <w:color w:val="222222"/>
        </w:rPr>
        <w:t xml:space="preserve"> mediatö</w:t>
      </w:r>
      <w:r>
        <w:rPr>
          <w:rFonts w:ascii="Times New Roman" w:cs="Times New Roman" w:eastAsia="Times New Roman" w:hAnsi="Times New Roman"/>
          <w:sz w:val="24"/>
          <w:szCs w:val="24"/>
          <w:color w:val="222222"/>
        </w:rPr>
        <w:t>r salınımını presipite eden faktörler mevcuttur bunlar;</w:t>
      </w:r>
    </w:p>
    <w:p>
      <w:pPr>
        <w:spacing w:after="0" w:line="316" w:lineRule="exact"/>
        <w:rPr>
          <w:sz w:val="20"/>
          <w:szCs w:val="20"/>
          <w:color w:val="auto"/>
        </w:rPr>
      </w:pPr>
    </w:p>
    <w:p>
      <w:pPr>
        <w:ind w:left="1560" w:hanging="364"/>
        <w:spacing w:after="0"/>
        <w:tabs>
          <w:tab w:leader="none" w:pos="1560" w:val="left"/>
        </w:tabs>
        <w:numPr>
          <w:ilvl w:val="0"/>
          <w:numId w:val="12"/>
        </w:numPr>
        <w:rPr>
          <w:rFonts w:ascii="Arial" w:cs="Arial" w:eastAsia="Arial" w:hAnsi="Arial"/>
          <w:sz w:val="24"/>
          <w:szCs w:val="24"/>
          <w:color w:val="222222"/>
        </w:rPr>
      </w:pPr>
      <w:r>
        <w:rPr>
          <w:rFonts w:ascii="Times New Roman" w:cs="Times New Roman" w:eastAsia="Times New Roman" w:hAnsi="Times New Roman"/>
          <w:sz w:val="24"/>
          <w:szCs w:val="24"/>
          <w:color w:val="222222"/>
        </w:rPr>
        <w:t xml:space="preserve">NSAİİ, opiodler, narkotikler, </w:t>
      </w:r>
      <w:r>
        <w:rPr>
          <w:rFonts w:ascii="Times New Roman" w:cs="Times New Roman" w:eastAsia="Times New Roman" w:hAnsi="Times New Roman"/>
          <w:sz w:val="24"/>
          <w:szCs w:val="24"/>
          <w:color w:val="222222"/>
        </w:rPr>
        <w:t>vankomisin , radyokontrast ajanlar</w:t>
      </w:r>
    </w:p>
    <w:p>
      <w:pPr>
        <w:spacing w:after="0" w:line="155" w:lineRule="exact"/>
        <w:rPr>
          <w:rFonts w:ascii="Arial" w:cs="Arial" w:eastAsia="Arial" w:hAnsi="Arial"/>
          <w:sz w:val="24"/>
          <w:szCs w:val="24"/>
          <w:color w:val="222222"/>
        </w:rPr>
      </w:pPr>
    </w:p>
    <w:p>
      <w:pPr>
        <w:ind w:left="1560" w:hanging="364"/>
        <w:spacing w:after="0"/>
        <w:tabs>
          <w:tab w:leader="none" w:pos="1560" w:val="left"/>
        </w:tabs>
        <w:numPr>
          <w:ilvl w:val="0"/>
          <w:numId w:val="12"/>
        </w:numPr>
        <w:rPr>
          <w:rFonts w:ascii="Arial" w:cs="Arial" w:eastAsia="Arial" w:hAnsi="Arial"/>
          <w:sz w:val="24"/>
          <w:szCs w:val="24"/>
          <w:color w:val="222222"/>
        </w:rPr>
      </w:pPr>
      <w:r>
        <w:rPr>
          <w:rFonts w:ascii="Times New Roman" w:cs="Times New Roman" w:eastAsia="Times New Roman" w:hAnsi="Times New Roman"/>
          <w:sz w:val="24"/>
          <w:szCs w:val="24"/>
          <w:color w:val="222222"/>
        </w:rPr>
        <w:t>Sıcak duş, baharatlı yiyecekler</w:t>
      </w:r>
    </w:p>
    <w:p>
      <w:pPr>
        <w:spacing w:after="0" w:line="154" w:lineRule="exact"/>
        <w:rPr>
          <w:rFonts w:ascii="Arial" w:cs="Arial" w:eastAsia="Arial" w:hAnsi="Arial"/>
          <w:sz w:val="24"/>
          <w:szCs w:val="24"/>
          <w:color w:val="222222"/>
        </w:rPr>
      </w:pPr>
    </w:p>
    <w:p>
      <w:pPr>
        <w:ind w:left="1560" w:hanging="364"/>
        <w:spacing w:after="0"/>
        <w:tabs>
          <w:tab w:leader="none" w:pos="1560" w:val="left"/>
        </w:tabs>
        <w:numPr>
          <w:ilvl w:val="0"/>
          <w:numId w:val="12"/>
        </w:numPr>
        <w:rPr>
          <w:rFonts w:ascii="Arial" w:cs="Arial" w:eastAsia="Arial" w:hAnsi="Arial"/>
          <w:sz w:val="24"/>
          <w:szCs w:val="24"/>
          <w:color w:val="222222"/>
        </w:rPr>
      </w:pPr>
      <w:r>
        <w:rPr>
          <w:rFonts w:ascii="Times New Roman" w:cs="Times New Roman" w:eastAsia="Times New Roman" w:hAnsi="Times New Roman"/>
          <w:sz w:val="24"/>
          <w:szCs w:val="24"/>
          <w:color w:val="222222"/>
        </w:rPr>
        <w:t>Alkol tüketimi</w:t>
      </w:r>
    </w:p>
    <w:p>
      <w:pPr>
        <w:spacing w:after="0" w:line="152" w:lineRule="exact"/>
        <w:rPr>
          <w:rFonts w:ascii="Arial" w:cs="Arial" w:eastAsia="Arial" w:hAnsi="Arial"/>
          <w:sz w:val="24"/>
          <w:szCs w:val="24"/>
          <w:color w:val="222222"/>
        </w:rPr>
      </w:pPr>
    </w:p>
    <w:p>
      <w:pPr>
        <w:ind w:left="1560" w:hanging="364"/>
        <w:spacing w:after="0"/>
        <w:tabs>
          <w:tab w:leader="none" w:pos="1560" w:val="left"/>
        </w:tabs>
        <w:numPr>
          <w:ilvl w:val="0"/>
          <w:numId w:val="12"/>
        </w:numPr>
        <w:rPr>
          <w:rFonts w:ascii="Arial" w:cs="Arial" w:eastAsia="Arial" w:hAnsi="Arial"/>
          <w:sz w:val="24"/>
          <w:szCs w:val="24"/>
          <w:color w:val="222222"/>
        </w:rPr>
      </w:pPr>
      <w:r>
        <w:rPr>
          <w:rFonts w:ascii="Times New Roman" w:cs="Times New Roman" w:eastAsia="Times New Roman" w:hAnsi="Times New Roman"/>
          <w:sz w:val="24"/>
          <w:szCs w:val="24"/>
          <w:color w:val="222222"/>
        </w:rPr>
        <w:t>Cerrahi müdahaleler</w:t>
      </w:r>
    </w:p>
    <w:p>
      <w:pPr>
        <w:spacing w:after="0" w:line="154" w:lineRule="exact"/>
        <w:rPr>
          <w:rFonts w:ascii="Arial" w:cs="Arial" w:eastAsia="Arial" w:hAnsi="Arial"/>
          <w:sz w:val="24"/>
          <w:szCs w:val="24"/>
          <w:color w:val="222222"/>
        </w:rPr>
      </w:pPr>
    </w:p>
    <w:p>
      <w:pPr>
        <w:ind w:left="1560" w:hanging="364"/>
        <w:spacing w:after="0"/>
        <w:tabs>
          <w:tab w:leader="none" w:pos="1560" w:val="left"/>
        </w:tabs>
        <w:numPr>
          <w:ilvl w:val="0"/>
          <w:numId w:val="12"/>
        </w:numPr>
        <w:rPr>
          <w:rFonts w:ascii="Arial" w:cs="Arial" w:eastAsia="Arial" w:hAnsi="Arial"/>
          <w:sz w:val="24"/>
          <w:szCs w:val="24"/>
          <w:color w:val="222222"/>
        </w:rPr>
      </w:pPr>
      <w:r>
        <w:rPr>
          <w:rFonts w:ascii="Times New Roman" w:cs="Times New Roman" w:eastAsia="Times New Roman" w:hAnsi="Times New Roman"/>
          <w:sz w:val="24"/>
          <w:szCs w:val="24"/>
          <w:color w:val="222222"/>
        </w:rPr>
        <w:t>Enfeksiyonlar</w:t>
      </w:r>
    </w:p>
    <w:p>
      <w:pPr>
        <w:spacing w:after="0" w:line="154" w:lineRule="exact"/>
        <w:rPr>
          <w:rFonts w:ascii="Arial" w:cs="Arial" w:eastAsia="Arial" w:hAnsi="Arial"/>
          <w:sz w:val="24"/>
          <w:szCs w:val="24"/>
          <w:color w:val="222222"/>
        </w:rPr>
      </w:pPr>
    </w:p>
    <w:p>
      <w:pPr>
        <w:ind w:left="1560" w:hanging="364"/>
        <w:spacing w:after="0"/>
        <w:tabs>
          <w:tab w:leader="none" w:pos="1560" w:val="left"/>
        </w:tabs>
        <w:numPr>
          <w:ilvl w:val="0"/>
          <w:numId w:val="12"/>
        </w:numPr>
        <w:rPr>
          <w:rFonts w:ascii="Arial" w:cs="Arial" w:eastAsia="Arial" w:hAnsi="Arial"/>
          <w:sz w:val="24"/>
          <w:szCs w:val="24"/>
          <w:color w:val="222222"/>
        </w:rPr>
      </w:pPr>
      <w:r>
        <w:rPr>
          <w:rFonts w:ascii="Times New Roman" w:cs="Times New Roman" w:eastAsia="Times New Roman" w:hAnsi="Times New Roman"/>
          <w:sz w:val="24"/>
          <w:szCs w:val="24"/>
          <w:color w:val="222222"/>
        </w:rPr>
        <w:t>Hymenoptera (zar kanatlılar) ailesi tarafından sokulma</w:t>
      </w:r>
    </w:p>
    <w:p>
      <w:pPr>
        <w:spacing w:after="0" w:line="152" w:lineRule="exact"/>
        <w:rPr>
          <w:rFonts w:ascii="Arial" w:cs="Arial" w:eastAsia="Arial" w:hAnsi="Arial"/>
          <w:sz w:val="24"/>
          <w:szCs w:val="24"/>
          <w:color w:val="222222"/>
        </w:rPr>
      </w:pPr>
    </w:p>
    <w:p>
      <w:pPr>
        <w:ind w:left="1560" w:hanging="364"/>
        <w:spacing w:after="0"/>
        <w:tabs>
          <w:tab w:leader="none" w:pos="1560" w:val="left"/>
        </w:tabs>
        <w:numPr>
          <w:ilvl w:val="0"/>
          <w:numId w:val="12"/>
        </w:numPr>
        <w:rPr>
          <w:rFonts w:ascii="Arial" w:cs="Arial" w:eastAsia="Arial" w:hAnsi="Arial"/>
          <w:sz w:val="24"/>
          <w:szCs w:val="24"/>
          <w:color w:val="222222"/>
        </w:rPr>
      </w:pPr>
      <w:r>
        <w:rPr>
          <w:rFonts w:ascii="Times New Roman" w:cs="Times New Roman" w:eastAsia="Times New Roman" w:hAnsi="Times New Roman"/>
          <w:sz w:val="24"/>
          <w:szCs w:val="24"/>
          <w:color w:val="222222"/>
        </w:rPr>
        <w:t xml:space="preserve">Emosyonel stres, </w:t>
      </w:r>
      <w:r>
        <w:rPr>
          <w:rFonts w:ascii="Times New Roman" w:cs="Times New Roman" w:eastAsia="Times New Roman" w:hAnsi="Times New Roman"/>
          <w:sz w:val="24"/>
          <w:szCs w:val="24"/>
          <w:color w:val="222222"/>
        </w:rPr>
        <w:t>ciddi egzersiz şeklinde sıralanabilir</w:t>
      </w:r>
      <w:r>
        <w:rPr>
          <w:rFonts w:ascii="Times New Roman" w:cs="Times New Roman" w:eastAsia="Times New Roman" w:hAnsi="Times New Roman"/>
          <w:sz w:val="24"/>
          <w:szCs w:val="24"/>
          <w:color w:val="222222"/>
        </w:rPr>
        <w:t xml:space="preserve"> (126-128).</w:t>
      </w:r>
    </w:p>
    <w:p>
      <w:pPr>
        <w:sectPr>
          <w:pgSz w:w="11900" w:h="16838" w:orient="portrait"/>
          <w:cols w:equalWidth="0" w:num="1">
            <w:col w:w="9060"/>
          </w:cols>
          <w:pgMar w:left="1440" w:top="726" w:right="1406" w:bottom="1440" w:gutter="0" w:footer="0" w:header="0"/>
        </w:sectPr>
      </w:pPr>
    </w:p>
    <w:bookmarkStart w:id="27" w:name="page28"/>
    <w:bookmarkEnd w:id="27"/>
    <w:p>
      <w:pPr>
        <w:ind w:left="8840"/>
        <w:spacing w:after="0"/>
        <w:rPr>
          <w:sz w:val="20"/>
          <w:szCs w:val="20"/>
          <w:color w:val="auto"/>
        </w:rPr>
      </w:pPr>
      <w:r>
        <w:rPr>
          <w:rFonts w:ascii="Calibri" w:cs="Calibri" w:eastAsia="Calibri" w:hAnsi="Calibri"/>
          <w:sz w:val="21"/>
          <w:szCs w:val="21"/>
          <w:color w:val="auto"/>
        </w:rPr>
        <w:t>17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222222"/>
        </w:rPr>
        <w:t>Doku ve Organ Sistemi İnfiltrasyonu Sonucu Gelişen Semptom ve Bulgular</w:t>
      </w:r>
      <w:r>
        <w:rPr>
          <w:rFonts w:ascii="Times New Roman" w:cs="Times New Roman" w:eastAsia="Times New Roman" w:hAnsi="Times New Roman"/>
          <w:sz w:val="24"/>
          <w:szCs w:val="24"/>
          <w:color w:val="222222"/>
        </w:rPr>
        <w:t>: SM</w:t>
      </w:r>
    </w:p>
    <w:p>
      <w:pPr>
        <w:spacing w:after="0" w:line="151" w:lineRule="exact"/>
        <w:rPr>
          <w:sz w:val="20"/>
          <w:szCs w:val="20"/>
          <w:color w:val="auto"/>
        </w:rPr>
      </w:pPr>
    </w:p>
    <w:p>
      <w:pPr>
        <w:jc w:val="both"/>
        <w:ind w:left="840"/>
        <w:spacing w:after="0" w:line="348" w:lineRule="auto"/>
        <w:rPr>
          <w:sz w:val="20"/>
          <w:szCs w:val="20"/>
          <w:color w:val="auto"/>
        </w:rPr>
      </w:pPr>
      <w:r>
        <w:rPr>
          <w:rFonts w:ascii="Times New Roman" w:cs="Times New Roman" w:eastAsia="Times New Roman" w:hAnsi="Times New Roman"/>
          <w:sz w:val="24"/>
          <w:szCs w:val="24"/>
          <w:color w:val="222222"/>
        </w:rPr>
        <w:t xml:space="preserve">hastalarında cilt dışında en sık tutulan organlar </w:t>
      </w:r>
      <w:r>
        <w:rPr>
          <w:rFonts w:ascii="Times New Roman" w:cs="Times New Roman" w:eastAsia="Times New Roman" w:hAnsi="Times New Roman"/>
          <w:sz w:val="24"/>
          <w:szCs w:val="24"/>
          <w:color w:val="222222"/>
        </w:rPr>
        <w:t>kemik i</w:t>
      </w:r>
      <w:r>
        <w:rPr>
          <w:rFonts w:ascii="Times New Roman" w:cs="Times New Roman" w:eastAsia="Times New Roman" w:hAnsi="Times New Roman"/>
          <w:sz w:val="24"/>
          <w:szCs w:val="24"/>
          <w:color w:val="222222"/>
        </w:rPr>
        <w:t xml:space="preserve">liği, GİS, karaciğer, dalak, </w:t>
      </w:r>
      <w:r>
        <w:rPr>
          <w:rFonts w:ascii="Times New Roman" w:cs="Times New Roman" w:eastAsia="Times New Roman" w:hAnsi="Times New Roman"/>
          <w:sz w:val="24"/>
          <w:szCs w:val="24"/>
          <w:color w:val="222222"/>
        </w:rPr>
        <w:t>lenf nodu ve iskelet sistemidir.</w:t>
      </w:r>
    </w:p>
    <w:p>
      <w:pPr>
        <w:spacing w:after="0" w:line="186" w:lineRule="exact"/>
        <w:rPr>
          <w:sz w:val="20"/>
          <w:szCs w:val="20"/>
          <w:color w:val="auto"/>
        </w:rPr>
      </w:pPr>
    </w:p>
    <w:p>
      <w:pPr>
        <w:jc w:val="both"/>
        <w:ind w:left="840" w:firstLine="708"/>
        <w:spacing w:after="0" w:line="358" w:lineRule="auto"/>
        <w:rPr>
          <w:sz w:val="20"/>
          <w:szCs w:val="20"/>
          <w:color w:val="auto"/>
        </w:rPr>
      </w:pPr>
      <w:r>
        <w:rPr>
          <w:rFonts w:ascii="Times New Roman" w:cs="Times New Roman" w:eastAsia="Times New Roman" w:hAnsi="Times New Roman"/>
          <w:sz w:val="24"/>
          <w:szCs w:val="24"/>
          <w:color w:val="222222"/>
        </w:rPr>
        <w:t xml:space="preserve">Kemik iliği tutulumunda derin sitopeniler görülebilir. Kemik iliğinde fibrozis artabilir veya eşlik eden hastalığın etkileri gözlenebilir. </w:t>
      </w:r>
      <w:r>
        <w:rPr>
          <w:rFonts w:ascii="Times New Roman" w:cs="Times New Roman" w:eastAsia="Times New Roman" w:hAnsi="Times New Roman"/>
          <w:sz w:val="24"/>
          <w:szCs w:val="24"/>
          <w:color w:val="222222"/>
        </w:rPr>
        <w:t>Özellikle SM-AHN ile takipli</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vakalarda monositoz ve eozinofili saptanabilir (129). Hastalarda ciddi kanamalar </w:t>
      </w:r>
      <w:r>
        <w:rPr>
          <w:rFonts w:ascii="Times New Roman" w:cs="Times New Roman" w:eastAsia="Times New Roman" w:hAnsi="Times New Roman"/>
          <w:sz w:val="24"/>
          <w:szCs w:val="24"/>
          <w:color w:val="222222"/>
        </w:rPr>
        <w:t xml:space="preserve">görülebilmektedir. Bu kanamaların nedeni K vitamini malasorbsiyonu, kemik iliği infiltrasyonuna bağlı trombositopeni ve triptaz tarafından fibrinojenin yıkılması </w:t>
      </w:r>
      <w:r>
        <w:rPr>
          <w:rFonts w:ascii="Times New Roman" w:cs="Times New Roman" w:eastAsia="Times New Roman" w:hAnsi="Times New Roman"/>
          <w:sz w:val="24"/>
          <w:szCs w:val="24"/>
          <w:color w:val="222222"/>
        </w:rPr>
        <w:t>olabilir(130, 131).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-149225</wp:posOffset>
            </wp:positionV>
            <wp:extent cx="4699000" cy="18542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55" w:lineRule="exact"/>
        <w:rPr>
          <w:sz w:val="20"/>
          <w:szCs w:val="20"/>
          <w:color w:val="auto"/>
        </w:rPr>
      </w:pPr>
    </w:p>
    <w:p>
      <w:pPr>
        <w:jc w:val="both"/>
        <w:ind w:left="840" w:firstLine="708"/>
        <w:spacing w:after="0" w:line="357" w:lineRule="auto"/>
        <w:rPr>
          <w:sz w:val="20"/>
          <w:szCs w:val="20"/>
          <w:color w:val="auto"/>
        </w:rPr>
      </w:pPr>
      <w:r>
        <w:rPr>
          <w:rFonts w:ascii="Times New Roman" w:cs="Times New Roman" w:eastAsia="Times New Roman" w:hAnsi="Times New Roman"/>
          <w:sz w:val="24"/>
          <w:szCs w:val="24"/>
          <w:color w:val="222222"/>
        </w:rPr>
        <w:t xml:space="preserve">Hastalarda tümör yükü arttıkça ve agresiflik arttıkça </w:t>
      </w:r>
      <w:r>
        <w:rPr>
          <w:rFonts w:ascii="Times New Roman" w:cs="Times New Roman" w:eastAsia="Times New Roman" w:hAnsi="Times New Roman"/>
          <w:sz w:val="24"/>
          <w:szCs w:val="24"/>
          <w:color w:val="222222"/>
        </w:rPr>
        <w:t>HSM ve LAP görülme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ihtimali artar (132). Kara</w:t>
      </w:r>
      <w:r>
        <w:rPr>
          <w:rFonts w:ascii="Times New Roman" w:cs="Times New Roman" w:eastAsia="Times New Roman" w:hAnsi="Times New Roman"/>
          <w:sz w:val="24"/>
          <w:szCs w:val="24"/>
          <w:color w:val="222222"/>
        </w:rPr>
        <w:t>ciğer tutulumu assit,</w:t>
      </w:r>
      <w:r>
        <w:rPr>
          <w:rFonts w:ascii="Times New Roman" w:cs="Times New Roman" w:eastAsia="Times New Roman" w:hAnsi="Times New Roman"/>
          <w:sz w:val="24"/>
          <w:szCs w:val="24"/>
          <w:color w:val="222222"/>
        </w:rPr>
        <w:t xml:space="preserve"> portal hipertansiyon ve KCFT </w:t>
      </w:r>
      <w:r>
        <w:rPr>
          <w:rFonts w:ascii="Times New Roman" w:cs="Times New Roman" w:eastAsia="Times New Roman" w:hAnsi="Times New Roman"/>
          <w:sz w:val="24"/>
          <w:szCs w:val="24"/>
          <w:color w:val="222222"/>
        </w:rPr>
        <w:t xml:space="preserve">bozukluğu ile karakterizedir </w:t>
      </w:r>
      <w:r>
        <w:rPr>
          <w:rFonts w:ascii="Times New Roman" w:cs="Times New Roman" w:eastAsia="Times New Roman" w:hAnsi="Times New Roman"/>
          <w:sz w:val="24"/>
          <w:szCs w:val="24"/>
          <w:color w:val="222222"/>
        </w:rPr>
        <w:t>(133).Dalak tutulumunda splenomegali ve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hipersplenizm görülür (134). Splenomegali bazen ciddi boyutlarda olabilir ve sol üst </w:t>
      </w:r>
      <w:r>
        <w:rPr>
          <w:rFonts w:ascii="Times New Roman" w:cs="Times New Roman" w:eastAsia="Times New Roman" w:hAnsi="Times New Roman"/>
          <w:sz w:val="24"/>
          <w:szCs w:val="24"/>
          <w:color w:val="222222"/>
        </w:rPr>
        <w:t>kadran ağrısı, batında distansiyon ve dolgunluk hissine neden olabilir.</w:t>
      </w:r>
    </w:p>
    <w:p>
      <w:pPr>
        <w:spacing w:after="0" w:line="177" w:lineRule="exact"/>
        <w:rPr>
          <w:sz w:val="20"/>
          <w:szCs w:val="20"/>
          <w:color w:val="auto"/>
        </w:rPr>
      </w:pPr>
    </w:p>
    <w:p>
      <w:pPr>
        <w:jc w:val="both"/>
        <w:ind w:left="840" w:firstLine="708"/>
        <w:spacing w:after="0" w:line="348" w:lineRule="auto"/>
        <w:rPr>
          <w:sz w:val="20"/>
          <w:szCs w:val="20"/>
          <w:color w:val="auto"/>
        </w:rPr>
      </w:pPr>
      <w:r>
        <w:rPr>
          <w:rFonts w:ascii="Times New Roman" w:cs="Times New Roman" w:eastAsia="Times New Roman" w:hAnsi="Times New Roman"/>
          <w:sz w:val="24"/>
          <w:szCs w:val="24"/>
          <w:color w:val="222222"/>
        </w:rPr>
        <w:t xml:space="preserve">GİS tutulumunda steatore, malabsorbsiyon, kilo kaybı ve </w:t>
      </w:r>
      <w:r>
        <w:rPr>
          <w:rFonts w:ascii="Times New Roman" w:cs="Times New Roman" w:eastAsia="Times New Roman" w:hAnsi="Times New Roman"/>
          <w:sz w:val="24"/>
          <w:szCs w:val="24"/>
          <w:color w:val="222222"/>
        </w:rPr>
        <w:t>hipoalbuminemi</w:t>
      </w:r>
      <w:r>
        <w:rPr>
          <w:rFonts w:ascii="Times New Roman" w:cs="Times New Roman" w:eastAsia="Times New Roman" w:hAnsi="Times New Roman"/>
          <w:sz w:val="24"/>
          <w:szCs w:val="24"/>
          <w:color w:val="222222"/>
        </w:rPr>
        <w:t xml:space="preserve"> sıktır </w:t>
      </w:r>
      <w:r>
        <w:rPr>
          <w:rFonts w:ascii="Times New Roman" w:cs="Times New Roman" w:eastAsia="Times New Roman" w:hAnsi="Times New Roman"/>
          <w:sz w:val="24"/>
          <w:szCs w:val="24"/>
          <w:color w:val="222222"/>
        </w:rPr>
        <w:t>(135).</w:t>
      </w:r>
    </w:p>
    <w:p>
      <w:pPr>
        <w:spacing w:after="0" w:line="189" w:lineRule="exact"/>
        <w:rPr>
          <w:sz w:val="20"/>
          <w:szCs w:val="20"/>
          <w:color w:val="auto"/>
        </w:rPr>
      </w:pPr>
    </w:p>
    <w:p>
      <w:pPr>
        <w:jc w:val="both"/>
        <w:ind w:left="840" w:firstLine="708"/>
        <w:spacing w:after="0" w:line="348" w:lineRule="auto"/>
        <w:rPr>
          <w:sz w:val="20"/>
          <w:szCs w:val="20"/>
          <w:color w:val="auto"/>
        </w:rPr>
      </w:pPr>
      <w:r>
        <w:rPr>
          <w:rFonts w:ascii="Times New Roman" w:cs="Times New Roman" w:eastAsia="Times New Roman" w:hAnsi="Times New Roman"/>
          <w:sz w:val="24"/>
          <w:szCs w:val="24"/>
          <w:color w:val="222222"/>
        </w:rPr>
        <w:t>Kemik</w:t>
      </w:r>
      <w:r>
        <w:rPr>
          <w:rFonts w:ascii="Times New Roman" w:cs="Times New Roman" w:eastAsia="Times New Roman" w:hAnsi="Times New Roman"/>
          <w:sz w:val="24"/>
          <w:szCs w:val="24"/>
          <w:color w:val="222222"/>
        </w:rPr>
        <w:t>te litik ve sklerotik lezyonlara neden olabilir ve patolojik kırıklara yol</w:t>
      </w:r>
      <w:r>
        <w:rPr>
          <w:rFonts w:ascii="Times New Roman" w:cs="Times New Roman" w:eastAsia="Times New Roman" w:hAnsi="Times New Roman"/>
          <w:sz w:val="24"/>
          <w:szCs w:val="24"/>
          <w:color w:val="222222"/>
        </w:rPr>
        <w:t xml:space="preserve"> açabilir.</w:t>
      </w:r>
    </w:p>
    <w:p>
      <w:pPr>
        <w:spacing w:after="0" w:line="17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222222"/>
        </w:rPr>
        <w:t>2.2.5 Tedavi</w:t>
      </w:r>
    </w:p>
    <w:p>
      <w:pPr>
        <w:spacing w:after="0" w:line="29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222222"/>
        </w:rPr>
        <w:t xml:space="preserve">SM </w:t>
      </w:r>
      <w:r>
        <w:rPr>
          <w:rFonts w:ascii="Times New Roman" w:cs="Times New Roman" w:eastAsia="Times New Roman" w:hAnsi="Times New Roman"/>
          <w:sz w:val="24"/>
          <w:szCs w:val="24"/>
          <w:color w:val="222222"/>
        </w:rPr>
        <w:t>hastalarında tedavi</w:t>
      </w:r>
      <w:r>
        <w:rPr>
          <w:rFonts w:ascii="Times New Roman" w:cs="Times New Roman" w:eastAsia="Times New Roman" w:hAnsi="Times New Roman"/>
          <w:sz w:val="24"/>
          <w:szCs w:val="24"/>
          <w:color w:val="222222"/>
        </w:rPr>
        <w:t xml:space="preserve"> alt tipe </w:t>
      </w:r>
      <w:r>
        <w:rPr>
          <w:rFonts w:ascii="Times New Roman" w:cs="Times New Roman" w:eastAsia="Times New Roman" w:hAnsi="Times New Roman"/>
          <w:sz w:val="24"/>
          <w:szCs w:val="24"/>
          <w:color w:val="222222"/>
        </w:rPr>
        <w:t>göre değişmektedir.</w:t>
      </w:r>
    </w:p>
    <w:p>
      <w:pPr>
        <w:spacing w:after="0" w:line="310" w:lineRule="exact"/>
        <w:rPr>
          <w:sz w:val="20"/>
          <w:szCs w:val="20"/>
          <w:color w:val="auto"/>
        </w:rPr>
      </w:pPr>
    </w:p>
    <w:p>
      <w:pPr>
        <w:jc w:val="both"/>
        <w:ind w:left="840"/>
        <w:spacing w:after="0" w:line="354" w:lineRule="auto"/>
        <w:rPr>
          <w:sz w:val="20"/>
          <w:szCs w:val="20"/>
          <w:color w:val="auto"/>
        </w:rPr>
      </w:pPr>
      <w:r>
        <w:rPr>
          <w:rFonts w:ascii="Times New Roman" w:cs="Times New Roman" w:eastAsia="Times New Roman" w:hAnsi="Times New Roman"/>
          <w:sz w:val="24"/>
          <w:szCs w:val="24"/>
          <w:color w:val="222222"/>
        </w:rPr>
        <w:t xml:space="preserve">İSM ve </w:t>
      </w:r>
      <w:r>
        <w:rPr>
          <w:rFonts w:ascii="Times New Roman" w:cs="Times New Roman" w:eastAsia="Times New Roman" w:hAnsi="Times New Roman"/>
          <w:sz w:val="24"/>
          <w:szCs w:val="24"/>
          <w:color w:val="222222"/>
        </w:rPr>
        <w:t>SSM ile takipli hastalarda destek tedavisi, semptom yönetimi ve takip ön</w:t>
      </w:r>
      <w:r>
        <w:rPr>
          <w:rFonts w:ascii="Times New Roman" w:cs="Times New Roman" w:eastAsia="Times New Roman" w:hAnsi="Times New Roman"/>
          <w:sz w:val="24"/>
          <w:szCs w:val="24"/>
          <w:color w:val="222222"/>
        </w:rPr>
        <w:t xml:space="preserve"> plandadır. ASM, SM</w:t>
      </w:r>
      <w:r>
        <w:rPr>
          <w:rFonts w:ascii="Times New Roman" w:cs="Times New Roman" w:eastAsia="Times New Roman" w:hAnsi="Times New Roman"/>
          <w:sz w:val="24"/>
          <w:szCs w:val="24"/>
          <w:color w:val="222222"/>
        </w:rPr>
        <w:t>-AHN ve MHL</w:t>
      </w:r>
      <w:r>
        <w:rPr>
          <w:rFonts w:ascii="Times New Roman" w:cs="Times New Roman" w:eastAsia="Times New Roman" w:hAnsi="Times New Roman"/>
          <w:sz w:val="24"/>
          <w:szCs w:val="24"/>
          <w:color w:val="222222"/>
        </w:rPr>
        <w:t xml:space="preserve"> ile takipli hastalara destek tedavisinin yanında </w:t>
      </w:r>
      <w:r>
        <w:rPr>
          <w:rFonts w:ascii="Times New Roman" w:cs="Times New Roman" w:eastAsia="Times New Roman" w:hAnsi="Times New Roman"/>
          <w:sz w:val="24"/>
          <w:szCs w:val="24"/>
          <w:color w:val="222222"/>
        </w:rPr>
        <w:t>mutlaka sitoredüktif tedavi verilmelidir.</w:t>
      </w:r>
    </w:p>
    <w:p>
      <w:pPr>
        <w:spacing w:after="0" w:line="171"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b w:val="1"/>
          <w:bCs w:val="1"/>
          <w:color w:val="222222"/>
        </w:rPr>
        <w:t>2.2.5.1 Destek Tedavileri ve Genel Önlemler</w:t>
      </w:r>
    </w:p>
    <w:p>
      <w:pPr>
        <w:spacing w:after="0" w:line="310" w:lineRule="exact"/>
        <w:rPr>
          <w:sz w:val="20"/>
          <w:szCs w:val="20"/>
          <w:color w:val="auto"/>
        </w:rPr>
      </w:pPr>
    </w:p>
    <w:p>
      <w:pPr>
        <w:jc w:val="both"/>
        <w:ind w:left="840" w:firstLine="708"/>
        <w:spacing w:after="0" w:line="354" w:lineRule="auto"/>
        <w:rPr>
          <w:sz w:val="20"/>
          <w:szCs w:val="20"/>
          <w:color w:val="auto"/>
        </w:rPr>
      </w:pPr>
      <w:r>
        <w:rPr>
          <w:rFonts w:ascii="Times New Roman" w:cs="Times New Roman" w:eastAsia="Times New Roman" w:hAnsi="Times New Roman"/>
          <w:sz w:val="24"/>
          <w:szCs w:val="24"/>
          <w:color w:val="222222"/>
        </w:rPr>
        <w:t xml:space="preserve">SM </w:t>
      </w:r>
      <w:r>
        <w:rPr>
          <w:rFonts w:ascii="Times New Roman" w:cs="Times New Roman" w:eastAsia="Times New Roman" w:hAnsi="Times New Roman"/>
          <w:sz w:val="24"/>
          <w:szCs w:val="24"/>
          <w:color w:val="222222"/>
        </w:rPr>
        <w:t>tanısı alan hastaların tamamına enjekte edilebilir</w:t>
      </w:r>
      <w:r>
        <w:rPr>
          <w:rFonts w:ascii="Times New Roman" w:cs="Times New Roman" w:eastAsia="Times New Roman" w:hAnsi="Times New Roman"/>
          <w:sz w:val="24"/>
          <w:szCs w:val="24"/>
          <w:color w:val="222222"/>
        </w:rPr>
        <w:t xml:space="preserve"> epinefrin reçete edilmelidir. Bu hastalar her an tetiklenebilen mast hücre aktivasyonu nedenli epizodik alerjik reaksiyonla</w:t>
      </w:r>
      <w:r>
        <w:rPr>
          <w:rFonts w:ascii="Times New Roman" w:cs="Times New Roman" w:eastAsia="Times New Roman" w:hAnsi="Times New Roman"/>
          <w:sz w:val="24"/>
          <w:szCs w:val="24"/>
          <w:color w:val="222222"/>
        </w:rPr>
        <w:t>rı deneyimleyebilir</w:t>
      </w:r>
      <w:r>
        <w:rPr>
          <w:rFonts w:ascii="Times New Roman" w:cs="Times New Roman" w:eastAsia="Times New Roman" w:hAnsi="Times New Roman"/>
          <w:sz w:val="24"/>
          <w:szCs w:val="24"/>
          <w:color w:val="222222"/>
        </w:rPr>
        <w:t>. Hastalara mutlaka mast hücre</w:t>
      </w:r>
    </w:p>
    <w:p>
      <w:pPr>
        <w:sectPr>
          <w:pgSz w:w="11900" w:h="16838" w:orient="portrait"/>
          <w:cols w:equalWidth="0" w:num="1">
            <w:col w:w="9060"/>
          </w:cols>
          <w:pgMar w:left="1440" w:top="726" w:right="1406" w:bottom="1440" w:gutter="0" w:footer="0" w:header="0"/>
        </w:sectPr>
      </w:pPr>
    </w:p>
    <w:bookmarkStart w:id="28" w:name="page29"/>
    <w:bookmarkEnd w:id="28"/>
    <w:p>
      <w:pPr>
        <w:jc w:val="right"/>
        <w:spacing w:after="0"/>
        <w:rPr>
          <w:sz w:val="20"/>
          <w:szCs w:val="20"/>
          <w:color w:val="auto"/>
        </w:rPr>
      </w:pPr>
      <w:r>
        <w:rPr>
          <w:rFonts w:ascii="Calibri" w:cs="Calibri" w:eastAsia="Calibri" w:hAnsi="Calibri"/>
          <w:sz w:val="22"/>
          <w:szCs w:val="22"/>
          <w:color w:val="auto"/>
        </w:rPr>
        <w:t>18</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left="840"/>
        <w:spacing w:after="0" w:line="348" w:lineRule="auto"/>
        <w:rPr>
          <w:sz w:val="20"/>
          <w:szCs w:val="20"/>
          <w:color w:val="auto"/>
        </w:rPr>
      </w:pPr>
      <w:r>
        <w:rPr>
          <w:rFonts w:ascii="Times New Roman" w:cs="Times New Roman" w:eastAsia="Times New Roman" w:hAnsi="Times New Roman"/>
          <w:sz w:val="24"/>
          <w:szCs w:val="24"/>
          <w:color w:val="222222"/>
        </w:rPr>
        <w:t xml:space="preserve">aktivasyon semptomları anlatılmalı ve tetikleyici faktörlerden kaçınması gerektiği </w:t>
      </w:r>
      <w:r>
        <w:rPr>
          <w:rFonts w:ascii="Times New Roman" w:cs="Times New Roman" w:eastAsia="Times New Roman" w:hAnsi="Times New Roman"/>
          <w:sz w:val="24"/>
          <w:szCs w:val="24"/>
          <w:color w:val="222222"/>
        </w:rPr>
        <w:t>belirtilmelidir.</w:t>
      </w:r>
    </w:p>
    <w:p>
      <w:pPr>
        <w:spacing w:after="0" w:line="188" w:lineRule="exact"/>
        <w:rPr>
          <w:sz w:val="20"/>
          <w:szCs w:val="20"/>
          <w:color w:val="auto"/>
        </w:rPr>
      </w:pPr>
    </w:p>
    <w:p>
      <w:pPr>
        <w:jc w:val="both"/>
        <w:ind w:left="840" w:firstLine="708"/>
        <w:spacing w:after="0" w:line="357" w:lineRule="auto"/>
        <w:rPr>
          <w:sz w:val="20"/>
          <w:szCs w:val="20"/>
          <w:color w:val="auto"/>
        </w:rPr>
      </w:pPr>
      <w:r>
        <w:rPr>
          <w:rFonts w:ascii="Times New Roman" w:cs="Times New Roman" w:eastAsia="Times New Roman" w:hAnsi="Times New Roman"/>
          <w:sz w:val="24"/>
          <w:szCs w:val="24"/>
          <w:color w:val="222222"/>
        </w:rPr>
        <w:t xml:space="preserve">SM </w:t>
      </w:r>
      <w:r>
        <w:rPr>
          <w:rFonts w:ascii="Times New Roman" w:cs="Times New Roman" w:eastAsia="Times New Roman" w:hAnsi="Times New Roman"/>
          <w:sz w:val="24"/>
          <w:szCs w:val="24"/>
          <w:color w:val="222222"/>
        </w:rPr>
        <w:t>hastalarında kaşıntı ve yüzde kızarma (flaşing) sık görülür. Bu hastalarda</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birinci sıra tedavide H1 reseptör antagonistleri kullanılır. Birinci sıra tedavilerden yanıt alınamayan veya yan etki nedeniyle kullanılamayan hastalara ikinci sıra tedavi olarak lökotrien antagonistleri verilebilir. Yüzde kızarma atakları için aspirin iyi bir tercihtir ancak aspirin ve diğer NSAİ grubu ilaçların mast hücrelerini aktive edebildikleri akılda tutulmalıdır. İlk üç sıra tedaviden yanıt alınamayan cilt tutulumlu </w:t>
      </w:r>
      <w:r>
        <w:rPr>
          <w:rFonts w:ascii="Times New Roman" w:cs="Times New Roman" w:eastAsia="Times New Roman" w:hAnsi="Times New Roman"/>
          <w:sz w:val="24"/>
          <w:szCs w:val="24"/>
          <w:color w:val="222222"/>
        </w:rPr>
        <w:t>vakalarda PUVA ya da omalizumab (136) tercih edilebilir(137).</w:t>
      </w:r>
    </w:p>
    <w:p>
      <w:pPr>
        <w:spacing w:after="0" w:line="185" w:lineRule="exact"/>
        <w:rPr>
          <w:sz w:val="20"/>
          <w:szCs w:val="20"/>
          <w:color w:val="auto"/>
        </w:rPr>
      </w:pPr>
    </w:p>
    <w:p>
      <w:pPr>
        <w:jc w:val="both"/>
        <w:ind w:left="840" w:firstLine="708"/>
        <w:spacing w:after="0" w:line="357" w:lineRule="auto"/>
        <w:rPr>
          <w:sz w:val="20"/>
          <w:szCs w:val="20"/>
          <w:color w:val="auto"/>
        </w:rPr>
      </w:pPr>
      <w:r>
        <w:rPr>
          <w:rFonts w:ascii="Times New Roman" w:cs="Times New Roman" w:eastAsia="Times New Roman" w:hAnsi="Times New Roman"/>
          <w:sz w:val="24"/>
          <w:szCs w:val="24"/>
          <w:color w:val="222222"/>
        </w:rPr>
        <w:t>GİS tutulumu olan semptomatik tekrarlayan kramp, dispepsi, bulantı</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 xml:space="preserve">kusması olan hastalara ilk olarak H2 reseptör blokerleri verilmelidir. İlk sıra tedaviye rağmen halen yakınmaları devam eden hastalara ek olarak PPI başlanabilir. H2 reseptör </w:t>
      </w:r>
      <w:r>
        <w:rPr>
          <w:rFonts w:ascii="Times New Roman" w:cs="Times New Roman" w:eastAsia="Times New Roman" w:hAnsi="Times New Roman"/>
          <w:sz w:val="24"/>
          <w:szCs w:val="24"/>
          <w:color w:val="222222"/>
        </w:rPr>
        <w:t xml:space="preserve">blokeri ve PPI </w:t>
      </w:r>
      <w:r>
        <w:rPr>
          <w:rFonts w:ascii="Times New Roman" w:cs="Times New Roman" w:eastAsia="Times New Roman" w:hAnsi="Times New Roman"/>
          <w:sz w:val="24"/>
          <w:szCs w:val="24"/>
          <w:color w:val="222222"/>
        </w:rPr>
        <w:t>almasına rağmen semptomatik olan GİS tutulumu olan hastalara</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sırasıyla </w:t>
      </w:r>
      <w:r>
        <w:rPr>
          <w:rFonts w:ascii="Times New Roman" w:cs="Times New Roman" w:eastAsia="Times New Roman" w:hAnsi="Times New Roman"/>
          <w:sz w:val="24"/>
          <w:szCs w:val="24"/>
          <w:color w:val="222222"/>
        </w:rPr>
        <w:t>sodyum kromolin ve prednison tedavileri verilebilir (137).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-1199515</wp:posOffset>
            </wp:positionV>
            <wp:extent cx="4699000" cy="18542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57" w:lineRule="exact"/>
        <w:rPr>
          <w:sz w:val="20"/>
          <w:szCs w:val="20"/>
          <w:color w:val="auto"/>
        </w:rPr>
      </w:pPr>
    </w:p>
    <w:p>
      <w:pPr>
        <w:jc w:val="both"/>
        <w:ind w:left="840" w:firstLine="708"/>
        <w:spacing w:after="0" w:line="354" w:lineRule="auto"/>
        <w:rPr>
          <w:sz w:val="20"/>
          <w:szCs w:val="20"/>
          <w:color w:val="auto"/>
        </w:rPr>
      </w:pPr>
      <w:r>
        <w:rPr>
          <w:rFonts w:ascii="Times New Roman" w:cs="Times New Roman" w:eastAsia="Times New Roman" w:hAnsi="Times New Roman"/>
          <w:sz w:val="24"/>
          <w:szCs w:val="24"/>
          <w:color w:val="222222"/>
        </w:rPr>
        <w:t xml:space="preserve">Baş ağrısı, depresyon ve kognitif disfonksiyonu olan ve bu semptomların mast hücre mediatörü aracılı olduğu düşünülen hastalara H1 ve H2 reseptör blokeri </w:t>
      </w:r>
      <w:r>
        <w:rPr>
          <w:rFonts w:ascii="Times New Roman" w:cs="Times New Roman" w:eastAsia="Times New Roman" w:hAnsi="Times New Roman"/>
          <w:sz w:val="24"/>
          <w:szCs w:val="24"/>
          <w:color w:val="222222"/>
        </w:rPr>
        <w:t>ve sodyum kromolin tedavisi verilebilir (137, 138).</w:t>
      </w:r>
    </w:p>
    <w:p>
      <w:pPr>
        <w:spacing w:after="0" w:line="181" w:lineRule="exact"/>
        <w:rPr>
          <w:sz w:val="20"/>
          <w:szCs w:val="20"/>
          <w:color w:val="auto"/>
        </w:rPr>
      </w:pPr>
    </w:p>
    <w:p>
      <w:pPr>
        <w:jc w:val="both"/>
        <w:ind w:left="840" w:firstLine="708"/>
        <w:spacing w:after="0" w:line="358" w:lineRule="auto"/>
        <w:rPr>
          <w:sz w:val="20"/>
          <w:szCs w:val="20"/>
          <w:color w:val="auto"/>
        </w:rPr>
      </w:pPr>
      <w:r>
        <w:rPr>
          <w:rFonts w:ascii="Times New Roman" w:cs="Times New Roman" w:eastAsia="Times New Roman" w:hAnsi="Times New Roman"/>
          <w:sz w:val="24"/>
          <w:szCs w:val="24"/>
          <w:color w:val="222222"/>
        </w:rPr>
        <w:t xml:space="preserve">Rekürren anafilaksi ve hipotansiyonu olan hastalara mutlaka epipen (enjekte edilebilir </w:t>
      </w:r>
      <w:r>
        <w:rPr>
          <w:rFonts w:ascii="Times New Roman" w:cs="Times New Roman" w:eastAsia="Times New Roman" w:hAnsi="Times New Roman"/>
          <w:sz w:val="24"/>
          <w:szCs w:val="24"/>
          <w:color w:val="222222"/>
        </w:rPr>
        <w:t>epinefrin) reçete edilmelidir. Atakları sık tekrarlayan hastalara düzenli</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olarak H1 ve H2 reseptör blokeri başlanmalıdır bu tedaviye rağmen ataklar tekrarlıyorsa 0,5</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 xml:space="preserve">1 mg/kg dozundan prednizon başlanmalıdır. Tüm bu önleyici tedavilere rağmen hastanın rekürren hipotansif atakları ve anafilaksileri mevcutsa </w:t>
      </w:r>
      <w:r>
        <w:rPr>
          <w:rFonts w:ascii="Times New Roman" w:cs="Times New Roman" w:eastAsia="Times New Roman" w:hAnsi="Times New Roman"/>
          <w:sz w:val="24"/>
          <w:szCs w:val="24"/>
          <w:color w:val="222222"/>
        </w:rPr>
        <w:t xml:space="preserve">sitoredüktif tedaviye geçilmesi önerilir. Sitoredüktif tedavi olarak ilk etapta IFN-alfa, pegile IFN-alfa ve kladribin önerilmektedir (137). Bu hastalarda omalizumab ile de </w:t>
      </w:r>
      <w:r>
        <w:rPr>
          <w:rFonts w:ascii="Times New Roman" w:cs="Times New Roman" w:eastAsia="Times New Roman" w:hAnsi="Times New Roman"/>
          <w:sz w:val="24"/>
          <w:szCs w:val="24"/>
          <w:color w:val="222222"/>
        </w:rPr>
        <w:t>başarılı sonuçlar alınmıştır</w:t>
      </w:r>
      <w:r>
        <w:rPr>
          <w:rFonts w:ascii="Times New Roman" w:cs="Times New Roman" w:eastAsia="Times New Roman" w:hAnsi="Times New Roman"/>
          <w:sz w:val="24"/>
          <w:szCs w:val="24"/>
          <w:color w:val="222222"/>
        </w:rPr>
        <w:t>(136, 139).</w:t>
      </w:r>
    </w:p>
    <w:p>
      <w:pPr>
        <w:spacing w:after="0" w:line="178" w:lineRule="exact"/>
        <w:rPr>
          <w:sz w:val="20"/>
          <w:szCs w:val="20"/>
          <w:color w:val="auto"/>
        </w:rPr>
      </w:pPr>
    </w:p>
    <w:p>
      <w:pPr>
        <w:jc w:val="both"/>
        <w:ind w:left="840" w:firstLine="708"/>
        <w:spacing w:after="0" w:line="357" w:lineRule="auto"/>
        <w:rPr>
          <w:sz w:val="20"/>
          <w:szCs w:val="20"/>
          <w:color w:val="auto"/>
        </w:rPr>
      </w:pPr>
      <w:r>
        <w:rPr>
          <w:rFonts w:ascii="Times New Roman" w:cs="Times New Roman" w:eastAsia="Times New Roman" w:hAnsi="Times New Roman"/>
          <w:sz w:val="24"/>
          <w:szCs w:val="24"/>
          <w:color w:val="222222"/>
        </w:rPr>
        <w:t xml:space="preserve">Osteoporoz ve osteopenisi olan hastalarda tedavi, SM ile takipli olmayan </w:t>
      </w:r>
      <w:r>
        <w:rPr>
          <w:rFonts w:ascii="Times New Roman" w:cs="Times New Roman" w:eastAsia="Times New Roman" w:hAnsi="Times New Roman"/>
          <w:sz w:val="24"/>
          <w:szCs w:val="24"/>
          <w:color w:val="222222"/>
        </w:rPr>
        <w:t xml:space="preserve">hastaların yönetimi ile aynıdır. Osteopenisi olan vakalara kalsiyum ve </w:t>
      </w:r>
      <w:r>
        <w:rPr>
          <w:rFonts w:ascii="Times New Roman" w:cs="Times New Roman" w:eastAsia="Times New Roman" w:hAnsi="Times New Roman"/>
          <w:sz w:val="24"/>
          <w:szCs w:val="24"/>
          <w:color w:val="222222"/>
        </w:rPr>
        <w:t>D vitamini</w:t>
      </w:r>
      <w:r>
        <w:rPr>
          <w:rFonts w:ascii="Times New Roman" w:cs="Times New Roman" w:eastAsia="Times New Roman" w:hAnsi="Times New Roman"/>
          <w:sz w:val="24"/>
          <w:szCs w:val="24"/>
          <w:color w:val="222222"/>
        </w:rPr>
        <w:t xml:space="preserve"> başlanmalı ve 2</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 xml:space="preserve">3 yılda bir bu hastalar KMD ile takip edilmelidir. Başlangıçta osteoporozu olan ve osteopenik iken sonrasında osteoporotik olan hastalara </w:t>
      </w:r>
      <w:r>
        <w:rPr>
          <w:rFonts w:ascii="Times New Roman" w:cs="Times New Roman" w:eastAsia="Times New Roman" w:hAnsi="Times New Roman"/>
          <w:sz w:val="24"/>
          <w:szCs w:val="24"/>
          <w:color w:val="222222"/>
        </w:rPr>
        <w:t>kont</w:t>
      </w:r>
      <w:r>
        <w:rPr>
          <w:rFonts w:ascii="Times New Roman" w:cs="Times New Roman" w:eastAsia="Times New Roman" w:hAnsi="Times New Roman"/>
          <w:sz w:val="24"/>
          <w:szCs w:val="24"/>
          <w:color w:val="222222"/>
        </w:rPr>
        <w:t>raendikasyon yoksa ilk etapta oral bisfosfonat başlanabilir. Oral</w:t>
      </w:r>
    </w:p>
    <w:p>
      <w:pPr>
        <w:sectPr>
          <w:pgSz w:w="11900" w:h="16838" w:orient="portrait"/>
          <w:cols w:equalWidth="0" w:num="1">
            <w:col w:w="9060"/>
          </w:cols>
          <w:pgMar w:left="1440" w:top="714" w:right="1406" w:bottom="1440" w:gutter="0" w:footer="0" w:header="0"/>
        </w:sectPr>
      </w:pPr>
    </w:p>
    <w:bookmarkStart w:id="29" w:name="page30"/>
    <w:bookmarkEnd w:id="29"/>
    <w:p>
      <w:pPr>
        <w:ind w:left="8840"/>
        <w:spacing w:after="0"/>
        <w:rPr>
          <w:sz w:val="20"/>
          <w:szCs w:val="20"/>
          <w:color w:val="auto"/>
        </w:rPr>
      </w:pPr>
      <w:r>
        <w:rPr>
          <w:rFonts w:ascii="Calibri" w:cs="Calibri" w:eastAsia="Calibri" w:hAnsi="Calibri"/>
          <w:sz w:val="21"/>
          <w:szCs w:val="21"/>
          <w:color w:val="auto"/>
        </w:rPr>
        <w:t>19</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left="840"/>
        <w:spacing w:after="0" w:line="358" w:lineRule="auto"/>
        <w:rPr>
          <w:sz w:val="20"/>
          <w:szCs w:val="20"/>
          <w:color w:val="auto"/>
        </w:rPr>
      </w:pPr>
      <w:r>
        <w:rPr>
          <w:rFonts w:ascii="Times New Roman" w:cs="Times New Roman" w:eastAsia="Times New Roman" w:hAnsi="Times New Roman"/>
          <w:sz w:val="24"/>
          <w:szCs w:val="24"/>
          <w:color w:val="222222"/>
        </w:rPr>
        <w:t xml:space="preserve">bisfosfonatlardan ibandronat harici diğerleri kullanılabilir. Oral bisfosfonat tedavisine yanıt alınamayan vakalarda IV bisfosfonat ve denosumab tedavileri </w:t>
      </w:r>
      <w:r>
        <w:rPr>
          <w:rFonts w:ascii="Times New Roman" w:cs="Times New Roman" w:eastAsia="Times New Roman" w:hAnsi="Times New Roman"/>
          <w:sz w:val="24"/>
          <w:szCs w:val="24"/>
          <w:color w:val="222222"/>
        </w:rPr>
        <w:t>denenebilir. Osteoporotik frajilit</w:t>
      </w:r>
      <w:r>
        <w:rPr>
          <w:rFonts w:ascii="Times New Roman" w:cs="Times New Roman" w:eastAsia="Times New Roman" w:hAnsi="Times New Roman"/>
          <w:sz w:val="24"/>
          <w:szCs w:val="24"/>
          <w:color w:val="222222"/>
        </w:rPr>
        <w:t>e kırığı olan ve ilk</w:t>
      </w:r>
      <w:r>
        <w:rPr>
          <w:rFonts w:ascii="Times New Roman" w:cs="Times New Roman" w:eastAsia="Times New Roman" w:hAnsi="Times New Roman"/>
          <w:sz w:val="24"/>
          <w:szCs w:val="24"/>
          <w:color w:val="222222"/>
        </w:rPr>
        <w:t xml:space="preserve"> üç </w:t>
      </w:r>
      <w:r>
        <w:rPr>
          <w:rFonts w:ascii="Times New Roman" w:cs="Times New Roman" w:eastAsia="Times New Roman" w:hAnsi="Times New Roman"/>
          <w:sz w:val="24"/>
          <w:szCs w:val="24"/>
          <w:color w:val="222222"/>
        </w:rPr>
        <w:t>sıra tedaviden fayda</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sağlayamayan hastalara IFN</w:t>
      </w:r>
      <w:r>
        <w:rPr>
          <w:rFonts w:ascii="Times New Roman" w:cs="Times New Roman" w:eastAsia="Times New Roman" w:hAnsi="Times New Roman"/>
          <w:sz w:val="24"/>
          <w:szCs w:val="24"/>
          <w:color w:val="222222"/>
        </w:rPr>
        <w:t>-alfa ya da pegile IFN-</w:t>
      </w:r>
      <w:r>
        <w:rPr>
          <w:rFonts w:ascii="Times New Roman" w:cs="Times New Roman" w:eastAsia="Times New Roman" w:hAnsi="Times New Roman"/>
          <w:sz w:val="24"/>
          <w:szCs w:val="24"/>
          <w:color w:val="222222"/>
        </w:rPr>
        <w:t xml:space="preserve">alfa başlanması akıllıca olabilir. Osteoporotik frajilite kırığı olan hastalarda semptom ve klinik bulgular göz </w:t>
      </w:r>
      <w:r>
        <w:rPr>
          <w:rFonts w:ascii="Times New Roman" w:cs="Times New Roman" w:eastAsia="Times New Roman" w:hAnsi="Times New Roman"/>
          <w:sz w:val="24"/>
          <w:szCs w:val="24"/>
          <w:color w:val="222222"/>
        </w:rPr>
        <w:t>önünde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bulundurularak vertebroplasti planlanabilir. IFN-</w:t>
      </w:r>
      <w:r>
        <w:rPr>
          <w:rFonts w:ascii="Times New Roman" w:cs="Times New Roman" w:eastAsia="Times New Roman" w:hAnsi="Times New Roman"/>
          <w:sz w:val="24"/>
          <w:szCs w:val="24"/>
          <w:color w:val="222222"/>
        </w:rPr>
        <w:t>alfa tedavisinden de yanıt</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alınamaması durumunda kladribin tedavisi denenebilir </w:t>
      </w:r>
      <w:r>
        <w:rPr>
          <w:rFonts w:ascii="Times New Roman" w:cs="Times New Roman" w:eastAsia="Times New Roman" w:hAnsi="Times New Roman"/>
          <w:sz w:val="24"/>
          <w:szCs w:val="24"/>
          <w:color w:val="222222"/>
        </w:rPr>
        <w:t>(111, 137).</w:t>
      </w:r>
    </w:p>
    <w:p>
      <w:pPr>
        <w:spacing w:after="0" w:line="16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b w:val="1"/>
          <w:bCs w:val="1"/>
          <w:color w:val="222222"/>
        </w:rPr>
        <w:t xml:space="preserve">2.2.5.2 </w:t>
      </w:r>
      <w:r>
        <w:rPr>
          <w:rFonts w:ascii="Times New Roman" w:cs="Times New Roman" w:eastAsia="Times New Roman" w:hAnsi="Times New Roman"/>
          <w:sz w:val="24"/>
          <w:szCs w:val="24"/>
          <w:b w:val="1"/>
          <w:bCs w:val="1"/>
          <w:color w:val="222222"/>
        </w:rPr>
        <w:t>Agresif Hastalık Tedavisi</w:t>
      </w:r>
    </w:p>
    <w:p>
      <w:pPr>
        <w:spacing w:after="0" w:line="310" w:lineRule="exact"/>
        <w:rPr>
          <w:sz w:val="20"/>
          <w:szCs w:val="20"/>
          <w:color w:val="auto"/>
        </w:rPr>
      </w:pPr>
    </w:p>
    <w:p>
      <w:pPr>
        <w:jc w:val="both"/>
        <w:ind w:left="840" w:firstLine="708"/>
        <w:spacing w:after="0" w:line="354" w:lineRule="auto"/>
        <w:rPr>
          <w:sz w:val="20"/>
          <w:szCs w:val="20"/>
          <w:color w:val="auto"/>
        </w:rPr>
      </w:pPr>
      <w:r>
        <w:rPr>
          <w:rFonts w:ascii="Times New Roman" w:cs="Times New Roman" w:eastAsia="Times New Roman" w:hAnsi="Times New Roman"/>
          <w:sz w:val="24"/>
          <w:szCs w:val="24"/>
          <w:color w:val="222222"/>
        </w:rPr>
        <w:t>Agresif hastalık tedavisi subtiplere göre farklılık göstermektedir. SM</w:t>
      </w:r>
      <w:r>
        <w:rPr>
          <w:rFonts w:ascii="Times New Roman" w:cs="Times New Roman" w:eastAsia="Times New Roman" w:hAnsi="Times New Roman"/>
          <w:sz w:val="24"/>
          <w:szCs w:val="24"/>
          <w:color w:val="222222"/>
        </w:rPr>
        <w:t>-AHN</w:t>
      </w:r>
      <w:r>
        <w:rPr>
          <w:rFonts w:ascii="Times New Roman" w:cs="Times New Roman" w:eastAsia="Times New Roman" w:hAnsi="Times New Roman"/>
          <w:sz w:val="24"/>
          <w:szCs w:val="24"/>
          <w:color w:val="222222"/>
        </w:rPr>
        <w:t xml:space="preserve"> ile takipli vakalarda hangi komponentin daha agresif olduğuna karar verilmelidir. Agresif olan komponente göre tedavi şekli belirlenmelidir.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-408305</wp:posOffset>
            </wp:positionV>
            <wp:extent cx="4699000" cy="18542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60" w:lineRule="exact"/>
        <w:rPr>
          <w:sz w:val="20"/>
          <w:szCs w:val="20"/>
          <w:color w:val="auto"/>
        </w:rPr>
      </w:pPr>
    </w:p>
    <w:p>
      <w:pPr>
        <w:jc w:val="both"/>
        <w:ind w:left="840" w:firstLine="708"/>
        <w:spacing w:after="0" w:line="354" w:lineRule="auto"/>
        <w:rPr>
          <w:sz w:val="20"/>
          <w:szCs w:val="20"/>
          <w:color w:val="auto"/>
        </w:rPr>
      </w:pPr>
      <w:r>
        <w:rPr>
          <w:rFonts w:ascii="Times New Roman" w:cs="Times New Roman" w:eastAsia="Times New Roman" w:hAnsi="Times New Roman"/>
          <w:sz w:val="24"/>
          <w:szCs w:val="24"/>
          <w:color w:val="222222"/>
        </w:rPr>
        <w:t>SM tedavisinde hedefe yönelik multikinaz inhibitörlerini</w:t>
      </w:r>
      <w:r>
        <w:rPr>
          <w:rFonts w:ascii="Times New Roman" w:cs="Times New Roman" w:eastAsia="Times New Roman" w:hAnsi="Times New Roman"/>
          <w:sz w:val="24"/>
          <w:szCs w:val="24"/>
          <w:color w:val="222222"/>
        </w:rPr>
        <w:t>n kullanılmaya</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başlanması hastalık yönetiminde çığır açmıştır </w:t>
      </w:r>
      <w:r>
        <w:rPr>
          <w:rFonts w:ascii="Times New Roman" w:cs="Times New Roman" w:eastAsia="Times New Roman" w:hAnsi="Times New Roman"/>
          <w:sz w:val="24"/>
          <w:szCs w:val="24"/>
          <w:color w:val="222222"/>
        </w:rPr>
        <w:t>(140, 141). SM, ilaç tedavisi ile kür</w:t>
      </w:r>
      <w:r>
        <w:rPr>
          <w:rFonts w:ascii="Times New Roman" w:cs="Times New Roman" w:eastAsia="Times New Roman" w:hAnsi="Times New Roman"/>
          <w:sz w:val="24"/>
          <w:szCs w:val="24"/>
          <w:color w:val="222222"/>
        </w:rPr>
        <w:t xml:space="preserve"> edilebilir bir hastalık değildir. </w:t>
      </w:r>
      <w:r>
        <w:rPr>
          <w:rFonts w:ascii="Times New Roman" w:cs="Times New Roman" w:eastAsia="Times New Roman" w:hAnsi="Times New Roman"/>
          <w:sz w:val="24"/>
          <w:szCs w:val="24"/>
          <w:color w:val="222222"/>
        </w:rPr>
        <w:t>SM sadece allojeneik kök hücre nakli ile kür edilebilir.</w:t>
      </w:r>
    </w:p>
    <w:p>
      <w:pPr>
        <w:spacing w:after="0" w:line="168"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222222"/>
        </w:rPr>
        <w:t xml:space="preserve">Agresif </w:t>
      </w:r>
      <w:r>
        <w:rPr>
          <w:rFonts w:ascii="Times New Roman" w:cs="Times New Roman" w:eastAsia="Times New Roman" w:hAnsi="Times New Roman"/>
          <w:sz w:val="24"/>
          <w:szCs w:val="24"/>
          <w:color w:val="222222"/>
        </w:rPr>
        <w:t>hastalık tedavisi ile ulaşılmaya çalışılan hedefler;</w:t>
      </w:r>
    </w:p>
    <w:p>
      <w:pPr>
        <w:spacing w:after="0" w:line="319" w:lineRule="exact"/>
        <w:rPr>
          <w:sz w:val="20"/>
          <w:szCs w:val="20"/>
          <w:color w:val="auto"/>
        </w:rPr>
      </w:pPr>
    </w:p>
    <w:p>
      <w:pPr>
        <w:ind w:left="2260" w:hanging="356"/>
        <w:spacing w:after="0"/>
        <w:tabs>
          <w:tab w:leader="none" w:pos="2260" w:val="left"/>
        </w:tabs>
        <w:numPr>
          <w:ilvl w:val="0"/>
          <w:numId w:val="13"/>
        </w:numPr>
        <w:rPr>
          <w:rFonts w:ascii="Arial" w:cs="Arial" w:eastAsia="Arial" w:hAnsi="Arial"/>
          <w:sz w:val="24"/>
          <w:szCs w:val="24"/>
          <w:color w:val="222222"/>
        </w:rPr>
      </w:pPr>
      <w:r>
        <w:rPr>
          <w:rFonts w:ascii="Times New Roman" w:cs="Times New Roman" w:eastAsia="Times New Roman" w:hAnsi="Times New Roman"/>
          <w:sz w:val="24"/>
          <w:szCs w:val="24"/>
          <w:color w:val="222222"/>
        </w:rPr>
        <w:t>H</w:t>
      </w:r>
      <w:r>
        <w:rPr>
          <w:rFonts w:ascii="Times New Roman" w:cs="Times New Roman" w:eastAsia="Times New Roman" w:hAnsi="Times New Roman"/>
          <w:sz w:val="24"/>
          <w:szCs w:val="24"/>
          <w:color w:val="222222"/>
        </w:rPr>
        <w:t>astanın yaşam kalitesini arttırmak</w:t>
      </w:r>
    </w:p>
    <w:p>
      <w:pPr>
        <w:spacing w:after="0" w:line="152" w:lineRule="exact"/>
        <w:rPr>
          <w:rFonts w:ascii="Arial" w:cs="Arial" w:eastAsia="Arial" w:hAnsi="Arial"/>
          <w:sz w:val="24"/>
          <w:szCs w:val="24"/>
          <w:color w:val="222222"/>
        </w:rPr>
      </w:pPr>
    </w:p>
    <w:p>
      <w:pPr>
        <w:ind w:left="2260" w:hanging="356"/>
        <w:spacing w:after="0"/>
        <w:tabs>
          <w:tab w:leader="none" w:pos="2260" w:val="left"/>
        </w:tabs>
        <w:numPr>
          <w:ilvl w:val="0"/>
          <w:numId w:val="13"/>
        </w:numPr>
        <w:rPr>
          <w:rFonts w:ascii="Arial" w:cs="Arial" w:eastAsia="Arial" w:hAnsi="Arial"/>
          <w:sz w:val="24"/>
          <w:szCs w:val="24"/>
          <w:color w:val="222222"/>
        </w:rPr>
      </w:pPr>
      <w:r>
        <w:rPr>
          <w:rFonts w:ascii="Times New Roman" w:cs="Times New Roman" w:eastAsia="Times New Roman" w:hAnsi="Times New Roman"/>
          <w:sz w:val="24"/>
          <w:szCs w:val="24"/>
          <w:color w:val="222222"/>
        </w:rPr>
        <w:t>Semptom yükünü hafifletmek</w:t>
      </w:r>
    </w:p>
    <w:p>
      <w:pPr>
        <w:spacing w:after="0" w:line="154" w:lineRule="exact"/>
        <w:rPr>
          <w:rFonts w:ascii="Arial" w:cs="Arial" w:eastAsia="Arial" w:hAnsi="Arial"/>
          <w:sz w:val="24"/>
          <w:szCs w:val="24"/>
          <w:color w:val="222222"/>
        </w:rPr>
      </w:pPr>
    </w:p>
    <w:p>
      <w:pPr>
        <w:ind w:left="2260" w:hanging="356"/>
        <w:spacing w:after="0"/>
        <w:tabs>
          <w:tab w:leader="none" w:pos="2260" w:val="left"/>
        </w:tabs>
        <w:numPr>
          <w:ilvl w:val="0"/>
          <w:numId w:val="13"/>
        </w:numPr>
        <w:rPr>
          <w:rFonts w:ascii="Arial" w:cs="Arial" w:eastAsia="Arial" w:hAnsi="Arial"/>
          <w:sz w:val="24"/>
          <w:szCs w:val="24"/>
          <w:color w:val="222222"/>
        </w:rPr>
      </w:pPr>
      <w:r>
        <w:rPr>
          <w:rFonts w:ascii="Times New Roman" w:cs="Times New Roman" w:eastAsia="Times New Roman" w:hAnsi="Times New Roman"/>
          <w:sz w:val="24"/>
          <w:szCs w:val="24"/>
          <w:color w:val="222222"/>
        </w:rPr>
        <w:t>Yaşam süresini uzatmak</w:t>
      </w:r>
    </w:p>
    <w:p>
      <w:pPr>
        <w:spacing w:after="0" w:line="154" w:lineRule="exact"/>
        <w:rPr>
          <w:rFonts w:ascii="Arial" w:cs="Arial" w:eastAsia="Arial" w:hAnsi="Arial"/>
          <w:sz w:val="24"/>
          <w:szCs w:val="24"/>
          <w:color w:val="222222"/>
        </w:rPr>
      </w:pPr>
    </w:p>
    <w:p>
      <w:pPr>
        <w:ind w:left="2260" w:hanging="356"/>
        <w:spacing w:after="0"/>
        <w:tabs>
          <w:tab w:leader="none" w:pos="2260" w:val="left"/>
        </w:tabs>
        <w:numPr>
          <w:ilvl w:val="0"/>
          <w:numId w:val="13"/>
        </w:numPr>
        <w:rPr>
          <w:rFonts w:ascii="Arial" w:cs="Arial" w:eastAsia="Arial" w:hAnsi="Arial"/>
          <w:sz w:val="24"/>
          <w:szCs w:val="24"/>
          <w:color w:val="222222"/>
        </w:rPr>
      </w:pPr>
      <w:r>
        <w:rPr>
          <w:rFonts w:ascii="Times New Roman" w:cs="Times New Roman" w:eastAsia="Times New Roman" w:hAnsi="Times New Roman"/>
          <w:sz w:val="24"/>
          <w:szCs w:val="24"/>
          <w:color w:val="222222"/>
        </w:rPr>
        <w:t>Organ hasarını azaltmak şeklindedir.</w:t>
      </w:r>
    </w:p>
    <w:p>
      <w:pPr>
        <w:spacing w:after="0" w:line="307" w:lineRule="exact"/>
        <w:rPr>
          <w:sz w:val="20"/>
          <w:szCs w:val="20"/>
          <w:color w:val="auto"/>
        </w:rPr>
      </w:pPr>
    </w:p>
    <w:p>
      <w:pPr>
        <w:jc w:val="both"/>
        <w:ind w:left="840"/>
        <w:spacing w:after="0" w:line="356" w:lineRule="auto"/>
        <w:rPr>
          <w:sz w:val="20"/>
          <w:szCs w:val="20"/>
          <w:color w:val="auto"/>
        </w:rPr>
      </w:pPr>
      <w:r>
        <w:rPr>
          <w:rFonts w:ascii="Times New Roman" w:cs="Times New Roman" w:eastAsia="Times New Roman" w:hAnsi="Times New Roman"/>
          <w:sz w:val="24"/>
          <w:szCs w:val="24"/>
          <w:color w:val="222222"/>
        </w:rPr>
        <w:t xml:space="preserve">ASM ile takipli bütün hastalara İSM ve SSM hastalarına verilen öneriler aynen </w:t>
      </w:r>
      <w:r>
        <w:rPr>
          <w:rFonts w:ascii="Times New Roman" w:cs="Times New Roman" w:eastAsia="Times New Roman" w:hAnsi="Times New Roman"/>
          <w:sz w:val="24"/>
          <w:szCs w:val="24"/>
          <w:color w:val="222222"/>
        </w:rPr>
        <w:t xml:space="preserve">verilmelidir. Hastalar tetikleyici ajanlardan uzak kalmaya önem göstermelidir. ASM </w:t>
      </w:r>
      <w:r>
        <w:rPr>
          <w:rFonts w:ascii="Times New Roman" w:cs="Times New Roman" w:eastAsia="Times New Roman" w:hAnsi="Times New Roman"/>
          <w:sz w:val="24"/>
          <w:szCs w:val="24"/>
          <w:color w:val="222222"/>
        </w:rPr>
        <w:t xml:space="preserve">tanısı alan hastalara </w:t>
      </w:r>
      <w:r>
        <w:rPr>
          <w:rFonts w:ascii="Times New Roman" w:cs="Times New Roman" w:eastAsia="Times New Roman" w:hAnsi="Times New Roman"/>
          <w:sz w:val="24"/>
          <w:szCs w:val="24"/>
          <w:color w:val="222222"/>
        </w:rPr>
        <w:t>sitoredüktif veya hedefe yönelik medikal tedaviler</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önerilmektedir.</w:t>
      </w:r>
    </w:p>
    <w:p>
      <w:pPr>
        <w:spacing w:after="0" w:line="165"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b w:val="1"/>
          <w:bCs w:val="1"/>
          <w:color w:val="222222"/>
        </w:rPr>
        <w:t>Midostaurin</w:t>
      </w:r>
    </w:p>
    <w:p>
      <w:pPr>
        <w:spacing w:after="0" w:line="312" w:lineRule="exact"/>
        <w:rPr>
          <w:sz w:val="20"/>
          <w:szCs w:val="20"/>
          <w:color w:val="auto"/>
        </w:rPr>
      </w:pPr>
    </w:p>
    <w:p>
      <w:pPr>
        <w:jc w:val="both"/>
        <w:ind w:left="840" w:firstLine="708"/>
        <w:spacing w:after="0" w:line="357" w:lineRule="auto"/>
        <w:rPr>
          <w:sz w:val="20"/>
          <w:szCs w:val="20"/>
          <w:color w:val="auto"/>
        </w:rPr>
      </w:pPr>
      <w:r>
        <w:rPr>
          <w:rFonts w:ascii="Times New Roman" w:cs="Times New Roman" w:eastAsia="Times New Roman" w:hAnsi="Times New Roman"/>
          <w:sz w:val="24"/>
          <w:szCs w:val="24"/>
          <w:color w:val="222222"/>
        </w:rPr>
        <w:t xml:space="preserve">D816V(+) ve mutant olmayan </w:t>
      </w:r>
      <w:r>
        <w:rPr>
          <w:rFonts w:ascii="Times New Roman" w:cs="Times New Roman" w:eastAsia="Times New Roman" w:hAnsi="Times New Roman"/>
          <w:sz w:val="24"/>
          <w:szCs w:val="24"/>
          <w:color w:val="222222"/>
        </w:rPr>
        <w:t>KIT ‘e karşı etkisi olan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aynı zamanda FLT</w:t>
      </w:r>
      <w:r>
        <w:rPr>
          <w:rFonts w:ascii="Times New Roman" w:cs="Times New Roman" w:eastAsia="Times New Roman" w:hAnsi="Times New Roman"/>
          <w:sz w:val="24"/>
          <w:szCs w:val="24"/>
          <w:color w:val="222222"/>
        </w:rPr>
        <w:t xml:space="preserve">-3 </w:t>
      </w:r>
      <w:r>
        <w:rPr>
          <w:rFonts w:ascii="Times New Roman" w:cs="Times New Roman" w:eastAsia="Times New Roman" w:hAnsi="Times New Roman"/>
          <w:sz w:val="24"/>
          <w:szCs w:val="24"/>
          <w:color w:val="222222"/>
        </w:rPr>
        <w:t xml:space="preserve">ve başka tirozin kinazlar üzerine inhibitör etkisi olan bir oral multikinaz </w:t>
      </w:r>
      <w:r>
        <w:rPr>
          <w:rFonts w:ascii="Times New Roman" w:cs="Times New Roman" w:eastAsia="Times New Roman" w:hAnsi="Times New Roman"/>
          <w:sz w:val="24"/>
          <w:szCs w:val="24"/>
          <w:color w:val="222222"/>
        </w:rPr>
        <w:t>inhibitörüdür (142)</w:t>
      </w:r>
      <w:r>
        <w:rPr>
          <w:rFonts w:ascii="Times New Roman" w:cs="Times New Roman" w:eastAsia="Times New Roman" w:hAnsi="Times New Roman"/>
          <w:sz w:val="24"/>
          <w:szCs w:val="24"/>
          <w:b w:val="1"/>
          <w:bCs w:val="1"/>
          <w:color w:val="222222"/>
        </w:rPr>
        <w:t>.</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Agresif hastalığın</w:t>
      </w:r>
      <w:r>
        <w:rPr>
          <w:rFonts w:ascii="Times New Roman" w:cs="Times New Roman" w:eastAsia="Times New Roman" w:hAnsi="Times New Roman"/>
          <w:sz w:val="24"/>
          <w:szCs w:val="24"/>
          <w:color w:val="222222"/>
        </w:rPr>
        <w:t xml:space="preserve"> tüm </w:t>
      </w:r>
      <w:r>
        <w:rPr>
          <w:rFonts w:ascii="Times New Roman" w:cs="Times New Roman" w:eastAsia="Times New Roman" w:hAnsi="Times New Roman"/>
          <w:sz w:val="24"/>
          <w:szCs w:val="24"/>
          <w:color w:val="222222"/>
        </w:rPr>
        <w:t>alt tipleri midostaurin tedavisine yanıt</w:t>
      </w:r>
      <w:r>
        <w:rPr>
          <w:rFonts w:ascii="Times New Roman" w:cs="Times New Roman" w:eastAsia="Times New Roman" w:hAnsi="Times New Roman"/>
          <w:sz w:val="24"/>
          <w:szCs w:val="24"/>
          <w:color w:val="222222"/>
        </w:rPr>
        <w:t xml:space="preserve"> verebilir. </w:t>
      </w:r>
      <w:r>
        <w:rPr>
          <w:rFonts w:ascii="Times New Roman" w:cs="Times New Roman" w:eastAsia="Times New Roman" w:hAnsi="Times New Roman"/>
          <w:sz w:val="24"/>
          <w:szCs w:val="24"/>
          <w:color w:val="222222"/>
        </w:rPr>
        <w:t>Diğer ajanlar ile karşılaştırmalı çalışması olmasa da ASM’de artık ilk</w:t>
      </w:r>
      <w:r>
        <w:rPr>
          <w:rFonts w:ascii="Times New Roman" w:cs="Times New Roman" w:eastAsia="Times New Roman" w:hAnsi="Times New Roman"/>
          <w:sz w:val="24"/>
          <w:szCs w:val="24"/>
          <w:color w:val="222222"/>
        </w:rPr>
        <w:t xml:space="preserve"> tercihtir. </w:t>
      </w:r>
      <w:r>
        <w:rPr>
          <w:rFonts w:ascii="Times New Roman" w:cs="Times New Roman" w:eastAsia="Times New Roman" w:hAnsi="Times New Roman"/>
          <w:sz w:val="24"/>
          <w:szCs w:val="24"/>
          <w:color w:val="222222"/>
        </w:rPr>
        <w:t>Midostaurin’in D816V mutasyonundan, hastalık subtipinden bağımsız</w:t>
      </w:r>
    </w:p>
    <w:p>
      <w:pPr>
        <w:sectPr>
          <w:pgSz w:w="11900" w:h="16838" w:orient="portrait"/>
          <w:cols w:equalWidth="0" w:num="1">
            <w:col w:w="9060"/>
          </w:cols>
          <w:pgMar w:left="1440" w:top="726" w:right="1406" w:bottom="1440" w:gutter="0" w:footer="0" w:header="0"/>
        </w:sectPr>
      </w:pPr>
    </w:p>
    <w:bookmarkStart w:id="30" w:name="page31"/>
    <w:bookmarkEnd w:id="30"/>
    <w:p>
      <w:pPr>
        <w:jc w:val="right"/>
        <w:spacing w:after="0"/>
        <w:rPr>
          <w:sz w:val="20"/>
          <w:szCs w:val="20"/>
          <w:color w:val="auto"/>
        </w:rPr>
      </w:pPr>
      <w:r>
        <w:rPr>
          <w:rFonts w:ascii="Calibri" w:cs="Calibri" w:eastAsia="Calibri" w:hAnsi="Calibri"/>
          <w:sz w:val="22"/>
          <w:szCs w:val="22"/>
          <w:color w:val="auto"/>
        </w:rPr>
        <w:t>20</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left="840"/>
        <w:spacing w:after="0" w:line="359" w:lineRule="auto"/>
        <w:rPr>
          <w:sz w:val="20"/>
          <w:szCs w:val="20"/>
          <w:color w:val="auto"/>
        </w:rPr>
      </w:pPr>
      <w:r>
        <w:rPr>
          <w:rFonts w:ascii="Times New Roman" w:cs="Times New Roman" w:eastAsia="Times New Roman" w:hAnsi="Times New Roman"/>
          <w:sz w:val="24"/>
          <w:szCs w:val="24"/>
          <w:color w:val="222222"/>
        </w:rPr>
        <w:t xml:space="preserve">olarak tüm hasta gruplarında etkin olduğu </w:t>
      </w:r>
      <w:r>
        <w:rPr>
          <w:rFonts w:ascii="Times New Roman" w:cs="Times New Roman" w:eastAsia="Times New Roman" w:hAnsi="Times New Roman"/>
          <w:sz w:val="24"/>
          <w:szCs w:val="24"/>
          <w:color w:val="222222"/>
        </w:rPr>
        <w:t>Gotlib ve ark</w:t>
      </w:r>
      <w:r>
        <w:rPr>
          <w:rFonts w:ascii="Times New Roman" w:cs="Times New Roman" w:eastAsia="Times New Roman" w:hAnsi="Times New Roman"/>
          <w:sz w:val="24"/>
          <w:szCs w:val="24"/>
          <w:color w:val="222222"/>
        </w:rPr>
        <w:t xml:space="preserve">adaşları tarafından yapılan çalışma ile gösterilmiştir </w:t>
      </w:r>
      <w:r>
        <w:rPr>
          <w:rFonts w:ascii="Times New Roman" w:cs="Times New Roman" w:eastAsia="Times New Roman" w:hAnsi="Times New Roman"/>
          <w:sz w:val="24"/>
          <w:szCs w:val="24"/>
          <w:color w:val="222222"/>
        </w:rPr>
        <w:t>(140)</w:t>
      </w:r>
      <w:r>
        <w:rPr>
          <w:rFonts w:ascii="Times New Roman" w:cs="Times New Roman" w:eastAsia="Times New Roman" w:hAnsi="Times New Roman"/>
          <w:sz w:val="24"/>
          <w:szCs w:val="24"/>
          <w:color w:val="222222"/>
        </w:rPr>
        <w:t>. Aynı çalışmada midostaurin’in triptaz düzeyinde ve mast hücre yükünde azalma sağladığı görülmüştür. Hastaların semptom yükünde azalma ve organ disfonksiyonunda azalma aynı çalışmada gözlenmiştir. Midostaurine yanıtın ortalama 18</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24 ay sürdüğü gözlenmiş ve hastaların %60’ında tedaviye yanıt alınmıştır. Hastaların %45’inde tam yanıt ve %15’inde kısmi yanıt alınmıştır. Midostaurine ASM hastaları ve SM</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AHN hastaları</w:t>
      </w:r>
      <w:r>
        <w:rPr>
          <w:rFonts w:ascii="Times New Roman" w:cs="Times New Roman" w:eastAsia="Times New Roman" w:hAnsi="Times New Roman"/>
          <w:sz w:val="24"/>
          <w:szCs w:val="24"/>
          <w:color w:val="222222"/>
        </w:rPr>
        <w:t>, MHL</w:t>
      </w:r>
      <w:r>
        <w:rPr>
          <w:rFonts w:ascii="Times New Roman" w:cs="Times New Roman" w:eastAsia="Times New Roman" w:hAnsi="Times New Roman"/>
          <w:sz w:val="24"/>
          <w:szCs w:val="24"/>
          <w:color w:val="222222"/>
        </w:rPr>
        <w:t xml:space="preserve"> hastalarına oranla daha iyi yanıt vermişlerdir. Midostaurin genel olarak iyi tolere edilebilen bir ilaçtır en sık yan etkileri bulantı, kusma, diyare ve karın ağrısıdır. Genel olarak 2x100 mg dozunda kullanılır ve </w:t>
      </w:r>
      <w:r>
        <w:rPr>
          <w:rFonts w:ascii="Times New Roman" w:cs="Times New Roman" w:eastAsia="Times New Roman" w:hAnsi="Times New Roman"/>
          <w:sz w:val="24"/>
          <w:szCs w:val="24"/>
          <w:color w:val="222222"/>
        </w:rPr>
        <w:t>tolere edilemez yan etki</w:t>
      </w:r>
      <w:r>
        <w:rPr>
          <w:rFonts w:ascii="Times New Roman" w:cs="Times New Roman" w:eastAsia="Times New Roman" w:hAnsi="Times New Roman"/>
          <w:sz w:val="24"/>
          <w:szCs w:val="24"/>
          <w:color w:val="222222"/>
        </w:rPr>
        <w:t xml:space="preserve"> gelişmedikçe ya da hastalık progrese olmadıkça tedaviye devam edilir.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-210185</wp:posOffset>
            </wp:positionV>
            <wp:extent cx="4699000" cy="18542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41"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b w:val="1"/>
          <w:bCs w:val="1"/>
          <w:color w:val="222222"/>
        </w:rPr>
        <w:t>Kladribin</w:t>
      </w:r>
    </w:p>
    <w:p>
      <w:pPr>
        <w:spacing w:after="0" w:line="310" w:lineRule="exact"/>
        <w:rPr>
          <w:sz w:val="20"/>
          <w:szCs w:val="20"/>
          <w:color w:val="auto"/>
        </w:rPr>
      </w:pPr>
    </w:p>
    <w:p>
      <w:pPr>
        <w:jc w:val="both"/>
        <w:ind w:left="840" w:firstLine="708"/>
        <w:spacing w:after="0" w:line="359" w:lineRule="auto"/>
        <w:rPr>
          <w:sz w:val="20"/>
          <w:szCs w:val="20"/>
          <w:color w:val="auto"/>
        </w:rPr>
      </w:pPr>
      <w:r>
        <w:rPr>
          <w:rFonts w:ascii="Times New Roman" w:cs="Times New Roman" w:eastAsia="Times New Roman" w:hAnsi="Times New Roman"/>
          <w:sz w:val="24"/>
          <w:szCs w:val="24"/>
          <w:color w:val="222222"/>
        </w:rPr>
        <w:t>Sitoredüktif etkileri olan sentetik bir pür</w:t>
      </w:r>
      <w:r>
        <w:rPr>
          <w:rFonts w:ascii="Times New Roman" w:cs="Times New Roman" w:eastAsia="Times New Roman" w:hAnsi="Times New Roman"/>
          <w:sz w:val="24"/>
          <w:szCs w:val="24"/>
          <w:color w:val="222222"/>
        </w:rPr>
        <w:t>in nükleozid analoğudur ve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antimetabolit sınıfında yer almaktadır. SM’nin tüm agresif subtiplerine karşı etkinliği mevcuttur. Hızlı ilerleyen, mast hücre yükü yüksek olan </w:t>
      </w:r>
      <w:r>
        <w:rPr>
          <w:rFonts w:ascii="Times New Roman" w:cs="Times New Roman" w:eastAsia="Times New Roman" w:hAnsi="Times New Roman"/>
          <w:sz w:val="24"/>
          <w:szCs w:val="24"/>
          <w:color w:val="222222"/>
        </w:rPr>
        <w:t>ve</w:t>
      </w:r>
      <w:r>
        <w:rPr>
          <w:rFonts w:ascii="Times New Roman" w:cs="Times New Roman" w:eastAsia="Times New Roman" w:hAnsi="Times New Roman"/>
          <w:sz w:val="24"/>
          <w:szCs w:val="24"/>
          <w:color w:val="222222"/>
        </w:rPr>
        <w:t xml:space="preserve"> tümör yükünün hızla azaltılması gereken olgularda kullanılabilmektedir. </w:t>
      </w:r>
      <w:r>
        <w:rPr>
          <w:rFonts w:ascii="Times New Roman" w:cs="Times New Roman" w:eastAsia="Times New Roman" w:hAnsi="Times New Roman"/>
          <w:sz w:val="24"/>
          <w:szCs w:val="24"/>
          <w:color w:val="222222"/>
        </w:rPr>
        <w:t>AKHN</w:t>
      </w:r>
      <w:r>
        <w:rPr>
          <w:rFonts w:ascii="Times New Roman" w:cs="Times New Roman" w:eastAsia="Times New Roman" w:hAnsi="Times New Roman"/>
          <w:sz w:val="24"/>
          <w:szCs w:val="24"/>
          <w:color w:val="222222"/>
        </w:rPr>
        <w:t xml:space="preserve"> için zaman kazanılmak istenen olgularda köprü tedavisi olarak kullanılabilmekt</w:t>
      </w:r>
      <w:r>
        <w:rPr>
          <w:rFonts w:ascii="Times New Roman" w:cs="Times New Roman" w:eastAsia="Times New Roman" w:hAnsi="Times New Roman"/>
          <w:sz w:val="24"/>
          <w:szCs w:val="24"/>
          <w:color w:val="222222"/>
        </w:rPr>
        <w:t>edir. Kladribin genel olarak 5</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mg/m</w:t>
      </w:r>
      <w:r>
        <w:rPr>
          <w:rFonts w:ascii="Times New Roman" w:cs="Times New Roman" w:eastAsia="Times New Roman" w:hAnsi="Times New Roman"/>
          <w:sz w:val="24"/>
          <w:szCs w:val="24"/>
          <w:color w:val="000000"/>
        </w:rPr>
        <w:t>² dozundan iki saatlik infüzyon ile 5 gün boyunca verilir. Mayo Clinic</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000000"/>
        </w:rPr>
        <w:t xml:space="preserve">tarafından yapılan </w:t>
      </w:r>
      <w:r>
        <w:rPr>
          <w:rFonts w:ascii="Times New Roman" w:cs="Times New Roman" w:eastAsia="Times New Roman" w:hAnsi="Times New Roman"/>
          <w:sz w:val="24"/>
          <w:szCs w:val="24"/>
          <w:color w:val="000000"/>
        </w:rPr>
        <w:t>bir</w:t>
      </w:r>
      <w:r>
        <w:rPr>
          <w:rFonts w:ascii="Times New Roman" w:cs="Times New Roman" w:eastAsia="Times New Roman" w:hAnsi="Times New Roman"/>
          <w:sz w:val="24"/>
          <w:szCs w:val="24"/>
          <w:color w:val="000000"/>
        </w:rPr>
        <w:t xml:space="preserve"> çalışmada toplamda 26 hastaya kladribin tedavisi verilmiş ve hastaların %55’inde tedaviden yanıt alınmıştır </w:t>
      </w:r>
      <w:r>
        <w:rPr>
          <w:rFonts w:ascii="Times New Roman" w:cs="Times New Roman" w:eastAsia="Times New Roman" w:hAnsi="Times New Roman"/>
          <w:sz w:val="24"/>
          <w:szCs w:val="24"/>
          <w:color w:val="000000"/>
        </w:rPr>
        <w:t>(143).</w:t>
      </w:r>
      <w:r>
        <w:rPr>
          <w:rFonts w:ascii="Times New Roman" w:cs="Times New Roman" w:eastAsia="Times New Roman" w:hAnsi="Times New Roman"/>
          <w:sz w:val="24"/>
          <w:szCs w:val="24"/>
          <w:color w:val="000000"/>
        </w:rPr>
        <w:t xml:space="preserve"> Yapılan bir çalışmada </w:t>
      </w:r>
      <w:r>
        <w:rPr>
          <w:rFonts w:ascii="Times New Roman" w:cs="Times New Roman" w:eastAsia="Times New Roman" w:hAnsi="Times New Roman"/>
          <w:sz w:val="24"/>
          <w:szCs w:val="24"/>
          <w:color w:val="000000"/>
        </w:rPr>
        <w:t>kladribin tedavisi</w:t>
      </w:r>
      <w:r>
        <w:rPr>
          <w:rFonts w:ascii="Times New Roman" w:cs="Times New Roman" w:eastAsia="Times New Roman" w:hAnsi="Times New Roman"/>
          <w:sz w:val="24"/>
          <w:szCs w:val="24"/>
          <w:color w:val="000000"/>
        </w:rPr>
        <w:t>nin kesilmesi sonrasında hastaların neredeyse tamamında relaps</w:t>
      </w:r>
      <w:r>
        <w:rPr>
          <w:rFonts w:ascii="Times New Roman" w:cs="Times New Roman" w:eastAsia="Times New Roman" w:hAnsi="Times New Roman"/>
          <w:sz w:val="24"/>
          <w:szCs w:val="24"/>
          <w:color w:val="000000"/>
        </w:rPr>
        <w:t xml:space="preserve"> </w:t>
      </w:r>
      <w:r>
        <w:rPr>
          <w:rFonts w:ascii="Times New Roman" w:cs="Times New Roman" w:eastAsia="Times New Roman" w:hAnsi="Times New Roman"/>
          <w:sz w:val="24"/>
          <w:szCs w:val="24"/>
          <w:color w:val="000000"/>
        </w:rPr>
        <w:t xml:space="preserve">görülmüştür </w:t>
      </w:r>
      <w:r>
        <w:rPr>
          <w:rFonts w:ascii="Times New Roman" w:cs="Times New Roman" w:eastAsia="Times New Roman" w:hAnsi="Times New Roman"/>
          <w:sz w:val="24"/>
          <w:szCs w:val="24"/>
          <w:color w:val="000000"/>
        </w:rPr>
        <w:t>(144)</w:t>
      </w:r>
      <w:r>
        <w:rPr>
          <w:rFonts w:ascii="Times New Roman" w:cs="Times New Roman" w:eastAsia="Times New Roman" w:hAnsi="Times New Roman"/>
          <w:sz w:val="24"/>
          <w:szCs w:val="24"/>
          <w:color w:val="000000"/>
        </w:rPr>
        <w:t>. Kladribin tedavisini uzun süre vermek mümkün değ</w:t>
      </w:r>
      <w:r>
        <w:rPr>
          <w:rFonts w:ascii="Times New Roman" w:cs="Times New Roman" w:eastAsia="Times New Roman" w:hAnsi="Times New Roman"/>
          <w:sz w:val="24"/>
          <w:szCs w:val="24"/>
          <w:color w:val="000000"/>
        </w:rPr>
        <w:t>ildir. Ciddi</w:t>
      </w:r>
      <w:r>
        <w:rPr>
          <w:rFonts w:ascii="Times New Roman" w:cs="Times New Roman" w:eastAsia="Times New Roman" w:hAnsi="Times New Roman"/>
          <w:sz w:val="24"/>
          <w:szCs w:val="24"/>
          <w:color w:val="000000"/>
        </w:rPr>
        <w:t xml:space="preserve"> </w:t>
      </w:r>
      <w:r>
        <w:rPr>
          <w:rFonts w:ascii="Times New Roman" w:cs="Times New Roman" w:eastAsia="Times New Roman" w:hAnsi="Times New Roman"/>
          <w:sz w:val="24"/>
          <w:szCs w:val="24"/>
          <w:color w:val="000000"/>
        </w:rPr>
        <w:t>myelosupresif yan etkisi mevcuttur. Kladribin tedavisi alan hastalara tedavi durdurulduktan sonraki ilk 3 ay da dahil olmak üzere Pneumocystis jirovecii profilaksisi vermek gerekmektedir (145).</w:t>
      </w:r>
    </w:p>
    <w:p>
      <w:pPr>
        <w:spacing w:after="0" w:line="16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b w:val="1"/>
          <w:bCs w:val="1"/>
          <w:color w:val="auto"/>
        </w:rPr>
        <w:t>İmatinib</w:t>
      </w:r>
    </w:p>
    <w:p>
      <w:pPr>
        <w:spacing w:after="0" w:line="151" w:lineRule="exact"/>
        <w:rPr>
          <w:sz w:val="20"/>
          <w:szCs w:val="20"/>
          <w:color w:val="auto"/>
        </w:rPr>
      </w:pPr>
    </w:p>
    <w:p>
      <w:pPr>
        <w:jc w:val="both"/>
        <w:ind w:left="840" w:firstLine="708"/>
        <w:spacing w:after="0" w:line="356" w:lineRule="auto"/>
        <w:rPr>
          <w:sz w:val="20"/>
          <w:szCs w:val="20"/>
          <w:color w:val="auto"/>
        </w:rPr>
      </w:pPr>
      <w:r>
        <w:rPr>
          <w:rFonts w:ascii="Times New Roman" w:cs="Times New Roman" w:eastAsia="Times New Roman" w:hAnsi="Times New Roman"/>
          <w:sz w:val="24"/>
          <w:szCs w:val="24"/>
          <w:color w:val="auto"/>
        </w:rPr>
        <w:t xml:space="preserve">ASM hastalarının büyük çoğunluğu </w:t>
      </w:r>
      <w:r>
        <w:rPr>
          <w:rFonts w:ascii="Times New Roman" w:cs="Times New Roman" w:eastAsia="Times New Roman" w:hAnsi="Times New Roman"/>
          <w:sz w:val="24"/>
          <w:szCs w:val="24"/>
          <w:color w:val="auto"/>
        </w:rPr>
        <w:t>KIT D816V mutasyonuna sahiptir ve bu</w:t>
      </w:r>
      <w:r>
        <w:rPr>
          <w:rFonts w:ascii="Times New Roman" w:cs="Times New Roman" w:eastAsia="Times New Roman" w:hAnsi="Times New Roman"/>
          <w:sz w:val="24"/>
          <w:szCs w:val="24"/>
          <w:color w:val="auto"/>
        </w:rPr>
        <w:t xml:space="preserve"> mutasyon imatinib dirençlidir. İmatinib </w:t>
      </w:r>
      <w:r>
        <w:rPr>
          <w:rFonts w:ascii="Times New Roman" w:cs="Times New Roman" w:eastAsia="Times New Roman" w:hAnsi="Times New Roman"/>
          <w:sz w:val="24"/>
          <w:szCs w:val="24"/>
          <w:color w:val="auto"/>
        </w:rPr>
        <w:t>mutant olmayan KIT</w:t>
      </w:r>
      <w:r>
        <w:rPr>
          <w:rFonts w:ascii="Times New Roman" w:cs="Times New Roman" w:eastAsia="Times New Roman" w:hAnsi="Times New Roman"/>
          <w:sz w:val="24"/>
          <w:szCs w:val="24"/>
          <w:color w:val="auto"/>
        </w:rPr>
        <w:t xml:space="preserve"> varlığında</w:t>
      </w:r>
      <w:r>
        <w:rPr>
          <w:rFonts w:ascii="Times New Roman" w:cs="Times New Roman" w:eastAsia="Times New Roman" w:hAnsi="Times New Roman"/>
          <w:sz w:val="24"/>
          <w:szCs w:val="24"/>
          <w:color w:val="auto"/>
        </w:rPr>
        <w:t>, ekzon 17</w:t>
      </w:r>
      <w:r>
        <w:rPr>
          <w:rFonts w:ascii="Times New Roman" w:cs="Times New Roman" w:eastAsia="Times New Roman" w:hAnsi="Times New Roman"/>
          <w:sz w:val="24"/>
          <w:szCs w:val="24"/>
          <w:color w:val="auto"/>
        </w:rPr>
        <w:t xml:space="preserve"> dışındaki KIT mutasyonları ve trans</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juxtamembran mutasyonlarında kullanılabilir. İmatinib genellikle 1x100 mg dozundan başlanır </w:t>
      </w:r>
      <w:r>
        <w:rPr>
          <w:rFonts w:ascii="Times New Roman" w:cs="Times New Roman" w:eastAsia="Times New Roman" w:hAnsi="Times New Roman"/>
          <w:sz w:val="24"/>
          <w:szCs w:val="24"/>
          <w:color w:val="auto"/>
        </w:rPr>
        <w:t>(146)</w:t>
      </w:r>
      <w:r>
        <w:rPr>
          <w:rFonts w:ascii="Times New Roman" w:cs="Times New Roman" w:eastAsia="Times New Roman" w:hAnsi="Times New Roman"/>
          <w:sz w:val="24"/>
          <w:szCs w:val="24"/>
          <w:color w:val="auto"/>
        </w:rPr>
        <w:t>. Yapılan çalışmala</w:t>
      </w:r>
      <w:r>
        <w:rPr>
          <w:rFonts w:ascii="Times New Roman" w:cs="Times New Roman" w:eastAsia="Times New Roman" w:hAnsi="Times New Roman"/>
          <w:sz w:val="24"/>
          <w:szCs w:val="24"/>
          <w:color w:val="auto"/>
        </w:rPr>
        <w:t>r</w:t>
      </w:r>
      <w:r>
        <w:rPr>
          <w:rFonts w:ascii="Times New Roman" w:cs="Times New Roman" w:eastAsia="Times New Roman" w:hAnsi="Times New Roman"/>
          <w:sz w:val="24"/>
          <w:szCs w:val="24"/>
          <w:color w:val="auto"/>
        </w:rPr>
        <w:t xml:space="preserve">da diğer </w:t>
      </w:r>
      <w:r>
        <w:rPr>
          <w:rFonts w:ascii="Times New Roman" w:cs="Times New Roman" w:eastAsia="Times New Roman" w:hAnsi="Times New Roman"/>
          <w:sz w:val="24"/>
          <w:szCs w:val="24"/>
          <w:color w:val="auto"/>
        </w:rPr>
        <w:t xml:space="preserve">tirozin kinaz inhibitörleri dasatinib ve nilotinib, </w:t>
      </w:r>
      <w:r>
        <w:rPr>
          <w:rFonts w:ascii="Times New Roman" w:cs="Times New Roman" w:eastAsia="Times New Roman" w:hAnsi="Times New Roman"/>
          <w:sz w:val="24"/>
          <w:szCs w:val="24"/>
          <w:color w:val="auto"/>
        </w:rPr>
        <w:t>SM’de etkili bulunmamıştır</w:t>
      </w:r>
      <w:r>
        <w:rPr>
          <w:rFonts w:ascii="Times New Roman" w:cs="Times New Roman" w:eastAsia="Times New Roman" w:hAnsi="Times New Roman"/>
          <w:sz w:val="24"/>
          <w:szCs w:val="24"/>
          <w:color w:val="auto"/>
        </w:rPr>
        <w:t xml:space="preserve"> (147).</w:t>
      </w:r>
    </w:p>
    <w:p>
      <w:pPr>
        <w:sectPr>
          <w:pgSz w:w="11900" w:h="16838" w:orient="portrait"/>
          <w:cols w:equalWidth="0" w:num="1">
            <w:col w:w="9060"/>
          </w:cols>
          <w:pgMar w:left="1440" w:top="714" w:right="1406" w:bottom="1440" w:gutter="0" w:footer="0" w:header="0"/>
        </w:sectPr>
      </w:pPr>
    </w:p>
    <w:bookmarkStart w:id="31" w:name="page32"/>
    <w:bookmarkEnd w:id="31"/>
    <w:p>
      <w:pPr>
        <w:ind w:left="8840"/>
        <w:spacing w:after="0"/>
        <w:rPr>
          <w:sz w:val="20"/>
          <w:szCs w:val="20"/>
          <w:color w:val="auto"/>
        </w:rPr>
      </w:pPr>
      <w:r>
        <w:rPr>
          <w:rFonts w:ascii="Calibri" w:cs="Calibri" w:eastAsia="Calibri" w:hAnsi="Calibri"/>
          <w:sz w:val="21"/>
          <w:szCs w:val="21"/>
          <w:color w:val="auto"/>
        </w:rPr>
        <w:t>21</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b w:val="1"/>
          <w:bCs w:val="1"/>
          <w:color w:val="auto"/>
        </w:rPr>
        <w:t>İnterferon alfa</w:t>
      </w:r>
    </w:p>
    <w:p>
      <w:pPr>
        <w:spacing w:after="0" w:line="149" w:lineRule="exact"/>
        <w:rPr>
          <w:sz w:val="20"/>
          <w:szCs w:val="20"/>
          <w:color w:val="auto"/>
        </w:rPr>
      </w:pPr>
    </w:p>
    <w:p>
      <w:pPr>
        <w:jc w:val="both"/>
        <w:ind w:left="840" w:firstLine="708"/>
        <w:spacing w:after="0" w:line="350" w:lineRule="auto"/>
        <w:rPr>
          <w:sz w:val="20"/>
          <w:szCs w:val="20"/>
          <w:color w:val="auto"/>
        </w:rPr>
      </w:pPr>
      <w:r>
        <w:rPr>
          <w:rFonts w:ascii="Times New Roman" w:cs="Times New Roman" w:eastAsia="Times New Roman" w:hAnsi="Times New Roman"/>
          <w:sz w:val="24"/>
          <w:szCs w:val="24"/>
          <w:color w:val="auto"/>
        </w:rPr>
        <w:t xml:space="preserve">IFN-alfa ve pegile IFN-alfa </w:t>
      </w:r>
      <w:r>
        <w:rPr>
          <w:rFonts w:ascii="Times New Roman" w:cs="Times New Roman" w:eastAsia="Times New Roman" w:hAnsi="Times New Roman"/>
          <w:sz w:val="24"/>
          <w:szCs w:val="24"/>
          <w:color w:val="auto"/>
        </w:rPr>
        <w:t>yavaş ilerleyen ve genel olarak diğer tedavileri</w:t>
      </w:r>
      <w:r>
        <w:rPr>
          <w:rFonts w:ascii="Times New Roman" w:cs="Times New Roman" w:eastAsia="Times New Roman" w:hAnsi="Times New Roman"/>
          <w:sz w:val="24"/>
          <w:szCs w:val="24"/>
          <w:color w:val="auto"/>
        </w:rPr>
        <w:t xml:space="preserve"> komorbiditeleri nedeniyle alamayacak hastalara verilmektedir.</w:t>
      </w:r>
    </w:p>
    <w:p>
      <w:pPr>
        <w:spacing w:after="0" w:line="23" w:lineRule="exact"/>
        <w:rPr>
          <w:sz w:val="20"/>
          <w:szCs w:val="20"/>
          <w:color w:val="auto"/>
        </w:rPr>
      </w:pPr>
    </w:p>
    <w:p>
      <w:pPr>
        <w:jc w:val="both"/>
        <w:ind w:left="840"/>
        <w:spacing w:after="0" w:line="359" w:lineRule="auto"/>
        <w:rPr>
          <w:sz w:val="20"/>
          <w:szCs w:val="20"/>
          <w:color w:val="auto"/>
        </w:rPr>
      </w:pPr>
      <w:r>
        <w:rPr>
          <w:rFonts w:ascii="Times New Roman" w:cs="Times New Roman" w:eastAsia="Times New Roman" w:hAnsi="Times New Roman"/>
          <w:sz w:val="24"/>
          <w:szCs w:val="24"/>
          <w:color w:val="auto"/>
        </w:rPr>
        <w:t xml:space="preserve">Tüm SM alt tiplerine </w:t>
      </w:r>
      <w:r>
        <w:rPr>
          <w:rFonts w:ascii="Times New Roman" w:cs="Times New Roman" w:eastAsia="Times New Roman" w:hAnsi="Times New Roman"/>
          <w:sz w:val="24"/>
          <w:szCs w:val="24"/>
          <w:color w:val="auto"/>
        </w:rPr>
        <w:t>etkisi gösterilmiştir</w:t>
      </w:r>
      <w:r>
        <w:rPr>
          <w:rFonts w:ascii="Times New Roman" w:cs="Times New Roman" w:eastAsia="Times New Roman" w:hAnsi="Times New Roman"/>
          <w:sz w:val="24"/>
          <w:szCs w:val="24"/>
          <w:color w:val="auto"/>
        </w:rPr>
        <w:t xml:space="preserve"> (148). IFN-alfa </w:t>
      </w:r>
      <w:r>
        <w:rPr>
          <w:rFonts w:ascii="Times New Roman" w:cs="Times New Roman" w:eastAsia="Times New Roman" w:hAnsi="Times New Roman"/>
          <w:sz w:val="24"/>
          <w:szCs w:val="24"/>
          <w:color w:val="auto"/>
        </w:rPr>
        <w:t>tedavisine yanıt geç</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alınabilmektedir </w:t>
      </w:r>
      <w:r>
        <w:rPr>
          <w:rFonts w:ascii="Times New Roman" w:cs="Times New Roman" w:eastAsia="Times New Roman" w:hAnsi="Times New Roman"/>
          <w:sz w:val="24"/>
          <w:szCs w:val="24"/>
          <w:color w:val="auto"/>
        </w:rPr>
        <w:t>(149)</w:t>
      </w:r>
      <w:r>
        <w:rPr>
          <w:rFonts w:ascii="Times New Roman" w:cs="Times New Roman" w:eastAsia="Times New Roman" w:hAnsi="Times New Roman"/>
          <w:sz w:val="24"/>
          <w:szCs w:val="24"/>
          <w:color w:val="auto"/>
        </w:rPr>
        <w:t>. Bazı vakalarda en iyi yanıt bir yıldan daha uzu</w:t>
      </w:r>
      <w:r>
        <w:rPr>
          <w:rFonts w:ascii="Times New Roman" w:cs="Times New Roman" w:eastAsia="Times New Roman" w:hAnsi="Times New Roman"/>
          <w:sz w:val="24"/>
          <w:szCs w:val="24"/>
          <w:color w:val="auto"/>
        </w:rPr>
        <w:t>n sürede ortaya</w:t>
      </w:r>
      <w:r>
        <w:rPr>
          <w:rFonts w:ascii="Times New Roman" w:cs="Times New Roman" w:eastAsia="Times New Roman" w:hAnsi="Times New Roman"/>
          <w:sz w:val="24"/>
          <w:szCs w:val="24"/>
          <w:color w:val="auto"/>
        </w:rPr>
        <w:t xml:space="preserve"> çıkabilmektedir </w:t>
      </w:r>
      <w:r>
        <w:rPr>
          <w:rFonts w:ascii="Times New Roman" w:cs="Times New Roman" w:eastAsia="Times New Roman" w:hAnsi="Times New Roman"/>
          <w:sz w:val="24"/>
          <w:szCs w:val="24"/>
          <w:color w:val="auto"/>
        </w:rPr>
        <w:t>(150).</w:t>
      </w:r>
      <w:r>
        <w:rPr>
          <w:rFonts w:ascii="Times New Roman" w:cs="Times New Roman" w:eastAsia="Times New Roman" w:hAnsi="Times New Roman"/>
          <w:sz w:val="24"/>
          <w:szCs w:val="24"/>
          <w:color w:val="auto"/>
        </w:rPr>
        <w:t xml:space="preserve"> Yapılan birçok çalışmada ve vaka raporlarında IFN alfa </w:t>
      </w:r>
      <w:r>
        <w:rPr>
          <w:rFonts w:ascii="Times New Roman" w:cs="Times New Roman" w:eastAsia="Times New Roman" w:hAnsi="Times New Roman"/>
          <w:sz w:val="24"/>
          <w:szCs w:val="24"/>
          <w:color w:val="auto"/>
        </w:rPr>
        <w:t>tedavisinin sistemi</w:t>
      </w:r>
      <w:r>
        <w:rPr>
          <w:rFonts w:ascii="Times New Roman" w:cs="Times New Roman" w:eastAsia="Times New Roman" w:hAnsi="Times New Roman"/>
          <w:sz w:val="24"/>
          <w:szCs w:val="24"/>
          <w:color w:val="auto"/>
        </w:rPr>
        <w:t>k mediatör aracılı semptomlarda azalma, HSM, assit, cilt bulguları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ve osteoporozda düzelme sağladığı gösterilmiş</w:t>
      </w:r>
      <w:r>
        <w:rPr>
          <w:rFonts w:ascii="Times New Roman" w:cs="Times New Roman" w:eastAsia="Times New Roman" w:hAnsi="Times New Roman"/>
          <w:sz w:val="24"/>
          <w:szCs w:val="24"/>
          <w:color w:val="auto"/>
        </w:rPr>
        <w:t>tir (150-153).</w:t>
      </w:r>
      <w:r>
        <w:rPr>
          <w:rFonts w:ascii="Times New Roman" w:cs="Times New Roman" w:eastAsia="Times New Roman" w:hAnsi="Times New Roman"/>
          <w:sz w:val="24"/>
          <w:szCs w:val="24"/>
          <w:color w:val="auto"/>
        </w:rPr>
        <w:t xml:space="preserve"> 2009 yılında Lim ve arkadaşlarının yaptığı bir çalışmada toplamda 47 hastaya </w:t>
      </w:r>
      <w:r>
        <w:rPr>
          <w:rFonts w:ascii="Times New Roman" w:cs="Times New Roman" w:eastAsia="Times New Roman" w:hAnsi="Times New Roman"/>
          <w:sz w:val="24"/>
          <w:szCs w:val="24"/>
          <w:color w:val="auto"/>
        </w:rPr>
        <w:t>IFN-alfa tedavisi</w:t>
      </w:r>
      <w:r>
        <w:rPr>
          <w:rFonts w:ascii="Times New Roman" w:cs="Times New Roman" w:eastAsia="Times New Roman" w:hAnsi="Times New Roman"/>
          <w:sz w:val="24"/>
          <w:szCs w:val="24"/>
          <w:color w:val="auto"/>
        </w:rPr>
        <w:t xml:space="preserve"> uygulanmıştır. Hastalara ortalama haftalık 15 MU </w:t>
      </w:r>
      <w:r>
        <w:rPr>
          <w:rFonts w:ascii="Times New Roman" w:cs="Times New Roman" w:eastAsia="Times New Roman" w:hAnsi="Times New Roman"/>
          <w:sz w:val="24"/>
          <w:szCs w:val="24"/>
          <w:color w:val="auto"/>
        </w:rPr>
        <w:t>IFN-alfa ve 20-60 mg/gün</w:t>
      </w:r>
      <w:r>
        <w:rPr>
          <w:rFonts w:ascii="Times New Roman" w:cs="Times New Roman" w:eastAsia="Times New Roman" w:hAnsi="Times New Roman"/>
          <w:sz w:val="24"/>
          <w:szCs w:val="24"/>
          <w:color w:val="auto"/>
        </w:rPr>
        <w:t xml:space="preserve"> prednizon tedavisi uygulanmıştır. ASM hastalarının %60’ı tedaviye yanıt verirken </w:t>
      </w:r>
      <w:r>
        <w:rPr>
          <w:rFonts w:ascii="Times New Roman" w:cs="Times New Roman" w:eastAsia="Times New Roman" w:hAnsi="Times New Roman"/>
          <w:sz w:val="24"/>
          <w:szCs w:val="24"/>
          <w:color w:val="auto"/>
        </w:rPr>
        <w:t>SM-AH</w:t>
      </w:r>
      <w:r>
        <w:rPr>
          <w:rFonts w:ascii="Times New Roman" w:cs="Times New Roman" w:eastAsia="Times New Roman" w:hAnsi="Times New Roman"/>
          <w:sz w:val="24"/>
          <w:szCs w:val="24"/>
          <w:color w:val="auto"/>
        </w:rPr>
        <w:t>N hastalarının %45’i teda</w:t>
      </w:r>
      <w:r>
        <w:rPr>
          <w:rFonts w:ascii="Times New Roman" w:cs="Times New Roman" w:eastAsia="Times New Roman" w:hAnsi="Times New Roman"/>
          <w:sz w:val="24"/>
          <w:szCs w:val="24"/>
          <w:color w:val="auto"/>
        </w:rPr>
        <w:t>v</w:t>
      </w:r>
      <w:r>
        <w:rPr>
          <w:rFonts w:ascii="Times New Roman" w:cs="Times New Roman" w:eastAsia="Times New Roman" w:hAnsi="Times New Roman"/>
          <w:sz w:val="24"/>
          <w:szCs w:val="24"/>
          <w:color w:val="auto"/>
        </w:rPr>
        <w:t>iye yanıt vermiş</w:t>
      </w:r>
      <w:r>
        <w:rPr>
          <w:rFonts w:ascii="Times New Roman" w:cs="Times New Roman" w:eastAsia="Times New Roman" w:hAnsi="Times New Roman"/>
          <w:sz w:val="24"/>
          <w:szCs w:val="24"/>
          <w:color w:val="auto"/>
        </w:rPr>
        <w:t>tir</w:t>
      </w:r>
      <w:r>
        <w:rPr>
          <w:rFonts w:ascii="Times New Roman" w:cs="Times New Roman" w:eastAsia="Times New Roman" w:hAnsi="Times New Roman"/>
          <w:sz w:val="24"/>
          <w:szCs w:val="24"/>
          <w:color w:val="auto"/>
        </w:rPr>
        <w:t>. Ortalama yanıt süresinin 12 ay</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olduğu görülmüş</w:t>
      </w:r>
      <w:r>
        <w:rPr>
          <w:rFonts w:ascii="Times New Roman" w:cs="Times New Roman" w:eastAsia="Times New Roman" w:hAnsi="Times New Roman"/>
          <w:sz w:val="24"/>
          <w:szCs w:val="24"/>
          <w:color w:val="auto"/>
        </w:rPr>
        <w:t>tür (143). IFN-alfa</w:t>
      </w:r>
      <w:r>
        <w:rPr>
          <w:rFonts w:ascii="Times New Roman" w:cs="Times New Roman" w:eastAsia="Times New Roman" w:hAnsi="Times New Roman"/>
          <w:sz w:val="24"/>
          <w:szCs w:val="24"/>
          <w:color w:val="auto"/>
        </w:rPr>
        <w:t xml:space="preserve"> tedavisinin kesilmesi sonrası kısa sürede relaps gelişmektedir</w:t>
      </w:r>
      <w:r>
        <w:rPr>
          <w:rFonts w:ascii="Times New Roman" w:cs="Times New Roman" w:eastAsia="Times New Roman" w:hAnsi="Times New Roman"/>
          <w:sz w:val="24"/>
          <w:szCs w:val="24"/>
          <w:color w:val="auto"/>
        </w:rPr>
        <w:t>. Bu da IFN-</w:t>
      </w:r>
      <w:r>
        <w:rPr>
          <w:rFonts w:ascii="Times New Roman" w:cs="Times New Roman" w:eastAsia="Times New Roman" w:hAnsi="Times New Roman"/>
          <w:sz w:val="24"/>
          <w:szCs w:val="24"/>
          <w:color w:val="auto"/>
        </w:rPr>
        <w:t xml:space="preserve">alfanın daha çok sitoredüktif bir tedavi olduğunu </w:t>
      </w:r>
      <w:r>
        <w:rPr>
          <w:rFonts w:ascii="Times New Roman" w:cs="Times New Roman" w:eastAsia="Times New Roman" w:hAnsi="Times New Roman"/>
          <w:sz w:val="24"/>
          <w:szCs w:val="24"/>
          <w:color w:val="auto"/>
        </w:rPr>
        <w:t xml:space="preserve">göstermektedir (154). </w:t>
      </w:r>
      <w:r>
        <w:rPr>
          <w:rFonts w:ascii="Times New Roman" w:cs="Times New Roman" w:eastAsia="Times New Roman" w:hAnsi="Times New Roman"/>
          <w:sz w:val="24"/>
          <w:szCs w:val="24"/>
          <w:color w:val="auto"/>
        </w:rPr>
        <w:t>IFN alfa tedavisi bazı yayınlarda gösterilen anafilaksi benzeri</w:t>
      </w:r>
      <w:r>
        <w:rPr>
          <w:rFonts w:ascii="Times New Roman" w:cs="Times New Roman" w:eastAsia="Times New Roman" w:hAnsi="Times New Roman"/>
          <w:sz w:val="24"/>
          <w:szCs w:val="24"/>
          <w:color w:val="auto"/>
        </w:rPr>
        <w:t xml:space="preserve"> reaksiyonlar nedeniyle genellikle 20-60 mg/gün prednizon ile verilmektedir (155). IFN-alfa tedavisinin ciddi yan </w:t>
      </w:r>
      <w:r>
        <w:rPr>
          <w:rFonts w:ascii="Times New Roman" w:cs="Times New Roman" w:eastAsia="Times New Roman" w:hAnsi="Times New Roman"/>
          <w:sz w:val="24"/>
          <w:szCs w:val="24"/>
          <w:color w:val="auto"/>
        </w:rPr>
        <w:t>etkileri mevcuttur ve hastaların %50’</w:t>
      </w:r>
      <w:r>
        <w:rPr>
          <w:rFonts w:ascii="Times New Roman" w:cs="Times New Roman" w:eastAsia="Times New Roman" w:hAnsi="Times New Roman"/>
          <w:sz w:val="24"/>
          <w:szCs w:val="24"/>
          <w:color w:val="auto"/>
        </w:rPr>
        <w:t xml:space="preserve">sinde izlemde </w:t>
      </w:r>
      <w:r>
        <w:rPr>
          <w:rFonts w:ascii="Times New Roman" w:cs="Times New Roman" w:eastAsia="Times New Roman" w:hAnsi="Times New Roman"/>
          <w:sz w:val="24"/>
          <w:szCs w:val="24"/>
          <w:color w:val="auto"/>
        </w:rPr>
        <w:t xml:space="preserve">yan etkiler gelişmektedir </w:t>
      </w:r>
      <w:r>
        <w:rPr>
          <w:rFonts w:ascii="Times New Roman" w:cs="Times New Roman" w:eastAsia="Times New Roman" w:hAnsi="Times New Roman"/>
          <w:sz w:val="24"/>
          <w:szCs w:val="24"/>
          <w:color w:val="auto"/>
        </w:rPr>
        <w:t>(143)</w:t>
      </w:r>
      <w:r>
        <w:rPr>
          <w:rFonts w:ascii="Times New Roman" w:cs="Times New Roman" w:eastAsia="Times New Roman" w:hAnsi="Times New Roman"/>
          <w:sz w:val="24"/>
          <w:szCs w:val="24"/>
          <w:color w:val="auto"/>
        </w:rPr>
        <w:t xml:space="preserve">. İlacın yan etkileri arasında hipotiroidi, sitopeniler, grip benzeri reaksiyonlar, kemik ağrısı, ateş ve depresyon bulunmaktadır </w:t>
      </w:r>
      <w:r>
        <w:rPr>
          <w:rFonts w:ascii="Times New Roman" w:cs="Times New Roman" w:eastAsia="Times New Roman" w:hAnsi="Times New Roman"/>
          <w:sz w:val="24"/>
          <w:szCs w:val="24"/>
          <w:color w:val="auto"/>
        </w:rPr>
        <w:t>(150, 154).</w:t>
      </w:r>
      <w:r>
        <w:rPr>
          <w:rFonts w:ascii="Times New Roman" w:cs="Times New Roman" w:eastAsia="Times New Roman" w:hAnsi="Times New Roman"/>
          <w:sz w:val="24"/>
          <w:szCs w:val="24"/>
          <w:color w:val="auto"/>
        </w:rPr>
        <w:t xml:space="preserve"> Dirençli osteoporozu olan İSM vakalarında da </w:t>
      </w:r>
      <w:r>
        <w:rPr>
          <w:rFonts w:ascii="Times New Roman" w:cs="Times New Roman" w:eastAsia="Times New Roman" w:hAnsi="Times New Roman"/>
          <w:sz w:val="24"/>
          <w:szCs w:val="24"/>
          <w:color w:val="auto"/>
        </w:rPr>
        <w:t>kemik</w:t>
      </w:r>
      <w:r>
        <w:rPr>
          <w:rFonts w:ascii="Times New Roman" w:cs="Times New Roman" w:eastAsia="Times New Roman" w:hAnsi="Times New Roman"/>
          <w:sz w:val="24"/>
          <w:szCs w:val="24"/>
          <w:color w:val="auto"/>
        </w:rPr>
        <w:t xml:space="preserve"> mineral dansitesini arttırıcı etkisinden dolayı kullanılabilmektedir.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-2832735</wp:posOffset>
            </wp:positionV>
            <wp:extent cx="4699000" cy="18542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b w:val="1"/>
          <w:bCs w:val="1"/>
          <w:color w:val="auto"/>
        </w:rPr>
        <w:t>Hidroksiüre</w:t>
      </w:r>
    </w:p>
    <w:p>
      <w:pPr>
        <w:spacing w:after="0" w:line="200" w:lineRule="exact"/>
        <w:rPr>
          <w:sz w:val="20"/>
          <w:szCs w:val="20"/>
          <w:color w:val="auto"/>
        </w:rPr>
      </w:pPr>
    </w:p>
    <w:p>
      <w:pPr>
        <w:spacing w:after="0" w:line="364" w:lineRule="exact"/>
        <w:rPr>
          <w:sz w:val="20"/>
          <w:szCs w:val="20"/>
          <w:color w:val="auto"/>
        </w:rPr>
      </w:pPr>
    </w:p>
    <w:p>
      <w:pPr>
        <w:jc w:val="both"/>
        <w:ind w:left="840" w:firstLine="917"/>
        <w:spacing w:after="0" w:line="357" w:lineRule="auto"/>
        <w:rPr>
          <w:sz w:val="20"/>
          <w:szCs w:val="20"/>
          <w:color w:val="auto"/>
        </w:rPr>
      </w:pPr>
      <w:r>
        <w:rPr>
          <w:rFonts w:ascii="Times New Roman" w:cs="Times New Roman" w:eastAsia="Times New Roman" w:hAnsi="Times New Roman"/>
          <w:sz w:val="24"/>
          <w:szCs w:val="24"/>
          <w:color w:val="222222"/>
        </w:rPr>
        <w:t xml:space="preserve">Hidroksiüre, SM-AHN tedavisinde </w:t>
      </w:r>
      <w:r>
        <w:rPr>
          <w:rFonts w:ascii="Times New Roman" w:cs="Times New Roman" w:eastAsia="Times New Roman" w:hAnsi="Times New Roman"/>
          <w:sz w:val="24"/>
          <w:szCs w:val="24"/>
          <w:color w:val="222222"/>
        </w:rPr>
        <w:t>kullanılır.</w:t>
      </w:r>
      <w:r>
        <w:rPr>
          <w:rFonts w:ascii="Times New Roman" w:cs="Times New Roman" w:eastAsia="Times New Roman" w:hAnsi="Times New Roman"/>
          <w:sz w:val="24"/>
          <w:szCs w:val="24"/>
          <w:color w:val="222222"/>
        </w:rPr>
        <w:t xml:space="preserve"> Hidroksiüre, SM-</w:t>
      </w:r>
      <w:r>
        <w:rPr>
          <w:rFonts w:ascii="Times New Roman" w:cs="Times New Roman" w:eastAsia="Times New Roman" w:hAnsi="Times New Roman"/>
          <w:sz w:val="24"/>
          <w:szCs w:val="24"/>
          <w:color w:val="222222"/>
        </w:rPr>
        <w:t>AHN’de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genellikle eşlik eden hematolojik neoplazi komponentinin lökositoz, trombositoz ve splenomegali gibi etkilerini kontrol altına almak amacıyla kullanılır. Diğer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subtipleri tedavisinde </w:t>
      </w:r>
      <w:r>
        <w:rPr>
          <w:rFonts w:ascii="Times New Roman" w:cs="Times New Roman" w:eastAsia="Times New Roman" w:hAnsi="Times New Roman"/>
          <w:sz w:val="24"/>
          <w:szCs w:val="24"/>
          <w:color w:val="222222"/>
        </w:rPr>
        <w:t>hidroksiüre'nin etkinliği hakkında yayınlanmış çok az veri</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vardır </w:t>
      </w:r>
      <w:r>
        <w:rPr>
          <w:rFonts w:ascii="Times New Roman" w:cs="Times New Roman" w:eastAsia="Times New Roman" w:hAnsi="Times New Roman"/>
          <w:sz w:val="24"/>
          <w:szCs w:val="24"/>
          <w:color w:val="222222"/>
        </w:rPr>
        <w:t>(143).</w:t>
      </w:r>
    </w:p>
    <w:p>
      <w:pPr>
        <w:spacing w:after="0" w:line="200" w:lineRule="exact"/>
        <w:rPr>
          <w:sz w:val="20"/>
          <w:szCs w:val="20"/>
          <w:color w:val="auto"/>
        </w:rPr>
      </w:pPr>
    </w:p>
    <w:p>
      <w:pPr>
        <w:spacing w:after="0" w:line="230" w:lineRule="exact"/>
        <w:rPr>
          <w:sz w:val="20"/>
          <w:szCs w:val="20"/>
          <w:color w:val="auto"/>
        </w:rPr>
      </w:pPr>
    </w:p>
    <w:p>
      <w:pPr>
        <w:jc w:val="both"/>
        <w:ind w:left="840" w:firstLine="917"/>
        <w:spacing w:after="0" w:line="350" w:lineRule="auto"/>
        <w:rPr>
          <w:sz w:val="20"/>
          <w:szCs w:val="20"/>
          <w:color w:val="auto"/>
        </w:rPr>
      </w:pPr>
      <w:r>
        <w:rPr>
          <w:rFonts w:ascii="Times New Roman" w:cs="Times New Roman" w:eastAsia="Times New Roman" w:hAnsi="Times New Roman"/>
          <w:sz w:val="24"/>
          <w:szCs w:val="24"/>
          <w:color w:val="222222"/>
        </w:rPr>
        <w:t xml:space="preserve">AKHN, tedaviye dirençli ve multipl relapslar ile seyreden ASM, MHL ve SM-AHN ile takipli </w:t>
      </w:r>
      <w:r>
        <w:rPr>
          <w:rFonts w:ascii="Times New Roman" w:cs="Times New Roman" w:eastAsia="Times New Roman" w:hAnsi="Times New Roman"/>
          <w:sz w:val="24"/>
          <w:szCs w:val="24"/>
          <w:color w:val="222222"/>
        </w:rPr>
        <w:t>hastalarda kullanılabilir. Daha uzun süreli remisyon ve kür şansı</w:t>
      </w:r>
    </w:p>
    <w:p>
      <w:pPr>
        <w:sectPr>
          <w:pgSz w:w="11900" w:h="16838" w:orient="portrait"/>
          <w:cols w:equalWidth="0" w:num="1">
            <w:col w:w="9060"/>
          </w:cols>
          <w:pgMar w:left="1440" w:top="726" w:right="1406" w:bottom="1440" w:gutter="0" w:footer="0" w:header="0"/>
        </w:sectPr>
      </w:pPr>
    </w:p>
    <w:bookmarkStart w:id="32" w:name="page33"/>
    <w:bookmarkEnd w:id="32"/>
    <w:p>
      <w:pPr>
        <w:jc w:val="right"/>
        <w:spacing w:after="0"/>
        <w:rPr>
          <w:sz w:val="20"/>
          <w:szCs w:val="20"/>
          <w:color w:val="auto"/>
        </w:rPr>
      </w:pPr>
      <w:r>
        <w:rPr>
          <w:rFonts w:ascii="Calibri" w:cs="Calibri" w:eastAsia="Calibri" w:hAnsi="Calibri"/>
          <w:sz w:val="22"/>
          <w:szCs w:val="22"/>
          <w:color w:val="auto"/>
        </w:rPr>
        <w:t>22</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left="840"/>
        <w:spacing w:after="0" w:line="358" w:lineRule="auto"/>
        <w:rPr>
          <w:sz w:val="20"/>
          <w:szCs w:val="20"/>
          <w:color w:val="auto"/>
        </w:rPr>
      </w:pPr>
      <w:r>
        <w:rPr>
          <w:rFonts w:ascii="Times New Roman" w:cs="Times New Roman" w:eastAsia="Times New Roman" w:hAnsi="Times New Roman"/>
          <w:sz w:val="24"/>
          <w:szCs w:val="24"/>
          <w:color w:val="222222"/>
        </w:rPr>
        <w:t xml:space="preserve">mevcuttur. SM-AHN harici fazla tecrübe yoktur. AKHN </w:t>
      </w:r>
      <w:r>
        <w:rPr>
          <w:rFonts w:ascii="Times New Roman" w:cs="Times New Roman" w:eastAsia="Times New Roman" w:hAnsi="Times New Roman"/>
          <w:sz w:val="24"/>
          <w:szCs w:val="24"/>
          <w:color w:val="222222"/>
        </w:rPr>
        <w:t>planı hasta özelinde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değerlendirilmelidir. Üstün ve arkadaşları tarafından 2014 yılında yayınlanan çalışmada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AHN hastalarında 3 yıllık sağ kalım %70 civarlarında iken ASM ve </w:t>
      </w:r>
      <w:r>
        <w:rPr>
          <w:rFonts w:ascii="Times New Roman" w:cs="Times New Roman" w:eastAsia="Times New Roman" w:hAnsi="Times New Roman"/>
          <w:sz w:val="24"/>
          <w:szCs w:val="24"/>
          <w:color w:val="222222"/>
        </w:rPr>
        <w:t xml:space="preserve">MHL </w:t>
      </w:r>
      <w:r>
        <w:rPr>
          <w:rFonts w:ascii="Times New Roman" w:cs="Times New Roman" w:eastAsia="Times New Roman" w:hAnsi="Times New Roman"/>
          <w:sz w:val="24"/>
          <w:szCs w:val="24"/>
          <w:color w:val="222222"/>
        </w:rPr>
        <w:t>hastalarında sırasıyla bu oran %43 ve %17 düzeylerinde görülmüştür</w:t>
      </w:r>
      <w:r>
        <w:rPr>
          <w:rFonts w:ascii="Times New Roman" w:cs="Times New Roman" w:eastAsia="Times New Roman" w:hAnsi="Times New Roman"/>
          <w:sz w:val="24"/>
          <w:szCs w:val="24"/>
          <w:color w:val="222222"/>
        </w:rPr>
        <w:t xml:space="preserve"> (156, 157). AKHN </w:t>
      </w:r>
      <w:r>
        <w:rPr>
          <w:rFonts w:ascii="Times New Roman" w:cs="Times New Roman" w:eastAsia="Times New Roman" w:hAnsi="Times New Roman"/>
          <w:sz w:val="24"/>
          <w:szCs w:val="24"/>
          <w:color w:val="222222"/>
        </w:rPr>
        <w:t>planı olan hastalarda mast hücre yükünü azaltmak amacıyla</w:t>
      </w:r>
      <w:r>
        <w:rPr>
          <w:rFonts w:ascii="Times New Roman" w:cs="Times New Roman" w:eastAsia="Times New Roman" w:hAnsi="Times New Roman"/>
          <w:sz w:val="24"/>
          <w:szCs w:val="24"/>
          <w:color w:val="222222"/>
        </w:rPr>
        <w:t xml:space="preserve"> AKHN öncesi midostaurin ve kladribin verilebilir. IFN-alfa tedavisinin, Morton ve </w:t>
      </w:r>
      <w:r>
        <w:rPr>
          <w:rFonts w:ascii="Times New Roman" w:cs="Times New Roman" w:eastAsia="Times New Roman" w:hAnsi="Times New Roman"/>
          <w:sz w:val="24"/>
          <w:szCs w:val="24"/>
          <w:color w:val="222222"/>
        </w:rPr>
        <w:t xml:space="preserve">arkadaşları tarafından yapılan çalışmada GVHD riskini arttırdığı gözlemlendiği için </w:t>
      </w:r>
      <w:r>
        <w:rPr>
          <w:rFonts w:ascii="Times New Roman" w:cs="Times New Roman" w:eastAsia="Times New Roman" w:hAnsi="Times New Roman"/>
          <w:sz w:val="24"/>
          <w:szCs w:val="24"/>
          <w:color w:val="222222"/>
        </w:rPr>
        <w:t>AKHN öncesi önerilmemektedir (158).</w:t>
      </w:r>
    </w:p>
    <w:p>
      <w:pPr>
        <w:spacing w:after="0" w:line="200" w:lineRule="exact"/>
        <w:rPr>
          <w:sz w:val="20"/>
          <w:szCs w:val="20"/>
          <w:color w:val="auto"/>
        </w:rPr>
      </w:pPr>
    </w:p>
    <w:p>
      <w:pPr>
        <w:spacing w:after="0" w:line="220" w:lineRule="exact"/>
        <w:rPr>
          <w:sz w:val="20"/>
          <w:szCs w:val="20"/>
          <w:color w:val="auto"/>
        </w:rPr>
      </w:pPr>
    </w:p>
    <w:p>
      <w:pPr>
        <w:ind w:left="1300"/>
        <w:spacing w:after="0"/>
        <w:tabs>
          <w:tab w:leader="none" w:pos="2000" w:val="left"/>
        </w:tabs>
        <w:rPr>
          <w:sz w:val="20"/>
          <w:szCs w:val="20"/>
          <w:color w:val="auto"/>
        </w:rPr>
      </w:pPr>
      <w:r>
        <w:rPr>
          <w:rFonts w:ascii="Times New Roman" w:cs="Times New Roman" w:eastAsia="Times New Roman" w:hAnsi="Times New Roman"/>
          <w:sz w:val="24"/>
          <w:szCs w:val="24"/>
          <w:b w:val="1"/>
          <w:bCs w:val="1"/>
          <w:color w:val="222222"/>
        </w:rPr>
        <w:t>2.2.6</w:t>
        <w:tab/>
        <w:t>Prognoz</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90170</wp:posOffset>
            </wp:positionV>
            <wp:extent cx="5414010" cy="21031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extLst>
                    </a:blip>
                    <a:srcRect/>
                    <a:stretch>
                      <a:fillRect/>
                    </a:stretch>
                  </pic:blipFill>
                  <pic:spPr bwMode="auto">
                    <a:xfrm>
                      <a:off x="0" y="0"/>
                      <a:ext cx="5414010" cy="2103120"/>
                    </a:xfrm>
                    <a:prstGeom prst="rect">
                      <a:avLst/>
                    </a:prstGeom>
                    <a:noFill/>
                  </pic:spPr>
                </pic:pic>
              </a:graphicData>
            </a:graphic>
          </wp:anchor>
        </w:drawing>
      </w:r>
    </w:p>
    <w:p>
      <w:pPr>
        <w:spacing w:after="0" w:line="131" w:lineRule="exact"/>
        <w:rPr>
          <w:sz w:val="20"/>
          <w:szCs w:val="20"/>
          <w:color w:val="auto"/>
        </w:rPr>
      </w:pPr>
    </w:p>
    <w:p>
      <w:pPr>
        <w:jc w:val="both"/>
        <w:ind w:left="840" w:firstLine="917"/>
        <w:spacing w:after="0" w:line="357" w:lineRule="auto"/>
        <w:rPr>
          <w:sz w:val="20"/>
          <w:szCs w:val="20"/>
          <w:color w:val="auto"/>
        </w:rPr>
      </w:pPr>
      <w:r>
        <w:rPr>
          <w:rFonts w:ascii="Times New Roman" w:cs="Times New Roman" w:eastAsia="Times New Roman" w:hAnsi="Times New Roman"/>
          <w:sz w:val="24"/>
          <w:szCs w:val="24"/>
          <w:color w:val="222222"/>
        </w:rPr>
        <w:t xml:space="preserve">İSM ile takipli hastaların sağ kalım süresi normal popülasyon ile aynı </w:t>
      </w:r>
      <w:r>
        <w:rPr>
          <w:rFonts w:ascii="Times New Roman" w:cs="Times New Roman" w:eastAsia="Times New Roman" w:hAnsi="Times New Roman"/>
          <w:sz w:val="24"/>
          <w:szCs w:val="24"/>
          <w:color w:val="222222"/>
        </w:rPr>
        <w:t>görülmektedir (84)</w:t>
      </w:r>
      <w:r>
        <w:rPr>
          <w:rFonts w:ascii="Times New Roman" w:cs="Times New Roman" w:eastAsia="Times New Roman" w:hAnsi="Times New Roman"/>
          <w:sz w:val="24"/>
          <w:szCs w:val="24"/>
          <w:color w:val="222222"/>
        </w:rPr>
        <w:t>. SSM hastalarının ise yapılan epidemiyolojik çalışmalarda hem</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daha yaşlı olmaları hem de diğer kötü prognostik faktörlerden daha fazla bulundurmaları nedeniyle ortalama sağ kalım süreleri İSM hastalarına göre daha az </w:t>
      </w:r>
      <w:r>
        <w:rPr>
          <w:rFonts w:ascii="Times New Roman" w:cs="Times New Roman" w:eastAsia="Times New Roman" w:hAnsi="Times New Roman"/>
          <w:sz w:val="24"/>
          <w:szCs w:val="24"/>
          <w:color w:val="222222"/>
        </w:rPr>
        <w:t>olup (159)</w:t>
      </w:r>
      <w:r>
        <w:rPr>
          <w:rFonts w:ascii="Times New Roman" w:cs="Times New Roman" w:eastAsia="Times New Roman" w:hAnsi="Times New Roman"/>
          <w:sz w:val="24"/>
          <w:szCs w:val="24"/>
          <w:color w:val="222222"/>
        </w:rPr>
        <w:t>, hastalıklarının</w:t>
      </w:r>
      <w:r>
        <w:rPr>
          <w:rFonts w:ascii="Times New Roman" w:cs="Times New Roman" w:eastAsia="Times New Roman" w:hAnsi="Times New Roman"/>
          <w:sz w:val="24"/>
          <w:szCs w:val="24"/>
          <w:color w:val="222222"/>
        </w:rPr>
        <w:t xml:space="preserve"> daha agresif bir SM formuna ya da hematolojik neoplaziye </w:t>
      </w:r>
      <w:r>
        <w:rPr>
          <w:rFonts w:ascii="Times New Roman" w:cs="Times New Roman" w:eastAsia="Times New Roman" w:hAnsi="Times New Roman"/>
          <w:sz w:val="24"/>
          <w:szCs w:val="24"/>
          <w:color w:val="222222"/>
        </w:rPr>
        <w:t xml:space="preserve">dönüşme riski yaklaşık 6 kat daha fazladır </w:t>
      </w:r>
      <w:r>
        <w:rPr>
          <w:rFonts w:ascii="Times New Roman" w:cs="Times New Roman" w:eastAsia="Times New Roman" w:hAnsi="Times New Roman"/>
          <w:sz w:val="24"/>
          <w:szCs w:val="24"/>
          <w:color w:val="222222"/>
        </w:rPr>
        <w:t>(160).</w:t>
      </w:r>
    </w:p>
    <w:p>
      <w:pPr>
        <w:spacing w:after="0" w:line="200" w:lineRule="exact"/>
        <w:rPr>
          <w:sz w:val="20"/>
          <w:szCs w:val="20"/>
          <w:color w:val="auto"/>
        </w:rPr>
      </w:pPr>
    </w:p>
    <w:p>
      <w:pPr>
        <w:spacing w:after="0" w:line="234" w:lineRule="exact"/>
        <w:rPr>
          <w:sz w:val="20"/>
          <w:szCs w:val="20"/>
          <w:color w:val="auto"/>
        </w:rPr>
      </w:pPr>
    </w:p>
    <w:p>
      <w:pPr>
        <w:jc w:val="both"/>
        <w:ind w:left="840" w:firstLine="917"/>
        <w:spacing w:after="0" w:line="350" w:lineRule="auto"/>
        <w:rPr>
          <w:sz w:val="20"/>
          <w:szCs w:val="20"/>
          <w:color w:val="auto"/>
        </w:rPr>
      </w:pPr>
      <w:r>
        <w:rPr>
          <w:rFonts w:ascii="Times New Roman" w:cs="Times New Roman" w:eastAsia="Times New Roman" w:hAnsi="Times New Roman"/>
          <w:sz w:val="24"/>
          <w:szCs w:val="24"/>
          <w:color w:val="222222"/>
        </w:rPr>
        <w:t>Sistemik mastositoz</w:t>
      </w:r>
      <w:r>
        <w:rPr>
          <w:rFonts w:ascii="Times New Roman" w:cs="Times New Roman" w:eastAsia="Times New Roman" w:hAnsi="Times New Roman"/>
          <w:sz w:val="24"/>
          <w:szCs w:val="24"/>
          <w:color w:val="222222"/>
        </w:rPr>
        <w:t>un agresif formlarının</w:t>
      </w:r>
      <w:r>
        <w:rPr>
          <w:rFonts w:ascii="Times New Roman" w:cs="Times New Roman" w:eastAsia="Times New Roman" w:hAnsi="Times New Roman"/>
          <w:sz w:val="24"/>
          <w:szCs w:val="24"/>
          <w:color w:val="222222"/>
        </w:rPr>
        <w:t xml:space="preserve"> prognozunu öngörebilmek için </w:t>
      </w:r>
      <w:r>
        <w:rPr>
          <w:rFonts w:ascii="Times New Roman" w:cs="Times New Roman" w:eastAsia="Times New Roman" w:hAnsi="Times New Roman"/>
          <w:sz w:val="24"/>
          <w:szCs w:val="24"/>
          <w:color w:val="222222"/>
        </w:rPr>
        <w:t xml:space="preserve">çeşitli </w:t>
      </w:r>
      <w:r>
        <w:rPr>
          <w:rFonts w:ascii="Times New Roman" w:cs="Times New Roman" w:eastAsia="Times New Roman" w:hAnsi="Times New Roman"/>
          <w:sz w:val="24"/>
          <w:szCs w:val="24"/>
          <w:color w:val="222222"/>
        </w:rPr>
        <w:t>risk modelleri</w:t>
      </w:r>
      <w:r>
        <w:rPr>
          <w:rFonts w:ascii="Times New Roman" w:cs="Times New Roman" w:eastAsia="Times New Roman" w:hAnsi="Times New Roman"/>
          <w:sz w:val="24"/>
          <w:szCs w:val="24"/>
          <w:color w:val="222222"/>
        </w:rPr>
        <w:t xml:space="preserve"> oluşturulmuştur</w:t>
      </w:r>
      <w:r>
        <w:rPr>
          <w:rFonts w:ascii="Times New Roman" w:cs="Times New Roman" w:eastAsia="Times New Roman" w:hAnsi="Times New Roman"/>
          <w:sz w:val="24"/>
          <w:szCs w:val="24"/>
          <w:color w:val="222222"/>
        </w:rPr>
        <w:t>.</w:t>
      </w:r>
    </w:p>
    <w:p>
      <w:pPr>
        <w:spacing w:after="0" w:line="275"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222222"/>
        </w:rPr>
        <w:t>Mayo Klinik Risk Modeli (161)</w:t>
      </w:r>
    </w:p>
    <w:p>
      <w:pPr>
        <w:spacing w:after="0" w:line="264" w:lineRule="exact"/>
        <w:rPr>
          <w:sz w:val="20"/>
          <w:szCs w:val="20"/>
          <w:color w:val="auto"/>
        </w:rPr>
      </w:pPr>
    </w:p>
    <w:p>
      <w:pPr>
        <w:ind w:left="1760" w:hanging="564"/>
        <w:spacing w:after="0"/>
        <w:tabs>
          <w:tab w:leader="none" w:pos="1760" w:val="left"/>
        </w:tabs>
        <w:numPr>
          <w:ilvl w:val="0"/>
          <w:numId w:val="14"/>
        </w:numPr>
        <w:rPr>
          <w:rFonts w:ascii="Times New Roman" w:cs="Times New Roman" w:eastAsia="Times New Roman" w:hAnsi="Times New Roman"/>
          <w:sz w:val="24"/>
          <w:szCs w:val="24"/>
          <w:color w:val="222222"/>
        </w:rPr>
      </w:pPr>
      <w:r>
        <w:rPr>
          <w:rFonts w:ascii="Times New Roman" w:cs="Times New Roman" w:eastAsia="Times New Roman" w:hAnsi="Times New Roman"/>
          <w:sz w:val="24"/>
          <w:szCs w:val="24"/>
          <w:color w:val="222222"/>
        </w:rPr>
        <w:t xml:space="preserve">İlerlemiş SM vs </w:t>
      </w:r>
      <w:r>
        <w:rPr>
          <w:rFonts w:ascii="Times New Roman" w:cs="Times New Roman" w:eastAsia="Times New Roman" w:hAnsi="Times New Roman"/>
          <w:sz w:val="24"/>
          <w:szCs w:val="24"/>
          <w:color w:val="222222"/>
        </w:rPr>
        <w:t>ISM/SSM (HR 2,7)</w:t>
      </w:r>
    </w:p>
    <w:p>
      <w:pPr>
        <w:spacing w:after="0" w:line="264" w:lineRule="exact"/>
        <w:rPr>
          <w:rFonts w:ascii="Times New Roman" w:cs="Times New Roman" w:eastAsia="Times New Roman" w:hAnsi="Times New Roman"/>
          <w:sz w:val="24"/>
          <w:szCs w:val="24"/>
          <w:color w:val="222222"/>
        </w:rPr>
      </w:pPr>
    </w:p>
    <w:p>
      <w:pPr>
        <w:ind w:left="1760" w:hanging="564"/>
        <w:spacing w:after="0"/>
        <w:tabs>
          <w:tab w:leader="none" w:pos="1760" w:val="left"/>
        </w:tabs>
        <w:numPr>
          <w:ilvl w:val="0"/>
          <w:numId w:val="14"/>
        </w:numPr>
        <w:rPr>
          <w:rFonts w:ascii="Times New Roman" w:cs="Times New Roman" w:eastAsia="Times New Roman" w:hAnsi="Times New Roman"/>
          <w:sz w:val="24"/>
          <w:szCs w:val="24"/>
          <w:color w:val="222222"/>
        </w:rPr>
      </w:pPr>
      <w:r>
        <w:rPr>
          <w:rFonts w:ascii="Times New Roman" w:cs="Times New Roman" w:eastAsia="Times New Roman" w:hAnsi="Times New Roman"/>
          <w:sz w:val="24"/>
          <w:szCs w:val="24"/>
          <w:color w:val="222222"/>
        </w:rPr>
        <w:t>Yaş</w:t>
      </w:r>
      <w:r>
        <w:rPr>
          <w:rFonts w:ascii="Times New Roman" w:cs="Times New Roman" w:eastAsia="Times New Roman" w:hAnsi="Times New Roman"/>
          <w:sz w:val="24"/>
          <w:szCs w:val="24"/>
          <w:color w:val="222222"/>
        </w:rPr>
        <w:t>&gt; 60 y</w:t>
      </w:r>
      <w:r>
        <w:rPr>
          <w:rFonts w:ascii="Times New Roman" w:cs="Times New Roman" w:eastAsia="Times New Roman" w:hAnsi="Times New Roman"/>
          <w:sz w:val="24"/>
          <w:szCs w:val="24"/>
          <w:color w:val="222222"/>
        </w:rPr>
        <w:t xml:space="preserve">ıl </w:t>
      </w:r>
      <w:r>
        <w:rPr>
          <w:rFonts w:ascii="Times New Roman" w:cs="Times New Roman" w:eastAsia="Times New Roman" w:hAnsi="Times New Roman"/>
          <w:sz w:val="24"/>
          <w:szCs w:val="24"/>
          <w:color w:val="222222"/>
        </w:rPr>
        <w:t>(HR 2,5)</w:t>
      </w:r>
    </w:p>
    <w:p>
      <w:pPr>
        <w:spacing w:after="0" w:line="256" w:lineRule="exact"/>
        <w:rPr>
          <w:rFonts w:ascii="Times New Roman" w:cs="Times New Roman" w:eastAsia="Times New Roman" w:hAnsi="Times New Roman"/>
          <w:sz w:val="24"/>
          <w:szCs w:val="24"/>
          <w:color w:val="222222"/>
        </w:rPr>
      </w:pPr>
    </w:p>
    <w:p>
      <w:pPr>
        <w:ind w:left="1760" w:hanging="564"/>
        <w:spacing w:after="0"/>
        <w:tabs>
          <w:tab w:leader="none" w:pos="1760" w:val="left"/>
        </w:tabs>
        <w:numPr>
          <w:ilvl w:val="0"/>
          <w:numId w:val="14"/>
        </w:numPr>
        <w:rPr>
          <w:rFonts w:ascii="Times New Roman" w:cs="Times New Roman" w:eastAsia="Times New Roman" w:hAnsi="Times New Roman"/>
          <w:sz w:val="24"/>
          <w:szCs w:val="24"/>
          <w:color w:val="222222"/>
        </w:rPr>
      </w:pPr>
      <w:r>
        <w:rPr>
          <w:rFonts w:ascii="Times New Roman" w:cs="Times New Roman" w:eastAsia="Times New Roman" w:hAnsi="Times New Roman"/>
          <w:sz w:val="24"/>
          <w:szCs w:val="24"/>
          <w:color w:val="222222"/>
        </w:rPr>
        <w:t>Trombosit &lt; 150 bin/mm</w:t>
      </w:r>
      <w:r>
        <w:rPr>
          <w:rFonts w:ascii="Times New Roman" w:cs="Times New Roman" w:eastAsia="Times New Roman" w:hAnsi="Times New Roman"/>
          <w:sz w:val="32"/>
          <w:szCs w:val="32"/>
          <w:color w:val="222222"/>
          <w:vertAlign w:val="superscript"/>
        </w:rPr>
        <w:t>3</w:t>
      </w:r>
      <w:r>
        <w:rPr>
          <w:rFonts w:ascii="Times New Roman" w:cs="Times New Roman" w:eastAsia="Times New Roman" w:hAnsi="Times New Roman"/>
          <w:sz w:val="24"/>
          <w:szCs w:val="24"/>
          <w:color w:val="222222"/>
        </w:rPr>
        <w:t xml:space="preserve"> (HR 2,5)</w:t>
      </w:r>
    </w:p>
    <w:p>
      <w:pPr>
        <w:spacing w:after="0" w:line="179" w:lineRule="exact"/>
        <w:rPr>
          <w:rFonts w:ascii="Times New Roman" w:cs="Times New Roman" w:eastAsia="Times New Roman" w:hAnsi="Times New Roman"/>
          <w:sz w:val="24"/>
          <w:szCs w:val="24"/>
          <w:color w:val="222222"/>
        </w:rPr>
      </w:pPr>
    </w:p>
    <w:p>
      <w:pPr>
        <w:ind w:left="1760" w:hanging="564"/>
        <w:spacing w:after="0"/>
        <w:tabs>
          <w:tab w:leader="none" w:pos="1760" w:val="left"/>
        </w:tabs>
        <w:numPr>
          <w:ilvl w:val="0"/>
          <w:numId w:val="14"/>
        </w:numPr>
        <w:rPr>
          <w:rFonts w:ascii="Times New Roman" w:cs="Times New Roman" w:eastAsia="Times New Roman" w:hAnsi="Times New Roman"/>
          <w:sz w:val="24"/>
          <w:szCs w:val="24"/>
          <w:color w:val="222222"/>
        </w:rPr>
      </w:pPr>
      <w:r>
        <w:rPr>
          <w:rFonts w:ascii="Times New Roman" w:cs="Times New Roman" w:eastAsia="Times New Roman" w:hAnsi="Times New Roman"/>
          <w:sz w:val="24"/>
          <w:szCs w:val="24"/>
          <w:color w:val="222222"/>
        </w:rPr>
        <w:t>Anemi (HR 2,2)</w:t>
      </w:r>
    </w:p>
    <w:p>
      <w:pPr>
        <w:spacing w:after="0" w:line="264" w:lineRule="exact"/>
        <w:rPr>
          <w:rFonts w:ascii="Times New Roman" w:cs="Times New Roman" w:eastAsia="Times New Roman" w:hAnsi="Times New Roman"/>
          <w:sz w:val="24"/>
          <w:szCs w:val="24"/>
          <w:color w:val="222222"/>
        </w:rPr>
      </w:pPr>
    </w:p>
    <w:p>
      <w:pPr>
        <w:ind w:left="1760" w:hanging="564"/>
        <w:spacing w:after="0"/>
        <w:tabs>
          <w:tab w:leader="none" w:pos="1760" w:val="left"/>
        </w:tabs>
        <w:numPr>
          <w:ilvl w:val="0"/>
          <w:numId w:val="14"/>
        </w:numPr>
        <w:rPr>
          <w:rFonts w:ascii="Times New Roman" w:cs="Times New Roman" w:eastAsia="Times New Roman" w:hAnsi="Times New Roman"/>
          <w:sz w:val="24"/>
          <w:szCs w:val="24"/>
          <w:color w:val="222222"/>
        </w:rPr>
      </w:pPr>
      <w:r>
        <w:rPr>
          <w:rFonts w:ascii="Times New Roman" w:cs="Times New Roman" w:eastAsia="Times New Roman" w:hAnsi="Times New Roman"/>
          <w:sz w:val="24"/>
          <w:szCs w:val="24"/>
          <w:color w:val="222222"/>
        </w:rPr>
        <w:t>Yüksek serum alkalen fosfataz (HR 2,1)</w:t>
      </w:r>
    </w:p>
    <w:p>
      <w:pPr>
        <w:spacing w:after="0" w:line="26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222222"/>
        </w:rPr>
        <w:t>Ortalama takip süresi 34 ay olan agresif sistemik mastositoz ile takipli 277 hastada,</w:t>
      </w:r>
    </w:p>
    <w:p>
      <w:pPr>
        <w:spacing w:after="0" w:line="26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222222"/>
        </w:rPr>
        <w:t xml:space="preserve">olumsuz klinik özelliklerin sayısı </w:t>
      </w:r>
      <w:r>
        <w:rPr>
          <w:rFonts w:ascii="Times New Roman" w:cs="Times New Roman" w:eastAsia="Times New Roman" w:hAnsi="Times New Roman"/>
          <w:sz w:val="24"/>
          <w:szCs w:val="24"/>
          <w:color w:val="222222"/>
        </w:rPr>
        <w:t>ve</w:t>
      </w:r>
      <w:r>
        <w:rPr>
          <w:rFonts w:ascii="Times New Roman" w:cs="Times New Roman" w:eastAsia="Times New Roman" w:hAnsi="Times New Roman"/>
          <w:sz w:val="24"/>
          <w:szCs w:val="24"/>
          <w:color w:val="222222"/>
        </w:rPr>
        <w:t xml:space="preserve"> medyan sağ kalım </w:t>
      </w:r>
      <w:r>
        <w:rPr>
          <w:rFonts w:ascii="Times New Roman" w:cs="Times New Roman" w:eastAsia="Times New Roman" w:hAnsi="Times New Roman"/>
          <w:sz w:val="24"/>
          <w:szCs w:val="24"/>
          <w:color w:val="222222"/>
        </w:rPr>
        <w:t>süreleri</w:t>
      </w:r>
      <w:r>
        <w:rPr>
          <w:rFonts w:ascii="Times New Roman" w:cs="Times New Roman" w:eastAsia="Times New Roman" w:hAnsi="Times New Roman"/>
          <w:sz w:val="24"/>
          <w:szCs w:val="24"/>
          <w:color w:val="222222"/>
        </w:rPr>
        <w:t xml:space="preserve"> aşağıda belirtilmiştir:</w:t>
      </w:r>
    </w:p>
    <w:p>
      <w:pPr>
        <w:sectPr>
          <w:pgSz w:w="11900" w:h="16838" w:orient="portrait"/>
          <w:cols w:equalWidth="0" w:num="1">
            <w:col w:w="9060"/>
          </w:cols>
          <w:pgMar w:left="1440" w:top="714" w:right="1406" w:bottom="1440" w:gutter="0" w:footer="0" w:header="0"/>
        </w:sectPr>
      </w:pPr>
    </w:p>
    <w:bookmarkStart w:id="33" w:name="page34"/>
    <w:bookmarkEnd w:id="33"/>
    <w:p>
      <w:pPr>
        <w:jc w:val="right"/>
        <w:spacing w:after="0"/>
        <w:rPr>
          <w:sz w:val="20"/>
          <w:szCs w:val="20"/>
          <w:color w:val="auto"/>
        </w:rPr>
      </w:pPr>
      <w:r>
        <w:rPr>
          <w:rFonts w:ascii="Calibri" w:cs="Calibri" w:eastAsia="Calibri" w:hAnsi="Calibri"/>
          <w:sz w:val="22"/>
          <w:szCs w:val="22"/>
          <w:color w:val="auto"/>
        </w:rPr>
        <w:t>23</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color w:val="232323"/>
        </w:rPr>
        <w:t>0 özellik (21 hasta):</w:t>
      </w:r>
      <w:r>
        <w:rPr>
          <w:rFonts w:ascii="Times New Roman" w:cs="Times New Roman" w:eastAsia="Times New Roman" w:hAnsi="Times New Roman"/>
          <w:sz w:val="24"/>
          <w:szCs w:val="24"/>
          <w:color w:val="232323"/>
        </w:rPr>
        <w:t xml:space="preserve"> Medyan sağ kalım süresine ulaşılamamış</w:t>
      </w:r>
    </w:p>
    <w:p>
      <w:pPr>
        <w:spacing w:after="0" w:line="13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color w:val="232323"/>
        </w:rPr>
        <w:t>1 tane özellik mevcut: (42 hasta): 157 ay</w:t>
      </w:r>
    </w:p>
    <w:p>
      <w:pPr>
        <w:spacing w:after="0" w:line="139"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color w:val="232323"/>
        </w:rPr>
        <w:t>2 tane özellik mevcut (63 hasta): 57 ay</w:t>
      </w:r>
    </w:p>
    <w:p>
      <w:pPr>
        <w:spacing w:after="0" w:line="13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color w:val="232323"/>
        </w:rPr>
        <w:t>3 tane özellik mevcut (94 hasta): 276 ay</w:t>
      </w:r>
    </w:p>
    <w:p>
      <w:pPr>
        <w:spacing w:after="0" w:line="139"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color w:val="232323"/>
        </w:rPr>
        <w:t>4 tane özellik mevcut (57 hasta): 9 ay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222222"/>
        </w:rPr>
        <w:t>Mayo Klinik-Moleküler Risk Modeli (161)</w:t>
      </w:r>
    </w:p>
    <w:p>
      <w:pPr>
        <w:spacing w:after="0" w:line="265" w:lineRule="exact"/>
        <w:rPr>
          <w:sz w:val="20"/>
          <w:szCs w:val="20"/>
          <w:color w:val="auto"/>
        </w:rPr>
      </w:pPr>
    </w:p>
    <w:p>
      <w:pPr>
        <w:ind w:left="1760" w:hanging="564"/>
        <w:spacing w:after="0"/>
        <w:tabs>
          <w:tab w:leader="none" w:pos="1760" w:val="left"/>
        </w:tabs>
        <w:numPr>
          <w:ilvl w:val="0"/>
          <w:numId w:val="15"/>
        </w:numPr>
        <w:rPr>
          <w:rFonts w:ascii="Times New Roman" w:cs="Times New Roman" w:eastAsia="Times New Roman" w:hAnsi="Times New Roman"/>
          <w:sz w:val="24"/>
          <w:szCs w:val="24"/>
          <w:color w:val="222222"/>
        </w:rPr>
      </w:pPr>
      <w:r>
        <w:rPr>
          <w:rFonts w:ascii="Times New Roman" w:cs="Times New Roman" w:eastAsia="Times New Roman" w:hAnsi="Times New Roman"/>
          <w:sz w:val="24"/>
          <w:szCs w:val="24"/>
          <w:color w:val="222222"/>
        </w:rPr>
        <w:t xml:space="preserve">İlerlemiş </w:t>
      </w:r>
      <w:r>
        <w:rPr>
          <w:rFonts w:ascii="Times New Roman" w:cs="Times New Roman" w:eastAsia="Times New Roman" w:hAnsi="Times New Roman"/>
          <w:sz w:val="24"/>
          <w:szCs w:val="24"/>
          <w:color w:val="222222"/>
        </w:rPr>
        <w:t>SM vs ISM/SSM (2 puan)</w:t>
      </w:r>
    </w:p>
    <w:p>
      <w:pPr>
        <w:spacing w:after="0" w:line="264" w:lineRule="exact"/>
        <w:rPr>
          <w:rFonts w:ascii="Times New Roman" w:cs="Times New Roman" w:eastAsia="Times New Roman" w:hAnsi="Times New Roman"/>
          <w:sz w:val="24"/>
          <w:szCs w:val="24"/>
          <w:color w:val="222222"/>
        </w:rPr>
      </w:pPr>
    </w:p>
    <w:p>
      <w:pPr>
        <w:ind w:left="1760" w:hanging="564"/>
        <w:spacing w:after="0"/>
        <w:tabs>
          <w:tab w:leader="none" w:pos="1760" w:val="left"/>
        </w:tabs>
        <w:numPr>
          <w:ilvl w:val="0"/>
          <w:numId w:val="15"/>
        </w:numPr>
        <w:rPr>
          <w:rFonts w:ascii="Times New Roman" w:cs="Times New Roman" w:eastAsia="Times New Roman" w:hAnsi="Times New Roman"/>
          <w:sz w:val="24"/>
          <w:szCs w:val="24"/>
          <w:color w:val="222222"/>
        </w:rPr>
      </w:pPr>
      <w:r>
        <w:rPr>
          <w:rFonts w:ascii="Times New Roman" w:cs="Times New Roman" w:eastAsia="Times New Roman" w:hAnsi="Times New Roman"/>
          <w:sz w:val="24"/>
          <w:szCs w:val="24"/>
          <w:color w:val="222222"/>
        </w:rPr>
        <w:t>Yaş</w:t>
      </w:r>
      <w:r>
        <w:rPr>
          <w:rFonts w:ascii="Times New Roman" w:cs="Times New Roman" w:eastAsia="Times New Roman" w:hAnsi="Times New Roman"/>
          <w:sz w:val="24"/>
          <w:szCs w:val="24"/>
          <w:color w:val="222222"/>
        </w:rPr>
        <w:t>&gt; 60 y</w:t>
      </w:r>
      <w:r>
        <w:rPr>
          <w:rFonts w:ascii="Times New Roman" w:cs="Times New Roman" w:eastAsia="Times New Roman" w:hAnsi="Times New Roman"/>
          <w:sz w:val="24"/>
          <w:szCs w:val="24"/>
          <w:color w:val="222222"/>
        </w:rPr>
        <w:t xml:space="preserve">ıl </w:t>
      </w:r>
      <w:r>
        <w:rPr>
          <w:rFonts w:ascii="Times New Roman" w:cs="Times New Roman" w:eastAsia="Times New Roman" w:hAnsi="Times New Roman"/>
          <w:sz w:val="24"/>
          <w:szCs w:val="24"/>
          <w:color w:val="222222"/>
        </w:rPr>
        <w:t>(1 puan)</w:t>
      </w:r>
    </w:p>
    <w:p>
      <w:pPr>
        <w:spacing w:after="0" w:line="264" w:lineRule="exact"/>
        <w:rPr>
          <w:rFonts w:ascii="Times New Roman" w:cs="Times New Roman" w:eastAsia="Times New Roman" w:hAnsi="Times New Roman"/>
          <w:sz w:val="24"/>
          <w:szCs w:val="24"/>
          <w:color w:val="222222"/>
        </w:rPr>
      </w:pPr>
    </w:p>
    <w:p>
      <w:pPr>
        <w:ind w:left="1760" w:hanging="564"/>
        <w:spacing w:after="0"/>
        <w:tabs>
          <w:tab w:leader="none" w:pos="1760" w:val="left"/>
        </w:tabs>
        <w:numPr>
          <w:ilvl w:val="0"/>
          <w:numId w:val="15"/>
        </w:numPr>
        <w:rPr>
          <w:rFonts w:ascii="Times New Roman" w:cs="Times New Roman" w:eastAsia="Times New Roman" w:hAnsi="Times New Roman"/>
          <w:sz w:val="24"/>
          <w:szCs w:val="24"/>
          <w:color w:val="222222"/>
        </w:rPr>
      </w:pPr>
      <w:r>
        <w:rPr>
          <w:rFonts w:ascii="Times New Roman" w:cs="Times New Roman" w:eastAsia="Times New Roman" w:hAnsi="Times New Roman"/>
          <w:sz w:val="24"/>
          <w:szCs w:val="24"/>
          <w:color w:val="222222"/>
        </w:rPr>
        <w:t>Trombosit&lt;150 × 109/l (1 puan)</w:t>
      </w:r>
    </w:p>
    <w:p>
      <w:pPr>
        <w:spacing w:after="0" w:line="264" w:lineRule="exact"/>
        <w:rPr>
          <w:rFonts w:ascii="Times New Roman" w:cs="Times New Roman" w:eastAsia="Times New Roman" w:hAnsi="Times New Roman"/>
          <w:sz w:val="24"/>
          <w:szCs w:val="24"/>
          <w:color w:val="222222"/>
        </w:rPr>
      </w:pPr>
    </w:p>
    <w:p>
      <w:pPr>
        <w:ind w:left="1760" w:hanging="564"/>
        <w:spacing w:after="0"/>
        <w:tabs>
          <w:tab w:leader="none" w:pos="1760" w:val="left"/>
        </w:tabs>
        <w:numPr>
          <w:ilvl w:val="0"/>
          <w:numId w:val="15"/>
        </w:numPr>
        <w:rPr>
          <w:rFonts w:ascii="Times New Roman" w:cs="Times New Roman" w:eastAsia="Times New Roman" w:hAnsi="Times New Roman"/>
          <w:sz w:val="24"/>
          <w:szCs w:val="24"/>
          <w:color w:val="222222"/>
        </w:rPr>
      </w:pPr>
      <w:r>
        <w:rPr>
          <w:rFonts w:ascii="Times New Roman" w:cs="Times New Roman" w:eastAsia="Times New Roman" w:hAnsi="Times New Roman"/>
          <w:sz w:val="24"/>
          <w:szCs w:val="24"/>
          <w:color w:val="222222"/>
        </w:rPr>
        <w:t>Yüksek serum alkalen fosfataz (1 puan)</w:t>
      </w:r>
    </w:p>
    <w:p>
      <w:pPr>
        <w:spacing w:after="0" w:line="264" w:lineRule="exact"/>
        <w:rPr>
          <w:rFonts w:ascii="Times New Roman" w:cs="Times New Roman" w:eastAsia="Times New Roman" w:hAnsi="Times New Roman"/>
          <w:sz w:val="24"/>
          <w:szCs w:val="24"/>
          <w:color w:val="222222"/>
        </w:rPr>
      </w:pPr>
    </w:p>
    <w:p>
      <w:pPr>
        <w:ind w:left="1760" w:hanging="564"/>
        <w:spacing w:after="0"/>
        <w:tabs>
          <w:tab w:leader="none" w:pos="1760" w:val="left"/>
        </w:tabs>
        <w:numPr>
          <w:ilvl w:val="0"/>
          <w:numId w:val="15"/>
        </w:numPr>
        <w:rPr>
          <w:rFonts w:ascii="Times New Roman" w:cs="Times New Roman" w:eastAsia="Times New Roman" w:hAnsi="Times New Roman"/>
          <w:sz w:val="24"/>
          <w:szCs w:val="24"/>
          <w:color w:val="222222"/>
        </w:rPr>
      </w:pPr>
      <w:r>
        <w:rPr>
          <w:rFonts w:ascii="Times New Roman" w:cs="Times New Roman" w:eastAsia="Times New Roman" w:hAnsi="Times New Roman"/>
          <w:sz w:val="24"/>
          <w:szCs w:val="24"/>
          <w:color w:val="222222"/>
        </w:rPr>
        <w:t>Kötü mutasyonlar (</w:t>
      </w:r>
      <w:r>
        <w:rPr>
          <w:rFonts w:ascii="Times New Roman" w:cs="Times New Roman" w:eastAsia="Times New Roman" w:hAnsi="Times New Roman"/>
          <w:sz w:val="24"/>
          <w:szCs w:val="24"/>
          <w:i w:val="1"/>
          <w:iCs w:val="1"/>
          <w:color w:val="222222"/>
        </w:rPr>
        <w:t>ASXL1, RUNX1, NRAS</w:t>
      </w:r>
      <w:r>
        <w:rPr>
          <w:rFonts w:ascii="Times New Roman" w:cs="Times New Roman" w:eastAsia="Times New Roman" w:hAnsi="Times New Roman"/>
          <w:sz w:val="24"/>
          <w:szCs w:val="24"/>
          <w:color w:val="222222"/>
        </w:rPr>
        <w:t>) (1 puan)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-1369060</wp:posOffset>
            </wp:positionV>
            <wp:extent cx="5414010" cy="24003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extLst>
                    </a:blip>
                    <a:srcRect/>
                    <a:stretch>
                      <a:fillRect/>
                    </a:stretch>
                  </pic:blipFill>
                  <pic:spPr bwMode="auto">
                    <a:xfrm>
                      <a:off x="0" y="0"/>
                      <a:ext cx="5414010" cy="2400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222222"/>
        </w:rPr>
        <w:t>Bu model de klinik risk modeli ile aynı kohortta çalışılmıştır</w:t>
      </w:r>
      <w:r>
        <w:rPr>
          <w:rFonts w:ascii="Times New Roman" w:cs="Times New Roman" w:eastAsia="Times New Roman" w:hAnsi="Times New Roman"/>
          <w:sz w:val="24"/>
          <w:szCs w:val="24"/>
          <w:color w:val="222222"/>
        </w:rPr>
        <w:t>. Agresif mastositoz ile</w:t>
      </w:r>
    </w:p>
    <w:p>
      <w:pPr>
        <w:spacing w:after="0" w:line="264" w:lineRule="exact"/>
        <w:rPr>
          <w:sz w:val="20"/>
          <w:szCs w:val="20"/>
          <w:color w:val="auto"/>
        </w:rPr>
      </w:pPr>
    </w:p>
    <w:p>
      <w:pPr>
        <w:ind w:left="840"/>
        <w:spacing w:after="0"/>
        <w:tabs>
          <w:tab w:leader="none" w:pos="1580" w:val="left"/>
          <w:tab w:leader="none" w:pos="2580" w:val="left"/>
          <w:tab w:leader="none" w:pos="2860" w:val="left"/>
          <w:tab w:leader="none" w:pos="3480" w:val="left"/>
          <w:tab w:leader="none" w:pos="4560" w:val="left"/>
          <w:tab w:leader="none" w:pos="5140" w:val="left"/>
          <w:tab w:leader="none" w:pos="5500" w:val="left"/>
          <w:tab w:leader="none" w:pos="6140" w:val="left"/>
          <w:tab w:leader="none" w:pos="6540" w:val="left"/>
          <w:tab w:leader="none" w:pos="7300" w:val="left"/>
          <w:tab w:leader="none" w:pos="8300" w:val="left"/>
          <w:tab w:leader="none" w:pos="8560" w:val="left"/>
        </w:tabs>
        <w:rPr>
          <w:sz w:val="20"/>
          <w:szCs w:val="20"/>
          <w:color w:val="auto"/>
        </w:rPr>
      </w:pPr>
      <w:r>
        <w:rPr>
          <w:rFonts w:ascii="Times New Roman" w:cs="Times New Roman" w:eastAsia="Times New Roman" w:hAnsi="Times New Roman"/>
          <w:sz w:val="24"/>
          <w:szCs w:val="24"/>
          <w:color w:val="222222"/>
        </w:rPr>
        <w:t>takipli</w:t>
        <w:tab/>
        <w:t>hastalara</w:t>
        <w:tab/>
        <w:t>2</w:t>
        <w:tab/>
        <w:t>puan</w:t>
        <w:tab/>
        <w:t>verilirken</w:t>
        <w:tab/>
        <w:t>İSM</w:t>
        <w:tab/>
        <w:t>ve</w:t>
        <w:tab/>
        <w:t>SSM</w:t>
        <w:tab/>
        <w:t>ile</w:t>
        <w:tab/>
        <w:t>takipli</w:t>
        <w:tab/>
        <w:t>hastalara</w:t>
        <w:tab/>
        <w:t>0</w:t>
        <w:tab/>
        <w:t>puan</w:t>
      </w:r>
    </w:p>
    <w:p>
      <w:pPr>
        <w:spacing w:after="0" w:line="26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222222"/>
        </w:rPr>
        <w:t>verilmiş</w:t>
      </w:r>
      <w:r>
        <w:rPr>
          <w:rFonts w:ascii="Times New Roman" w:cs="Times New Roman" w:eastAsia="Times New Roman" w:hAnsi="Times New Roman"/>
          <w:sz w:val="24"/>
          <w:szCs w:val="24"/>
          <w:color w:val="222222"/>
        </w:rPr>
        <w:t>tir. Mastositoz alt türü haricindeki tüm özelliklere bir puan</w:t>
      </w:r>
      <w:r>
        <w:rPr>
          <w:rFonts w:ascii="Times New Roman" w:cs="Times New Roman" w:eastAsia="Times New Roman" w:hAnsi="Times New Roman"/>
          <w:sz w:val="24"/>
          <w:szCs w:val="24"/>
          <w:color w:val="222222"/>
        </w:rPr>
        <w:t xml:space="preserve"> verilmiş ve alınan</w:t>
      </w:r>
    </w:p>
    <w:p>
      <w:pPr>
        <w:spacing w:after="0" w:line="26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222222"/>
        </w:rPr>
        <w:t>puanlara göre hastalar kategorilere ayrılmıştır</w:t>
      </w:r>
      <w:r>
        <w:rPr>
          <w:rFonts w:ascii="Times New Roman" w:cs="Times New Roman" w:eastAsia="Times New Roman" w:hAnsi="Times New Roman"/>
          <w:sz w:val="24"/>
          <w:szCs w:val="24"/>
          <w:color w:val="222222"/>
        </w:rPr>
        <w:t>.</w:t>
      </w:r>
    </w:p>
    <w:p>
      <w:pPr>
        <w:spacing w:after="0" w:line="26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222222"/>
        </w:rPr>
        <w:t>Bu kategoriler ve sağ kalım süreleri;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4"/>
          <w:szCs w:val="24"/>
          <w:color w:val="232323"/>
        </w:rPr>
        <w:t xml:space="preserve">●Düşük riskli grup (≤2 </w:t>
      </w:r>
      <w:r>
        <w:rPr>
          <w:rFonts w:ascii="Times New Roman" w:cs="Times New Roman" w:eastAsia="Times New Roman" w:hAnsi="Times New Roman"/>
          <w:sz w:val="24"/>
          <w:szCs w:val="24"/>
          <w:color w:val="232323"/>
        </w:rPr>
        <w:t>puan): 198 ay</w:t>
      </w:r>
    </w:p>
    <w:p>
      <w:pPr>
        <w:spacing w:after="0" w:line="139"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color w:val="232323"/>
        </w:rPr>
        <w:t>Orta risk-1 (3 puan): 85 ay</w:t>
      </w:r>
    </w:p>
    <w:p>
      <w:pPr>
        <w:spacing w:after="0" w:line="13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color w:val="232323"/>
        </w:rPr>
        <w:t>Orta risk-2 (4 puan): 36 ay</w:t>
      </w:r>
    </w:p>
    <w:p>
      <w:pPr>
        <w:spacing w:after="0" w:line="139"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color w:val="232323"/>
        </w:rPr>
        <w:t>Yüksek risk</w:t>
      </w:r>
      <w:r>
        <w:rPr>
          <w:rFonts w:ascii="Times New Roman" w:cs="Times New Roman" w:eastAsia="Times New Roman" w:hAnsi="Times New Roman"/>
          <w:sz w:val="24"/>
          <w:szCs w:val="24"/>
          <w:color w:val="232323"/>
        </w:rPr>
        <w:t xml:space="preserve"> (≥5 p</w:t>
      </w:r>
      <w:r>
        <w:rPr>
          <w:rFonts w:ascii="Times New Roman" w:cs="Times New Roman" w:eastAsia="Times New Roman" w:hAnsi="Times New Roman"/>
          <w:sz w:val="24"/>
          <w:szCs w:val="24"/>
          <w:color w:val="232323"/>
        </w:rPr>
        <w:t>uan): 12</w:t>
      </w:r>
      <w:r>
        <w:rPr>
          <w:rFonts w:ascii="Times New Roman" w:cs="Times New Roman" w:eastAsia="Times New Roman" w:hAnsi="Times New Roman"/>
          <w:sz w:val="24"/>
          <w:szCs w:val="24"/>
          <w:color w:val="232323"/>
        </w:rPr>
        <w:t xml:space="preserve"> ay şeklinde bulunmuş</w:t>
      </w:r>
      <w:r>
        <w:rPr>
          <w:rFonts w:ascii="Times New Roman" w:cs="Times New Roman" w:eastAsia="Times New Roman" w:hAnsi="Times New Roman"/>
          <w:sz w:val="24"/>
          <w:szCs w:val="24"/>
          <w:color w:val="232323"/>
        </w:rPr>
        <w:t>tur.</w:t>
      </w:r>
    </w:p>
    <w:p>
      <w:pPr>
        <w:spacing w:after="0" w:line="200" w:lineRule="exact"/>
        <w:rPr>
          <w:sz w:val="20"/>
          <w:szCs w:val="20"/>
          <w:color w:val="auto"/>
        </w:rPr>
      </w:pPr>
    </w:p>
    <w:p>
      <w:pPr>
        <w:spacing w:after="0" w:line="364" w:lineRule="exact"/>
        <w:rPr>
          <w:sz w:val="20"/>
          <w:szCs w:val="20"/>
          <w:color w:val="auto"/>
        </w:rPr>
      </w:pPr>
    </w:p>
    <w:p>
      <w:pPr>
        <w:jc w:val="both"/>
        <w:ind w:left="840"/>
        <w:spacing w:after="0" w:line="354" w:lineRule="auto"/>
        <w:rPr>
          <w:sz w:val="20"/>
          <w:szCs w:val="20"/>
          <w:color w:val="auto"/>
        </w:rPr>
      </w:pPr>
      <w:r>
        <w:rPr>
          <w:rFonts w:ascii="Times New Roman" w:cs="Times New Roman" w:eastAsia="Times New Roman" w:hAnsi="Times New Roman"/>
          <w:sz w:val="24"/>
          <w:szCs w:val="24"/>
          <w:color w:val="232323"/>
        </w:rPr>
        <w:t xml:space="preserve">Son olarak sistemik mastositoz </w:t>
      </w:r>
      <w:r>
        <w:rPr>
          <w:rFonts w:ascii="Times New Roman" w:cs="Times New Roman" w:eastAsia="Times New Roman" w:hAnsi="Times New Roman"/>
          <w:sz w:val="24"/>
          <w:szCs w:val="24"/>
          <w:color w:val="232323"/>
        </w:rPr>
        <w:t>subtipinden bağımsız</w:t>
      </w:r>
      <w:r>
        <w:rPr>
          <w:rFonts w:ascii="Times New Roman" w:cs="Times New Roman" w:eastAsia="Times New Roman" w:hAnsi="Times New Roman"/>
          <w:sz w:val="24"/>
          <w:szCs w:val="24"/>
          <w:color w:val="232323"/>
        </w:rPr>
        <w:t xml:space="preserve"> MARS prognostik modeli </w:t>
      </w:r>
      <w:r>
        <w:rPr>
          <w:rFonts w:ascii="Times New Roman" w:cs="Times New Roman" w:eastAsia="Times New Roman" w:hAnsi="Times New Roman"/>
          <w:sz w:val="24"/>
          <w:szCs w:val="24"/>
          <w:color w:val="232323"/>
        </w:rPr>
        <w:t xml:space="preserve">oluşturulmuştur. MARS toplamda 383 hastayı kapsayan uluslararası bir kohorttan oluşturulmuştur </w:t>
      </w:r>
      <w:r>
        <w:rPr>
          <w:rFonts w:ascii="Times New Roman" w:cs="Times New Roman" w:eastAsia="Times New Roman" w:hAnsi="Times New Roman"/>
          <w:sz w:val="24"/>
          <w:szCs w:val="24"/>
          <w:color w:val="232323"/>
        </w:rPr>
        <w:t>(161).</w:t>
      </w:r>
    </w:p>
    <w:p>
      <w:pPr>
        <w:sectPr>
          <w:pgSz w:w="11900" w:h="16838" w:orient="portrait"/>
          <w:cols w:equalWidth="0" w:num="1">
            <w:col w:w="9060"/>
          </w:cols>
          <w:pgMar w:left="1440" w:top="714" w:right="1406" w:bottom="1440" w:gutter="0" w:footer="0" w:header="0"/>
        </w:sectPr>
      </w:pPr>
    </w:p>
    <w:bookmarkStart w:id="34" w:name="page35"/>
    <w:bookmarkEnd w:id="34"/>
    <w:p>
      <w:pPr>
        <w:ind w:left="8840"/>
        <w:spacing w:after="0"/>
        <w:rPr>
          <w:sz w:val="20"/>
          <w:szCs w:val="20"/>
          <w:color w:val="auto"/>
        </w:rPr>
      </w:pPr>
      <w:r>
        <w:rPr>
          <w:rFonts w:ascii="Calibri" w:cs="Calibri" w:eastAsia="Calibri" w:hAnsi="Calibri"/>
          <w:sz w:val="21"/>
          <w:szCs w:val="21"/>
          <w:color w:val="auto"/>
        </w:rPr>
        <w:t>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1560" w:hanging="364"/>
        <w:spacing w:after="0"/>
        <w:tabs>
          <w:tab w:leader="none" w:pos="1560" w:val="left"/>
        </w:tabs>
        <w:numPr>
          <w:ilvl w:val="0"/>
          <w:numId w:val="16"/>
        </w:numPr>
        <w:rPr>
          <w:rFonts w:ascii="Times New Roman" w:cs="Times New Roman" w:eastAsia="Times New Roman" w:hAnsi="Times New Roman"/>
          <w:sz w:val="24"/>
          <w:szCs w:val="24"/>
          <w:color w:val="232323"/>
        </w:rPr>
      </w:pPr>
      <w:r>
        <w:rPr>
          <w:rFonts w:ascii="Times New Roman" w:cs="Times New Roman" w:eastAsia="Times New Roman" w:hAnsi="Times New Roman"/>
          <w:sz w:val="24"/>
          <w:szCs w:val="24"/>
          <w:color w:val="232323"/>
        </w:rPr>
        <w:t>Yaş &gt;60 (1 puan)</w:t>
      </w:r>
    </w:p>
    <w:p>
      <w:pPr>
        <w:spacing w:after="0" w:line="139" w:lineRule="exact"/>
        <w:rPr>
          <w:rFonts w:ascii="Times New Roman" w:cs="Times New Roman" w:eastAsia="Times New Roman" w:hAnsi="Times New Roman"/>
          <w:sz w:val="24"/>
          <w:szCs w:val="24"/>
          <w:color w:val="232323"/>
        </w:rPr>
      </w:pPr>
    </w:p>
    <w:p>
      <w:pPr>
        <w:ind w:left="1560" w:hanging="364"/>
        <w:spacing w:after="0"/>
        <w:tabs>
          <w:tab w:leader="none" w:pos="1560" w:val="left"/>
        </w:tabs>
        <w:numPr>
          <w:ilvl w:val="0"/>
          <w:numId w:val="16"/>
        </w:numPr>
        <w:rPr>
          <w:rFonts w:ascii="Times New Roman" w:cs="Times New Roman" w:eastAsia="Times New Roman" w:hAnsi="Times New Roman"/>
          <w:sz w:val="24"/>
          <w:szCs w:val="24"/>
          <w:color w:val="232323"/>
        </w:rPr>
      </w:pPr>
      <w:r>
        <w:rPr>
          <w:rFonts w:ascii="Times New Roman" w:cs="Times New Roman" w:eastAsia="Times New Roman" w:hAnsi="Times New Roman"/>
          <w:sz w:val="24"/>
          <w:szCs w:val="24"/>
          <w:color w:val="232323"/>
        </w:rPr>
        <w:t>Hemoglobin &lt;10 g/dL (1 puan)</w:t>
      </w:r>
    </w:p>
    <w:p>
      <w:pPr>
        <w:spacing w:after="0" w:line="129" w:lineRule="exact"/>
        <w:rPr>
          <w:rFonts w:ascii="Times New Roman" w:cs="Times New Roman" w:eastAsia="Times New Roman" w:hAnsi="Times New Roman"/>
          <w:sz w:val="24"/>
          <w:szCs w:val="24"/>
          <w:color w:val="232323"/>
        </w:rPr>
      </w:pPr>
    </w:p>
    <w:p>
      <w:pPr>
        <w:ind w:left="1620" w:hanging="424"/>
        <w:spacing w:after="0"/>
        <w:tabs>
          <w:tab w:leader="none" w:pos="1620" w:val="left"/>
        </w:tabs>
        <w:numPr>
          <w:ilvl w:val="0"/>
          <w:numId w:val="16"/>
        </w:numPr>
        <w:rPr>
          <w:rFonts w:ascii="Times New Roman" w:cs="Times New Roman" w:eastAsia="Times New Roman" w:hAnsi="Times New Roman"/>
          <w:sz w:val="24"/>
          <w:szCs w:val="24"/>
          <w:color w:val="232323"/>
        </w:rPr>
      </w:pPr>
      <w:r>
        <w:rPr>
          <w:rFonts w:ascii="Times New Roman" w:cs="Times New Roman" w:eastAsia="Times New Roman" w:hAnsi="Times New Roman"/>
          <w:sz w:val="24"/>
          <w:szCs w:val="24"/>
          <w:color w:val="232323"/>
        </w:rPr>
        <w:t xml:space="preserve">Trombosit </w:t>
      </w:r>
      <w:r>
        <w:rPr>
          <w:rFonts w:ascii="Times New Roman" w:cs="Times New Roman" w:eastAsia="Times New Roman" w:hAnsi="Times New Roman"/>
          <w:sz w:val="24"/>
          <w:szCs w:val="24"/>
          <w:color w:val="232323"/>
        </w:rPr>
        <w:t>sayısı &lt;100</w:t>
      </w:r>
      <w:r>
        <w:rPr>
          <w:rFonts w:ascii="Times New Roman" w:cs="Times New Roman" w:eastAsia="Times New Roman" w:hAnsi="Times New Roman"/>
          <w:sz w:val="24"/>
          <w:szCs w:val="24"/>
          <w:color w:val="232323"/>
        </w:rPr>
        <w:t xml:space="preserve"> bin/mm</w:t>
      </w:r>
      <w:r>
        <w:rPr>
          <w:rFonts w:ascii="Times New Roman" w:cs="Times New Roman" w:eastAsia="Times New Roman" w:hAnsi="Times New Roman"/>
          <w:sz w:val="32"/>
          <w:szCs w:val="32"/>
          <w:color w:val="232323"/>
          <w:vertAlign w:val="superscript"/>
        </w:rPr>
        <w:t>3</w:t>
      </w:r>
      <w:r>
        <w:rPr>
          <w:rFonts w:ascii="Times New Roman" w:cs="Times New Roman" w:eastAsia="Times New Roman" w:hAnsi="Times New Roman"/>
          <w:sz w:val="24"/>
          <w:szCs w:val="24"/>
          <w:color w:val="232323"/>
        </w:rPr>
        <w:t xml:space="preserve"> (1 puan)</w:t>
      </w:r>
    </w:p>
    <w:p>
      <w:pPr>
        <w:spacing w:after="0" w:line="54" w:lineRule="exact"/>
        <w:rPr>
          <w:rFonts w:ascii="Times New Roman" w:cs="Times New Roman" w:eastAsia="Times New Roman" w:hAnsi="Times New Roman"/>
          <w:sz w:val="24"/>
          <w:szCs w:val="24"/>
          <w:color w:val="232323"/>
        </w:rPr>
      </w:pPr>
    </w:p>
    <w:p>
      <w:pPr>
        <w:ind w:left="1620" w:hanging="424"/>
        <w:spacing w:after="0"/>
        <w:tabs>
          <w:tab w:leader="none" w:pos="1620" w:val="left"/>
        </w:tabs>
        <w:numPr>
          <w:ilvl w:val="0"/>
          <w:numId w:val="16"/>
        </w:numPr>
        <w:rPr>
          <w:rFonts w:ascii="Times New Roman" w:cs="Times New Roman" w:eastAsia="Times New Roman" w:hAnsi="Times New Roman"/>
          <w:sz w:val="24"/>
          <w:szCs w:val="24"/>
          <w:color w:val="232323"/>
        </w:rPr>
      </w:pPr>
      <w:r>
        <w:rPr>
          <w:rFonts w:ascii="Times New Roman" w:cs="Times New Roman" w:eastAsia="Times New Roman" w:hAnsi="Times New Roman"/>
          <w:sz w:val="24"/>
          <w:szCs w:val="24"/>
          <w:color w:val="232323"/>
        </w:rPr>
        <w:t xml:space="preserve">ALP&gt; normalin </w:t>
      </w:r>
      <w:r>
        <w:rPr>
          <w:rFonts w:ascii="Times New Roman" w:cs="Times New Roman" w:eastAsia="Times New Roman" w:hAnsi="Times New Roman"/>
          <w:sz w:val="24"/>
          <w:szCs w:val="24"/>
          <w:color w:val="232323"/>
        </w:rPr>
        <w:t>üst sınırı (1 puan)</w:t>
      </w:r>
    </w:p>
    <w:p>
      <w:pPr>
        <w:spacing w:after="0" w:line="149" w:lineRule="exact"/>
        <w:rPr>
          <w:rFonts w:ascii="Times New Roman" w:cs="Times New Roman" w:eastAsia="Times New Roman" w:hAnsi="Times New Roman"/>
          <w:sz w:val="24"/>
          <w:szCs w:val="24"/>
          <w:color w:val="232323"/>
        </w:rPr>
      </w:pPr>
    </w:p>
    <w:p>
      <w:pPr>
        <w:ind w:left="1560" w:hanging="364"/>
        <w:spacing w:after="0" w:line="350" w:lineRule="auto"/>
        <w:tabs>
          <w:tab w:leader="none" w:pos="1560" w:val="left"/>
        </w:tabs>
        <w:numPr>
          <w:ilvl w:val="0"/>
          <w:numId w:val="16"/>
        </w:numPr>
        <w:rPr>
          <w:rFonts w:ascii="Times New Roman" w:cs="Times New Roman" w:eastAsia="Times New Roman" w:hAnsi="Times New Roman"/>
          <w:sz w:val="24"/>
          <w:szCs w:val="24"/>
          <w:color w:val="232323"/>
        </w:rPr>
      </w:pPr>
      <w:r>
        <w:rPr>
          <w:rFonts w:ascii="Times New Roman" w:cs="Times New Roman" w:eastAsia="Times New Roman" w:hAnsi="Times New Roman"/>
          <w:sz w:val="24"/>
          <w:szCs w:val="24"/>
          <w:i w:val="1"/>
          <w:iCs w:val="1"/>
          <w:color w:val="232323"/>
        </w:rPr>
        <w:t>SRSF2</w:t>
      </w: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i w:val="1"/>
          <w:iCs w:val="1"/>
          <w:color w:val="232323"/>
        </w:rPr>
        <w:t xml:space="preserve"> ASXL1</w:t>
      </w:r>
      <w:r>
        <w:rPr>
          <w:rFonts w:ascii="Times New Roman" w:cs="Times New Roman" w:eastAsia="Times New Roman" w:hAnsi="Times New Roman"/>
          <w:sz w:val="24"/>
          <w:szCs w:val="24"/>
          <w:color w:val="232323"/>
        </w:rPr>
        <w:t>, ve/veya</w:t>
      </w:r>
      <w:r>
        <w:rPr>
          <w:rFonts w:ascii="Times New Roman" w:cs="Times New Roman" w:eastAsia="Times New Roman" w:hAnsi="Times New Roman"/>
          <w:sz w:val="24"/>
          <w:szCs w:val="24"/>
          <w:i w:val="1"/>
          <w:iCs w:val="1"/>
          <w:color w:val="232323"/>
        </w:rPr>
        <w:t xml:space="preserve"> RUNX1 </w:t>
      </w:r>
      <w:r>
        <w:rPr>
          <w:rFonts w:ascii="Times New Roman" w:cs="Times New Roman" w:eastAsia="Times New Roman" w:hAnsi="Times New Roman"/>
          <w:sz w:val="24"/>
          <w:szCs w:val="24"/>
          <w:color w:val="232323"/>
        </w:rPr>
        <w:t>mutasyonlarından bir tanesinin olması</w:t>
      </w:r>
      <w:r>
        <w:rPr>
          <w:rFonts w:ascii="Times New Roman" w:cs="Times New Roman" w:eastAsia="Times New Roman" w:hAnsi="Times New Roman"/>
          <w:sz w:val="24"/>
          <w:szCs w:val="24"/>
          <w:i w:val="1"/>
          <w:iCs w:val="1"/>
          <w:color w:val="232323"/>
        </w:rPr>
        <w:t xml:space="preserve"> </w:t>
      </w:r>
      <w:r>
        <w:rPr>
          <w:rFonts w:ascii="Times New Roman" w:cs="Times New Roman" w:eastAsia="Times New Roman" w:hAnsi="Times New Roman"/>
          <w:sz w:val="24"/>
          <w:szCs w:val="24"/>
          <w:color w:val="232323"/>
        </w:rPr>
        <w:t>(1</w:t>
      </w:r>
      <w:r>
        <w:rPr>
          <w:rFonts w:ascii="Times New Roman" w:cs="Times New Roman" w:eastAsia="Times New Roman" w:hAnsi="Times New Roman"/>
          <w:sz w:val="24"/>
          <w:szCs w:val="24"/>
          <w:i w:val="1"/>
          <w:iCs w:val="1"/>
          <w:color w:val="232323"/>
        </w:rPr>
        <w:t xml:space="preserve"> </w:t>
      </w:r>
      <w:r>
        <w:rPr>
          <w:rFonts w:ascii="Times New Roman" w:cs="Times New Roman" w:eastAsia="Times New Roman" w:hAnsi="Times New Roman"/>
          <w:sz w:val="24"/>
          <w:szCs w:val="24"/>
          <w:color w:val="232323"/>
        </w:rPr>
        <w:t>puan)</w:t>
      </w:r>
    </w:p>
    <w:p>
      <w:pPr>
        <w:spacing w:after="0" w:line="10" w:lineRule="exact"/>
        <w:rPr>
          <w:rFonts w:ascii="Times New Roman" w:cs="Times New Roman" w:eastAsia="Times New Roman" w:hAnsi="Times New Roman"/>
          <w:sz w:val="24"/>
          <w:szCs w:val="24"/>
          <w:color w:val="232323"/>
        </w:rPr>
      </w:pPr>
    </w:p>
    <w:p>
      <w:pPr>
        <w:ind w:left="1620" w:hanging="424"/>
        <w:spacing w:after="0"/>
        <w:tabs>
          <w:tab w:leader="none" w:pos="1620" w:val="left"/>
        </w:tabs>
        <w:numPr>
          <w:ilvl w:val="0"/>
          <w:numId w:val="16"/>
        </w:numPr>
        <w:rPr>
          <w:rFonts w:ascii="Times New Roman" w:cs="Times New Roman" w:eastAsia="Times New Roman" w:hAnsi="Times New Roman"/>
          <w:sz w:val="24"/>
          <w:szCs w:val="24"/>
          <w:color w:val="232323"/>
        </w:rPr>
      </w:pPr>
      <w:r>
        <w:rPr>
          <w:rFonts w:ascii="Times New Roman" w:cs="Times New Roman" w:eastAsia="Times New Roman" w:hAnsi="Times New Roman"/>
          <w:sz w:val="24"/>
          <w:szCs w:val="24"/>
          <w:i w:val="1"/>
          <w:iCs w:val="1"/>
          <w:color w:val="232323"/>
        </w:rPr>
        <w:t>SRSF2</w:t>
      </w: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i w:val="1"/>
          <w:iCs w:val="1"/>
          <w:color w:val="232323"/>
        </w:rPr>
        <w:t xml:space="preserve"> ASXL1</w:t>
      </w:r>
      <w:r>
        <w:rPr>
          <w:rFonts w:ascii="Times New Roman" w:cs="Times New Roman" w:eastAsia="Times New Roman" w:hAnsi="Times New Roman"/>
          <w:sz w:val="24"/>
          <w:szCs w:val="24"/>
          <w:color w:val="232323"/>
        </w:rPr>
        <w:t>, ve/veya</w:t>
      </w:r>
      <w:r>
        <w:rPr>
          <w:rFonts w:ascii="Times New Roman" w:cs="Times New Roman" w:eastAsia="Times New Roman" w:hAnsi="Times New Roman"/>
          <w:sz w:val="24"/>
          <w:szCs w:val="24"/>
          <w:i w:val="1"/>
          <w:iCs w:val="1"/>
          <w:color w:val="232323"/>
        </w:rPr>
        <w:t xml:space="preserve"> RUNX1  </w:t>
      </w:r>
      <w:r>
        <w:rPr>
          <w:rFonts w:ascii="Times New Roman" w:cs="Times New Roman" w:eastAsia="Times New Roman" w:hAnsi="Times New Roman"/>
          <w:sz w:val="24"/>
          <w:szCs w:val="24"/>
          <w:color w:val="232323"/>
        </w:rPr>
        <w:t>mutasyonlarından</w:t>
      </w:r>
      <w:r>
        <w:rPr>
          <w:rFonts w:ascii="Times New Roman" w:cs="Times New Roman" w:eastAsia="Times New Roman" w:hAnsi="Times New Roman"/>
          <w:sz w:val="24"/>
          <w:szCs w:val="24"/>
          <w:i w:val="1"/>
          <w:iCs w:val="1"/>
          <w:color w:val="232323"/>
        </w:rPr>
        <w:t xml:space="preserve">  </w:t>
      </w:r>
      <w:r>
        <w:rPr>
          <w:rFonts w:ascii="Times New Roman" w:cs="Times New Roman" w:eastAsia="Times New Roman" w:hAnsi="Times New Roman"/>
          <w:sz w:val="24"/>
          <w:szCs w:val="24"/>
          <w:color w:val="232323"/>
        </w:rPr>
        <w:t>2  ya  da  daha  fazla</w:t>
      </w:r>
    </w:p>
    <w:p>
      <w:pPr>
        <w:spacing w:after="0" w:line="140" w:lineRule="exact"/>
        <w:rPr>
          <w:sz w:val="20"/>
          <w:szCs w:val="20"/>
          <w:color w:val="auto"/>
        </w:rPr>
      </w:pPr>
    </w:p>
    <w:p>
      <w:pPr>
        <w:ind w:left="1560"/>
        <w:spacing w:after="0"/>
        <w:rPr>
          <w:sz w:val="20"/>
          <w:szCs w:val="20"/>
          <w:color w:val="auto"/>
        </w:rPr>
      </w:pPr>
      <w:r>
        <w:rPr>
          <w:rFonts w:ascii="Times New Roman" w:cs="Times New Roman" w:eastAsia="Times New Roman" w:hAnsi="Times New Roman"/>
          <w:sz w:val="24"/>
          <w:szCs w:val="24"/>
          <w:color w:val="232323"/>
        </w:rPr>
        <w:t xml:space="preserve">mutasyonun olması </w:t>
      </w:r>
      <w:r>
        <w:rPr>
          <w:rFonts w:ascii="Times New Roman" w:cs="Times New Roman" w:eastAsia="Times New Roman" w:hAnsi="Times New Roman"/>
          <w:sz w:val="24"/>
          <w:szCs w:val="24"/>
          <w:color w:val="232323"/>
        </w:rPr>
        <w:t>(2 puan)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352425</wp:posOffset>
            </wp:positionV>
            <wp:extent cx="5414010" cy="21031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extLst>
                    </a:blip>
                    <a:srcRect/>
                    <a:stretch>
                      <a:fillRect/>
                    </a:stretch>
                  </pic:blipFill>
                  <pic:spPr bwMode="auto">
                    <a:xfrm>
                      <a:off x="0" y="0"/>
                      <a:ext cx="5414010" cy="2103120"/>
                    </a:xfrm>
                    <a:prstGeom prst="rect">
                      <a:avLst/>
                    </a:prstGeom>
                    <a:noFill/>
                  </pic:spPr>
                </pic:pic>
              </a:graphicData>
            </a:graphic>
          </wp:anchor>
        </w:drawing>
      </w:r>
    </w:p>
    <w:p>
      <w:pPr>
        <w:spacing w:after="0" w:line="200" w:lineRule="exact"/>
        <w:rPr>
          <w:sz w:val="20"/>
          <w:szCs w:val="20"/>
          <w:color w:val="auto"/>
        </w:rPr>
      </w:pPr>
    </w:p>
    <w:p>
      <w:pPr>
        <w:spacing w:after="0" w:line="344" w:lineRule="exact"/>
        <w:rPr>
          <w:sz w:val="20"/>
          <w:szCs w:val="20"/>
          <w:color w:val="auto"/>
        </w:rPr>
      </w:pPr>
    </w:p>
    <w:p>
      <w:pPr>
        <w:jc w:val="both"/>
        <w:ind w:left="840"/>
        <w:spacing w:after="0" w:line="356" w:lineRule="auto"/>
        <w:rPr>
          <w:sz w:val="20"/>
          <w:szCs w:val="20"/>
          <w:color w:val="auto"/>
        </w:rPr>
      </w:pPr>
      <w:r>
        <w:rPr>
          <w:rFonts w:ascii="Times New Roman" w:cs="Times New Roman" w:eastAsia="Times New Roman" w:hAnsi="Times New Roman"/>
          <w:sz w:val="24"/>
          <w:szCs w:val="24"/>
          <w:color w:val="222222"/>
          <w:highlight w:val="white"/>
        </w:rPr>
        <w:t xml:space="preserve">Hastalar midostaurin, kladribin veya midostaurin ve ardından kladribin ile tedavi </w:t>
      </w:r>
      <w:r>
        <w:rPr>
          <w:rFonts w:ascii="Times New Roman" w:cs="Times New Roman" w:eastAsia="Times New Roman" w:hAnsi="Times New Roman"/>
          <w:sz w:val="24"/>
          <w:szCs w:val="24"/>
          <w:color w:val="222222"/>
          <w:highlight w:val="white"/>
        </w:rPr>
        <w:t>edil</w:t>
      </w:r>
      <w:r>
        <w:rPr>
          <w:rFonts w:ascii="Times New Roman" w:cs="Times New Roman" w:eastAsia="Times New Roman" w:hAnsi="Times New Roman"/>
          <w:sz w:val="24"/>
          <w:szCs w:val="24"/>
          <w:color w:val="222222"/>
          <w:highlight w:val="white"/>
        </w:rPr>
        <w:t>miş</w:t>
      </w:r>
      <w:r>
        <w:rPr>
          <w:rFonts w:ascii="Times New Roman" w:cs="Times New Roman" w:eastAsia="Times New Roman" w:hAnsi="Times New Roman"/>
          <w:sz w:val="24"/>
          <w:szCs w:val="24"/>
          <w:color w:val="222222"/>
          <w:highlight w:val="white"/>
        </w:rPr>
        <w:t xml:space="preserve">tir. </w:t>
      </w:r>
      <w:r>
        <w:rPr>
          <w:rFonts w:ascii="Times New Roman" w:cs="Times New Roman" w:eastAsia="Times New Roman" w:hAnsi="Times New Roman"/>
          <w:sz w:val="24"/>
          <w:szCs w:val="24"/>
          <w:color w:val="222222"/>
          <w:highlight w:val="white"/>
        </w:rPr>
        <w:t>Hastalar alınan toplam puana göre risk kategorilerine ayrılmıştır</w:t>
      </w:r>
      <w:r>
        <w:rPr>
          <w:rFonts w:ascii="Times New Roman" w:cs="Times New Roman" w:eastAsia="Times New Roman" w:hAnsi="Times New Roman"/>
          <w:sz w:val="24"/>
          <w:szCs w:val="24"/>
          <w:color w:val="222222"/>
          <w:highlight w:val="white"/>
        </w:rPr>
        <w:t xml:space="preserve">. </w:t>
      </w:r>
      <w:r>
        <w:rPr>
          <w:rFonts w:ascii="Times New Roman" w:cs="Times New Roman" w:eastAsia="Times New Roman" w:hAnsi="Times New Roman"/>
          <w:sz w:val="24"/>
          <w:szCs w:val="24"/>
          <w:color w:val="222222"/>
          <w:highlight w:val="white"/>
        </w:rPr>
        <w:t xml:space="preserve">Hastaların toplam sağ kalımı </w:t>
      </w:r>
      <w:r>
        <w:rPr>
          <w:rFonts w:ascii="Times New Roman" w:cs="Times New Roman" w:eastAsia="Times New Roman" w:hAnsi="Times New Roman"/>
          <w:sz w:val="24"/>
          <w:szCs w:val="24"/>
          <w:color w:val="222222"/>
          <w:highlight w:val="white"/>
        </w:rPr>
        <w:t>(OS)</w:t>
      </w:r>
      <w:r>
        <w:rPr>
          <w:rFonts w:ascii="Times New Roman" w:cs="Times New Roman" w:eastAsia="Times New Roman" w:hAnsi="Times New Roman"/>
          <w:sz w:val="24"/>
          <w:szCs w:val="24"/>
          <w:color w:val="222222"/>
          <w:highlight w:val="white"/>
        </w:rPr>
        <w:t xml:space="preserve"> ve lösemisiz yaşam süresi </w:t>
      </w:r>
      <w:r>
        <w:rPr>
          <w:rFonts w:ascii="Times New Roman" w:cs="Times New Roman" w:eastAsia="Times New Roman" w:hAnsi="Times New Roman"/>
          <w:sz w:val="24"/>
          <w:szCs w:val="24"/>
          <w:color w:val="222222"/>
          <w:highlight w:val="white"/>
        </w:rPr>
        <w:t>(LFS)</w:t>
      </w:r>
      <w:r>
        <w:rPr>
          <w:rFonts w:ascii="Times New Roman" w:cs="Times New Roman" w:eastAsia="Times New Roman" w:hAnsi="Times New Roman"/>
          <w:sz w:val="24"/>
          <w:szCs w:val="24"/>
          <w:color w:val="222222"/>
          <w:highlight w:val="white"/>
        </w:rPr>
        <w:t xml:space="preserve"> değerlendirildiğinde;</w:t>
      </w:r>
      <w:r>
        <w:rPr>
          <w:rFonts w:ascii="Times New Roman" w:cs="Times New Roman" w:eastAsia="Times New Roman" w:hAnsi="Times New Roman"/>
          <w:sz w:val="24"/>
          <w:szCs w:val="24"/>
          <w:color w:val="222222"/>
          <w:highlight w:val="white"/>
        </w:rPr>
        <w:t>.</w:t>
      </w:r>
    </w:p>
    <w:p>
      <w:pPr>
        <w:spacing w:after="0" w:line="200" w:lineRule="exact"/>
        <w:rPr>
          <w:sz w:val="20"/>
          <w:szCs w:val="20"/>
          <w:color w:val="auto"/>
        </w:rPr>
      </w:pPr>
    </w:p>
    <w:p>
      <w:pPr>
        <w:spacing w:after="0" w:line="219"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4"/>
          <w:szCs w:val="24"/>
          <w:color w:val="232323"/>
        </w:rPr>
        <w:t xml:space="preserve">●Düşük </w:t>
      </w:r>
      <w:r>
        <w:rPr>
          <w:rFonts w:ascii="Times New Roman" w:cs="Times New Roman" w:eastAsia="Times New Roman" w:hAnsi="Times New Roman"/>
          <w:sz w:val="24"/>
          <w:szCs w:val="24"/>
          <w:color w:val="232323"/>
        </w:rPr>
        <w:t>risk (0-1 puan): OS</w:t>
      </w:r>
      <w:r>
        <w:rPr>
          <w:rFonts w:ascii="Times New Roman" w:cs="Times New Roman" w:eastAsia="Times New Roman" w:hAnsi="Times New Roman"/>
          <w:sz w:val="24"/>
          <w:szCs w:val="24"/>
          <w:color w:val="232323"/>
        </w:rPr>
        <w:t xml:space="preserve"> ulaşılamamış</w:t>
      </w:r>
      <w:r>
        <w:rPr>
          <w:rFonts w:ascii="Times New Roman" w:cs="Times New Roman" w:eastAsia="Times New Roman" w:hAnsi="Times New Roman"/>
          <w:sz w:val="24"/>
          <w:szCs w:val="24"/>
          <w:color w:val="232323"/>
        </w:rPr>
        <w:t>, LFS 12,4</w:t>
      </w:r>
      <w:r>
        <w:rPr>
          <w:rFonts w:ascii="Times New Roman" w:cs="Times New Roman" w:eastAsia="Times New Roman" w:hAnsi="Times New Roman"/>
          <w:sz w:val="24"/>
          <w:szCs w:val="24"/>
          <w:color w:val="232323"/>
        </w:rPr>
        <w:t xml:space="preserve"> yıl</w:t>
      </w:r>
    </w:p>
    <w:p>
      <w:pPr>
        <w:spacing w:after="0" w:line="139"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color w:val="232323"/>
        </w:rPr>
        <w:t>Ara risk (2 puan): OS 4,3 y</w:t>
      </w:r>
      <w:r>
        <w:rPr>
          <w:rFonts w:ascii="Times New Roman" w:cs="Times New Roman" w:eastAsia="Times New Roman" w:hAnsi="Times New Roman"/>
          <w:sz w:val="24"/>
          <w:szCs w:val="24"/>
          <w:color w:val="232323"/>
        </w:rPr>
        <w:t>ıl</w:t>
      </w:r>
      <w:r>
        <w:rPr>
          <w:rFonts w:ascii="Times New Roman" w:cs="Times New Roman" w:eastAsia="Times New Roman" w:hAnsi="Times New Roman"/>
          <w:sz w:val="24"/>
          <w:szCs w:val="24"/>
          <w:color w:val="232323"/>
        </w:rPr>
        <w:t>, LFS 3,9</w:t>
      </w:r>
      <w:r>
        <w:rPr>
          <w:rFonts w:ascii="Times New Roman" w:cs="Times New Roman" w:eastAsia="Times New Roman" w:hAnsi="Times New Roman"/>
          <w:sz w:val="24"/>
          <w:szCs w:val="24"/>
          <w:color w:val="232323"/>
        </w:rPr>
        <w:t xml:space="preserve"> yıl</w:t>
      </w:r>
    </w:p>
    <w:p>
      <w:pPr>
        <w:spacing w:after="0" w:line="13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4"/>
          <w:szCs w:val="24"/>
          <w:color w:val="232323"/>
        </w:rPr>
        <w:t>●</w:t>
      </w:r>
      <w:r>
        <w:rPr>
          <w:rFonts w:ascii="Times New Roman" w:cs="Times New Roman" w:eastAsia="Times New Roman" w:hAnsi="Times New Roman"/>
          <w:sz w:val="24"/>
          <w:szCs w:val="24"/>
          <w:color w:val="232323"/>
        </w:rPr>
        <w:t>Yüksek risk (3-5 puan): OS 1,9 y</w:t>
      </w:r>
      <w:r>
        <w:rPr>
          <w:rFonts w:ascii="Times New Roman" w:cs="Times New Roman" w:eastAsia="Times New Roman" w:hAnsi="Times New Roman"/>
          <w:sz w:val="24"/>
          <w:szCs w:val="24"/>
          <w:color w:val="232323"/>
        </w:rPr>
        <w:t>ıl</w:t>
      </w:r>
      <w:r>
        <w:rPr>
          <w:rFonts w:ascii="Times New Roman" w:cs="Times New Roman" w:eastAsia="Times New Roman" w:hAnsi="Times New Roman"/>
          <w:sz w:val="24"/>
          <w:szCs w:val="24"/>
          <w:color w:val="232323"/>
        </w:rPr>
        <w:t>, LFS 1,4</w:t>
      </w:r>
      <w:r>
        <w:rPr>
          <w:rFonts w:ascii="Times New Roman" w:cs="Times New Roman" w:eastAsia="Times New Roman" w:hAnsi="Times New Roman"/>
          <w:sz w:val="24"/>
          <w:szCs w:val="24"/>
          <w:color w:val="232323"/>
        </w:rPr>
        <w:t xml:space="preserve"> yıl şeklinde bulunmuş</w:t>
      </w:r>
      <w:r>
        <w:rPr>
          <w:rFonts w:ascii="Times New Roman" w:cs="Times New Roman" w:eastAsia="Times New Roman" w:hAnsi="Times New Roman"/>
          <w:sz w:val="24"/>
          <w:szCs w:val="24"/>
          <w:color w:val="232323"/>
        </w:rPr>
        <w:t>tur.</w:t>
      </w:r>
    </w:p>
    <w:p>
      <w:pPr>
        <w:sectPr>
          <w:pgSz w:w="11900" w:h="16838" w:orient="portrait"/>
          <w:cols w:equalWidth="0" w:num="1">
            <w:col w:w="9060"/>
          </w:cols>
          <w:pgMar w:left="1440" w:top="726" w:right="1406" w:bottom="1440" w:gutter="0" w:footer="0" w:header="0"/>
        </w:sectPr>
      </w:pPr>
    </w:p>
    <w:bookmarkStart w:id="35" w:name="page36"/>
    <w:bookmarkEnd w:id="35"/>
    <w:p>
      <w:pPr>
        <w:ind w:left="8840"/>
        <w:spacing w:after="0"/>
        <w:rPr>
          <w:sz w:val="20"/>
          <w:szCs w:val="20"/>
          <w:color w:val="auto"/>
        </w:rPr>
      </w:pPr>
      <w:r>
        <w:rPr>
          <w:rFonts w:ascii="Calibri" w:cs="Calibri" w:eastAsia="Calibri" w:hAnsi="Calibri"/>
          <w:sz w:val="21"/>
          <w:szCs w:val="21"/>
          <w:color w:val="auto"/>
        </w:rPr>
        <w:t>25</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3440"/>
        <w:spacing w:after="0"/>
        <w:rPr>
          <w:sz w:val="20"/>
          <w:szCs w:val="20"/>
          <w:color w:val="auto"/>
        </w:rPr>
      </w:pPr>
      <w:r>
        <w:rPr>
          <w:rFonts w:ascii="Times New Roman" w:cs="Times New Roman" w:eastAsia="Times New Roman" w:hAnsi="Times New Roman"/>
          <w:sz w:val="24"/>
          <w:szCs w:val="24"/>
          <w:b w:val="1"/>
          <w:bCs w:val="1"/>
          <w:color w:val="222222"/>
        </w:rPr>
        <w:t>3. BİREYLER VE YÖNTEM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4"/>
          <w:szCs w:val="24"/>
          <w:b w:val="1"/>
          <w:bCs w:val="1"/>
          <w:color w:val="auto"/>
        </w:rPr>
        <w:t xml:space="preserve">3.1. </w:t>
      </w:r>
      <w:r>
        <w:rPr>
          <w:rFonts w:ascii="Times New Roman" w:cs="Times New Roman" w:eastAsia="Times New Roman" w:hAnsi="Times New Roman"/>
          <w:sz w:val="24"/>
          <w:szCs w:val="24"/>
          <w:b w:val="1"/>
          <w:bCs w:val="1"/>
          <w:color w:val="auto"/>
        </w:rPr>
        <w:t>ARAŞTIRMANIN TİPİ</w:t>
      </w: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jc w:val="both"/>
        <w:ind w:left="840" w:firstLine="283"/>
        <w:spacing w:after="0" w:line="351" w:lineRule="auto"/>
        <w:rPr>
          <w:sz w:val="20"/>
          <w:szCs w:val="20"/>
          <w:color w:val="auto"/>
        </w:rPr>
      </w:pPr>
      <w:r>
        <w:rPr>
          <w:rFonts w:ascii="Times New Roman" w:cs="Times New Roman" w:eastAsia="Times New Roman" w:hAnsi="Times New Roman"/>
          <w:sz w:val="24"/>
          <w:szCs w:val="24"/>
          <w:color w:val="auto"/>
        </w:rPr>
        <w:t xml:space="preserve">Mevcut araştırma; </w:t>
      </w:r>
      <w:r>
        <w:rPr>
          <w:rFonts w:ascii="Times New Roman" w:cs="Times New Roman" w:eastAsia="Times New Roman" w:hAnsi="Times New Roman"/>
          <w:sz w:val="24"/>
          <w:szCs w:val="24"/>
          <w:color w:val="auto"/>
        </w:rPr>
        <w:t>SM</w:t>
      </w:r>
      <w:r>
        <w:rPr>
          <w:rFonts w:ascii="Times New Roman" w:cs="Times New Roman" w:eastAsia="Times New Roman" w:hAnsi="Times New Roman"/>
          <w:sz w:val="24"/>
          <w:szCs w:val="24"/>
          <w:color w:val="auto"/>
        </w:rPr>
        <w:t xml:space="preserve"> tanısı ile izlenmiş olan erişkin hastaların klinik, </w:t>
      </w:r>
      <w:r>
        <w:rPr>
          <w:rFonts w:ascii="Times New Roman" w:cs="Times New Roman" w:eastAsia="Times New Roman" w:hAnsi="Times New Roman"/>
          <w:sz w:val="24"/>
          <w:szCs w:val="24"/>
          <w:color w:val="auto"/>
        </w:rPr>
        <w:t xml:space="preserve">demografik, radyolojik ve tedavi durumu özelliklerini göstermeyi amaçlayan tek merkezli, müdahalesiz, retrospektif, </w:t>
      </w:r>
      <w:r>
        <w:rPr>
          <w:rFonts w:ascii="Times New Roman" w:cs="Times New Roman" w:eastAsia="Times New Roman" w:hAnsi="Times New Roman"/>
          <w:sz w:val="24"/>
          <w:szCs w:val="24"/>
          <w:color w:val="auto"/>
        </w:rPr>
        <w:t>gözlemsel ve tanımlayıcı</w:t>
      </w:r>
      <w:r>
        <w:rPr>
          <w:rFonts w:ascii="Times New Roman" w:cs="Times New Roman" w:eastAsia="Times New Roman" w:hAnsi="Times New Roman"/>
          <w:sz w:val="24"/>
          <w:szCs w:val="24"/>
          <w:color w:val="auto"/>
        </w:rPr>
        <w:t xml:space="preserve"> bir </w:t>
      </w:r>
      <w:r>
        <w:rPr>
          <w:rFonts w:ascii="Times New Roman" w:cs="Times New Roman" w:eastAsia="Times New Roman" w:hAnsi="Times New Roman"/>
          <w:sz w:val="24"/>
          <w:szCs w:val="24"/>
          <w:color w:val="auto"/>
        </w:rPr>
        <w:t>kohort çalışmasıdır</w:t>
      </w:r>
      <w:r>
        <w:rPr>
          <w:rFonts w:ascii="Calibri" w:cs="Calibri" w:eastAsia="Calibri" w:hAnsi="Calibri"/>
          <w:sz w:val="22"/>
          <w:szCs w:val="22"/>
          <w:color w:val="auto"/>
        </w:rPr>
        <w:t>.</w:t>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4"/>
          <w:szCs w:val="24"/>
          <w:b w:val="1"/>
          <w:bCs w:val="1"/>
          <w:color w:val="auto"/>
        </w:rPr>
        <w:t xml:space="preserve">3.2. </w:t>
      </w:r>
      <w:r>
        <w:rPr>
          <w:rFonts w:ascii="Times New Roman" w:cs="Times New Roman" w:eastAsia="Times New Roman" w:hAnsi="Times New Roman"/>
          <w:sz w:val="24"/>
          <w:szCs w:val="24"/>
          <w:b w:val="1"/>
          <w:bCs w:val="1"/>
          <w:color w:val="auto"/>
        </w:rPr>
        <w:t>ARAŞTIRMANIN YERİ, EVRENİ VE TARİHİ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-101600</wp:posOffset>
            </wp:positionV>
            <wp:extent cx="4699000" cy="18542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344" w:lineRule="exact"/>
        <w:rPr>
          <w:sz w:val="20"/>
          <w:szCs w:val="20"/>
          <w:color w:val="auto"/>
        </w:rPr>
      </w:pPr>
    </w:p>
    <w:p>
      <w:pPr>
        <w:jc w:val="both"/>
        <w:ind w:left="840" w:firstLine="283"/>
        <w:spacing w:after="0" w:line="358" w:lineRule="auto"/>
        <w:rPr>
          <w:sz w:val="20"/>
          <w:szCs w:val="20"/>
          <w:color w:val="auto"/>
        </w:rPr>
      </w:pPr>
      <w:r>
        <w:rPr>
          <w:rFonts w:ascii="Times New Roman" w:cs="Times New Roman" w:eastAsia="Times New Roman" w:hAnsi="Times New Roman"/>
          <w:sz w:val="24"/>
          <w:szCs w:val="24"/>
          <w:color w:val="auto"/>
        </w:rPr>
        <w:t xml:space="preserve">Ocak 2001 ile Nisan 2020 tarihleri arasında Hacettepe Üniversitesi Tıp Fakültesi </w:t>
      </w:r>
      <w:r>
        <w:rPr>
          <w:rFonts w:ascii="Times New Roman" w:cs="Times New Roman" w:eastAsia="Times New Roman" w:hAnsi="Times New Roman"/>
          <w:sz w:val="24"/>
          <w:szCs w:val="24"/>
          <w:color w:val="auto"/>
        </w:rPr>
        <w:t xml:space="preserve">Hastanelerinde, SM </w:t>
      </w:r>
      <w:r>
        <w:rPr>
          <w:rFonts w:ascii="Times New Roman" w:cs="Times New Roman" w:eastAsia="Times New Roman" w:hAnsi="Times New Roman"/>
          <w:sz w:val="24"/>
          <w:szCs w:val="24"/>
          <w:color w:val="auto"/>
        </w:rPr>
        <w:t>tanısı ile izlenmiş olan erişkin hastalar değerlendirilmiş olup</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veriler Hematoloji Bilim Dalı ve Patoloji Anabilim Dalı veritabanlarından toplandı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Arşiv kayıtları Nisan 2020–Haziran 2020 tarihleri arasında incelendi. </w:t>
      </w:r>
      <w:r>
        <w:rPr>
          <w:rFonts w:ascii="Times New Roman" w:cs="Times New Roman" w:eastAsia="Times New Roman" w:hAnsi="Times New Roman"/>
          <w:sz w:val="24"/>
          <w:szCs w:val="24"/>
          <w:color w:val="auto"/>
        </w:rPr>
        <w:t>Saptanan</w:t>
      </w:r>
      <w:r>
        <w:rPr>
          <w:rFonts w:ascii="Times New Roman" w:cs="Times New Roman" w:eastAsia="Times New Roman" w:hAnsi="Times New Roman"/>
          <w:sz w:val="24"/>
          <w:szCs w:val="24"/>
          <w:color w:val="auto"/>
        </w:rPr>
        <w:t xml:space="preserve"> hastaların demografik ve klinik bilgileri kaydedildi. Son görüldükleri tarih ve sağkalım durumları belirlendi. Laboratuar ve klinik bilgiler için Hastane veritabanları kullanıldı.</w:t>
      </w:r>
    </w:p>
    <w:p>
      <w:pPr>
        <w:spacing w:after="0" w:line="167"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4"/>
          <w:szCs w:val="24"/>
          <w:b w:val="1"/>
          <w:bCs w:val="1"/>
          <w:color w:val="auto"/>
        </w:rPr>
        <w:t xml:space="preserve">3.3. </w:t>
      </w:r>
      <w:r>
        <w:rPr>
          <w:rFonts w:ascii="Times New Roman" w:cs="Times New Roman" w:eastAsia="Times New Roman" w:hAnsi="Times New Roman"/>
          <w:sz w:val="24"/>
          <w:szCs w:val="24"/>
          <w:b w:val="1"/>
          <w:bCs w:val="1"/>
          <w:color w:val="auto"/>
        </w:rPr>
        <w:t>ARAŞTIRMAYA DAHİL EDİLME KRİTERLERİ</w:t>
      </w: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4"/>
          <w:szCs w:val="24"/>
          <w:color w:val="auto"/>
        </w:rPr>
        <w:t>Hastaların araştırmaya dahil edilme kriterleri;</w:t>
      </w:r>
    </w:p>
    <w:p>
      <w:pPr>
        <w:spacing w:after="0" w:line="157" w:lineRule="exact"/>
        <w:rPr>
          <w:sz w:val="20"/>
          <w:szCs w:val="20"/>
          <w:color w:val="auto"/>
        </w:rPr>
      </w:pPr>
    </w:p>
    <w:p>
      <w:pPr>
        <w:ind w:left="1920" w:hanging="364"/>
        <w:spacing w:after="0"/>
        <w:tabs>
          <w:tab w:leader="none" w:pos="1920" w:val="left"/>
        </w:tabs>
        <w:numPr>
          <w:ilvl w:val="0"/>
          <w:numId w:val="17"/>
        </w:numPr>
        <w:rPr>
          <w:rFonts w:ascii="Arial" w:cs="Arial" w:eastAsia="Arial" w:hAnsi="Arial"/>
          <w:sz w:val="24"/>
          <w:szCs w:val="24"/>
          <w:color w:val="auto"/>
        </w:rPr>
      </w:pPr>
      <w:r>
        <w:rPr>
          <w:rFonts w:ascii="Times New Roman" w:cs="Times New Roman" w:eastAsia="Times New Roman" w:hAnsi="Times New Roman"/>
          <w:sz w:val="24"/>
          <w:szCs w:val="24"/>
          <w:color w:val="auto"/>
        </w:rPr>
        <w:t>18 yaş üzerinde olması</w:t>
      </w:r>
    </w:p>
    <w:p>
      <w:pPr>
        <w:spacing w:after="0" w:line="152" w:lineRule="exact"/>
        <w:rPr>
          <w:rFonts w:ascii="Arial" w:cs="Arial" w:eastAsia="Arial" w:hAnsi="Arial"/>
          <w:sz w:val="24"/>
          <w:szCs w:val="24"/>
          <w:color w:val="auto"/>
        </w:rPr>
      </w:pPr>
    </w:p>
    <w:p>
      <w:pPr>
        <w:ind w:left="1920" w:hanging="364"/>
        <w:spacing w:after="0"/>
        <w:tabs>
          <w:tab w:leader="none" w:pos="1920" w:val="left"/>
        </w:tabs>
        <w:numPr>
          <w:ilvl w:val="0"/>
          <w:numId w:val="17"/>
        </w:numPr>
        <w:rPr>
          <w:rFonts w:ascii="Arial" w:cs="Arial" w:eastAsia="Arial" w:hAnsi="Arial"/>
          <w:sz w:val="24"/>
          <w:szCs w:val="24"/>
          <w:color w:val="auto"/>
        </w:rPr>
      </w:pPr>
      <w:r>
        <w:rPr>
          <w:rFonts w:ascii="Times New Roman" w:cs="Times New Roman" w:eastAsia="Times New Roman" w:hAnsi="Times New Roman"/>
          <w:sz w:val="24"/>
          <w:szCs w:val="24"/>
          <w:color w:val="auto"/>
        </w:rPr>
        <w:t xml:space="preserve">SM tanısının WHO 2016 revize edilmiş </w:t>
      </w:r>
      <w:r>
        <w:rPr>
          <w:rFonts w:ascii="Times New Roman" w:cs="Times New Roman" w:eastAsia="Times New Roman" w:hAnsi="Times New Roman"/>
          <w:sz w:val="24"/>
          <w:szCs w:val="24"/>
          <w:color w:val="auto"/>
        </w:rPr>
        <w:t>SM</w:t>
      </w:r>
      <w:r>
        <w:rPr>
          <w:rFonts w:ascii="Times New Roman" w:cs="Times New Roman" w:eastAsia="Times New Roman" w:hAnsi="Times New Roman"/>
          <w:sz w:val="24"/>
          <w:szCs w:val="24"/>
          <w:color w:val="auto"/>
        </w:rPr>
        <w:t xml:space="preserve"> tanı kriterlerine uyması</w:t>
      </w: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auto"/>
        </w:rPr>
        <w:t>3.4. ARAŞTIRMANIN ETİK KURUL ONAYI</w:t>
      </w:r>
    </w:p>
    <w:p>
      <w:pPr>
        <w:spacing w:after="0" w:line="310" w:lineRule="exact"/>
        <w:rPr>
          <w:sz w:val="20"/>
          <w:szCs w:val="20"/>
          <w:color w:val="auto"/>
        </w:rPr>
      </w:pPr>
    </w:p>
    <w:p>
      <w:pPr>
        <w:jc w:val="both"/>
        <w:ind w:left="840" w:firstLine="420"/>
        <w:spacing w:after="0" w:line="354" w:lineRule="auto"/>
        <w:rPr>
          <w:sz w:val="20"/>
          <w:szCs w:val="20"/>
          <w:color w:val="auto"/>
        </w:rPr>
      </w:pPr>
      <w:r>
        <w:rPr>
          <w:rFonts w:ascii="Times New Roman" w:cs="Times New Roman" w:eastAsia="Times New Roman" w:hAnsi="Times New Roman"/>
          <w:sz w:val="24"/>
          <w:szCs w:val="24"/>
          <w:color w:val="auto"/>
        </w:rPr>
        <w:t xml:space="preserve">Çalışma için Hacettepe Üniversitesi Bilimsel Araştırmalar Değerlendirme Komisyonu’nun onayı alınmıştır (Onay Tarihi: </w:t>
      </w:r>
      <w:r>
        <w:rPr>
          <w:rFonts w:ascii="Times New Roman" w:cs="Times New Roman" w:eastAsia="Times New Roman" w:hAnsi="Times New Roman"/>
          <w:sz w:val="24"/>
          <w:szCs w:val="24"/>
          <w:color w:val="auto"/>
        </w:rPr>
        <w:t>31/03/2020, Proje No: GO 20/317)</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(EK-1).</w:t>
      </w:r>
    </w:p>
    <w:p>
      <w:pPr>
        <w:sectPr>
          <w:pgSz w:w="11900" w:h="16838" w:orient="portrait"/>
          <w:cols w:equalWidth="0" w:num="1">
            <w:col w:w="9060"/>
          </w:cols>
          <w:pgMar w:left="1440" w:top="726" w:right="1406" w:bottom="1440" w:gutter="0" w:footer="0" w:header="0"/>
        </w:sectPr>
      </w:pPr>
    </w:p>
    <w:bookmarkStart w:id="36" w:name="page37"/>
    <w:bookmarkEnd w:id="36"/>
    <w:p>
      <w:pPr>
        <w:ind w:left="8840"/>
        <w:spacing w:after="0"/>
        <w:rPr>
          <w:sz w:val="20"/>
          <w:szCs w:val="20"/>
          <w:color w:val="auto"/>
        </w:rPr>
      </w:pPr>
      <w:r>
        <w:rPr>
          <w:rFonts w:ascii="Calibri" w:cs="Calibri" w:eastAsia="Calibri" w:hAnsi="Calibri"/>
          <w:sz w:val="22"/>
          <w:szCs w:val="22"/>
          <w:color w:val="auto"/>
        </w:rPr>
        <w:t>26</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4"/>
          <w:szCs w:val="24"/>
          <w:b w:val="1"/>
          <w:bCs w:val="1"/>
          <w:color w:val="auto"/>
        </w:rPr>
        <w:t xml:space="preserve">3.5. </w:t>
      </w:r>
      <w:r>
        <w:rPr>
          <w:rFonts w:ascii="Times New Roman" w:cs="Times New Roman" w:eastAsia="Times New Roman" w:hAnsi="Times New Roman"/>
          <w:sz w:val="24"/>
          <w:szCs w:val="24"/>
          <w:b w:val="1"/>
          <w:bCs w:val="1"/>
          <w:color w:val="auto"/>
        </w:rPr>
        <w:t>ARAŞTIRMANIN YÖNTEMİ</w:t>
      </w:r>
    </w:p>
    <w:p>
      <w:pPr>
        <w:spacing w:after="0" w:line="149" w:lineRule="exact"/>
        <w:rPr>
          <w:sz w:val="20"/>
          <w:szCs w:val="20"/>
          <w:color w:val="auto"/>
        </w:rPr>
      </w:pPr>
    </w:p>
    <w:p>
      <w:pPr>
        <w:jc w:val="both"/>
        <w:ind w:left="840" w:right="60"/>
        <w:spacing w:after="0" w:line="354" w:lineRule="auto"/>
        <w:rPr>
          <w:sz w:val="20"/>
          <w:szCs w:val="20"/>
          <w:color w:val="auto"/>
        </w:rPr>
      </w:pPr>
      <w:r>
        <w:rPr>
          <w:rFonts w:ascii="Times New Roman" w:cs="Times New Roman" w:eastAsia="Times New Roman" w:hAnsi="Times New Roman"/>
          <w:sz w:val="24"/>
          <w:szCs w:val="24"/>
          <w:color w:val="auto"/>
        </w:rPr>
        <w:t>Tıbbi kayıtlardan hastaların tanıdaki semptom, morbidite, klinik, radyolojik ve aşağıda belirtilen laboratuar bulguları süzülerek araştırma veritabanına kaydedildi. Tedavi ayrıntıları ve sağ kalım verileri de kaydedildi.</w:t>
      </w:r>
    </w:p>
    <w:p>
      <w:pPr>
        <w:spacing w:after="0" w:line="171" w:lineRule="exact"/>
        <w:rPr>
          <w:sz w:val="20"/>
          <w:szCs w:val="20"/>
          <w:color w:val="auto"/>
        </w:rPr>
      </w:pPr>
    </w:p>
    <w:p>
      <w:pPr>
        <w:ind w:left="1540"/>
        <w:spacing w:after="0"/>
        <w:tabs>
          <w:tab w:leader="none" w:pos="2240" w:val="left"/>
        </w:tabs>
        <w:rPr>
          <w:sz w:val="20"/>
          <w:szCs w:val="20"/>
          <w:color w:val="auto"/>
        </w:rPr>
      </w:pPr>
      <w:r>
        <w:rPr>
          <w:rFonts w:ascii="Times New Roman" w:cs="Times New Roman" w:eastAsia="Times New Roman" w:hAnsi="Times New Roman"/>
          <w:sz w:val="24"/>
          <w:szCs w:val="24"/>
          <w:b w:val="1"/>
          <w:bCs w:val="1"/>
          <w:color w:val="auto"/>
        </w:rPr>
        <w:t>3.5.1.</w:t>
      </w:r>
      <w:r>
        <w:rPr>
          <w:sz w:val="20"/>
          <w:szCs w:val="20"/>
          <w:color w:val="auto"/>
        </w:rPr>
        <w:tab/>
      </w:r>
      <w:r>
        <w:rPr>
          <w:rFonts w:ascii="Times New Roman" w:cs="Times New Roman" w:eastAsia="Times New Roman" w:hAnsi="Times New Roman"/>
          <w:sz w:val="23"/>
          <w:szCs w:val="23"/>
          <w:b w:val="1"/>
          <w:bCs w:val="1"/>
          <w:color w:val="auto"/>
        </w:rPr>
        <w:t xml:space="preserve">Değerlendirilen LAB </w:t>
      </w:r>
      <w:r>
        <w:rPr>
          <w:rFonts w:ascii="Times New Roman" w:cs="Times New Roman" w:eastAsia="Times New Roman" w:hAnsi="Times New Roman"/>
          <w:sz w:val="23"/>
          <w:szCs w:val="23"/>
          <w:b w:val="1"/>
          <w:bCs w:val="1"/>
          <w:color w:val="auto"/>
        </w:rPr>
        <w:t>Tetkikleri</w:t>
      </w:r>
    </w:p>
    <w:p>
      <w:pPr>
        <w:spacing w:after="0" w:line="200" w:lineRule="exact"/>
        <w:rPr>
          <w:sz w:val="20"/>
          <w:szCs w:val="20"/>
          <w:color w:val="auto"/>
        </w:rPr>
      </w:pPr>
    </w:p>
    <w:p>
      <w:pPr>
        <w:spacing w:after="0" w:line="350" w:lineRule="exact"/>
        <w:rPr>
          <w:sz w:val="20"/>
          <w:szCs w:val="20"/>
          <w:color w:val="auto"/>
        </w:rPr>
      </w:pPr>
    </w:p>
    <w:p>
      <w:pPr>
        <w:ind w:left="1560" w:hanging="364"/>
        <w:spacing w:after="0"/>
        <w:tabs>
          <w:tab w:leader="none" w:pos="1560" w:val="left"/>
        </w:tabs>
        <w:numPr>
          <w:ilvl w:val="0"/>
          <w:numId w:val="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Hemoglobin</w:t>
      </w:r>
    </w:p>
    <w:p>
      <w:pPr>
        <w:spacing w:after="0" w:line="139" w:lineRule="exact"/>
        <w:rPr>
          <w:rFonts w:ascii="Times New Roman" w:cs="Times New Roman" w:eastAsia="Times New Roman" w:hAnsi="Times New Roman"/>
          <w:sz w:val="24"/>
          <w:szCs w:val="24"/>
          <w:color w:val="auto"/>
        </w:rPr>
      </w:pPr>
    </w:p>
    <w:p>
      <w:pPr>
        <w:ind w:left="1560" w:hanging="364"/>
        <w:spacing w:after="0"/>
        <w:tabs>
          <w:tab w:leader="none" w:pos="1560" w:val="left"/>
        </w:tabs>
        <w:numPr>
          <w:ilvl w:val="0"/>
          <w:numId w:val="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Lökosit</w:t>
      </w:r>
    </w:p>
    <w:p>
      <w:pPr>
        <w:spacing w:after="0" w:line="137" w:lineRule="exact"/>
        <w:rPr>
          <w:rFonts w:ascii="Times New Roman" w:cs="Times New Roman" w:eastAsia="Times New Roman" w:hAnsi="Times New Roman"/>
          <w:sz w:val="24"/>
          <w:szCs w:val="24"/>
          <w:color w:val="auto"/>
        </w:rPr>
      </w:pPr>
    </w:p>
    <w:p>
      <w:pPr>
        <w:ind w:left="1560" w:hanging="364"/>
        <w:spacing w:after="0"/>
        <w:tabs>
          <w:tab w:leader="none" w:pos="1560" w:val="left"/>
        </w:tabs>
        <w:numPr>
          <w:ilvl w:val="0"/>
          <w:numId w:val="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Platelet</w:t>
      </w:r>
    </w:p>
    <w:p>
      <w:pPr>
        <w:spacing w:after="0" w:line="139" w:lineRule="exact"/>
        <w:rPr>
          <w:rFonts w:ascii="Times New Roman" w:cs="Times New Roman" w:eastAsia="Times New Roman" w:hAnsi="Times New Roman"/>
          <w:sz w:val="24"/>
          <w:szCs w:val="24"/>
          <w:color w:val="auto"/>
        </w:rPr>
      </w:pPr>
    </w:p>
    <w:p>
      <w:pPr>
        <w:ind w:left="1560" w:hanging="364"/>
        <w:spacing w:after="0"/>
        <w:tabs>
          <w:tab w:leader="none" w:pos="1560" w:val="left"/>
        </w:tabs>
        <w:numPr>
          <w:ilvl w:val="0"/>
          <w:numId w:val="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ALT (Alanin Aminotransferaz)</w:t>
      </w:r>
    </w:p>
    <w:p>
      <w:pPr>
        <w:spacing w:after="0" w:line="136" w:lineRule="exact"/>
        <w:rPr>
          <w:rFonts w:ascii="Times New Roman" w:cs="Times New Roman" w:eastAsia="Times New Roman" w:hAnsi="Times New Roman"/>
          <w:sz w:val="24"/>
          <w:szCs w:val="24"/>
          <w:color w:val="auto"/>
        </w:rPr>
      </w:pPr>
    </w:p>
    <w:p>
      <w:pPr>
        <w:ind w:left="1560" w:hanging="364"/>
        <w:spacing w:after="0"/>
        <w:tabs>
          <w:tab w:leader="none" w:pos="1560" w:val="left"/>
        </w:tabs>
        <w:numPr>
          <w:ilvl w:val="0"/>
          <w:numId w:val="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AST (Aspartat Aminotransferaz)</w:t>
      </w:r>
    </w:p>
    <w:p>
      <w:pPr>
        <w:spacing w:after="0" w:line="139" w:lineRule="exact"/>
        <w:rPr>
          <w:rFonts w:ascii="Times New Roman" w:cs="Times New Roman" w:eastAsia="Times New Roman" w:hAnsi="Times New Roman"/>
          <w:sz w:val="24"/>
          <w:szCs w:val="24"/>
          <w:color w:val="auto"/>
        </w:rPr>
      </w:pPr>
    </w:p>
    <w:p>
      <w:pPr>
        <w:ind w:left="1560" w:hanging="364"/>
        <w:spacing w:after="0"/>
        <w:tabs>
          <w:tab w:leader="none" w:pos="1560" w:val="left"/>
        </w:tabs>
        <w:numPr>
          <w:ilvl w:val="0"/>
          <w:numId w:val="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ALP</w:t>
      </w:r>
    </w:p>
    <w:p>
      <w:pPr>
        <w:spacing w:after="0" w:line="136" w:lineRule="exact"/>
        <w:rPr>
          <w:rFonts w:ascii="Times New Roman" w:cs="Times New Roman" w:eastAsia="Times New Roman" w:hAnsi="Times New Roman"/>
          <w:sz w:val="24"/>
          <w:szCs w:val="24"/>
          <w:color w:val="auto"/>
        </w:rPr>
      </w:pPr>
    </w:p>
    <w:p>
      <w:pPr>
        <w:ind w:left="1560" w:hanging="364"/>
        <w:spacing w:after="0"/>
        <w:tabs>
          <w:tab w:leader="none" w:pos="1560" w:val="left"/>
        </w:tabs>
        <w:numPr>
          <w:ilvl w:val="0"/>
          <w:numId w:val="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GGT</w:t>
      </w:r>
    </w:p>
    <w:p>
      <w:pPr>
        <w:spacing w:after="0" w:line="139" w:lineRule="exact"/>
        <w:rPr>
          <w:rFonts w:ascii="Times New Roman" w:cs="Times New Roman" w:eastAsia="Times New Roman" w:hAnsi="Times New Roman"/>
          <w:sz w:val="24"/>
          <w:szCs w:val="24"/>
          <w:color w:val="auto"/>
        </w:rPr>
      </w:pPr>
    </w:p>
    <w:p>
      <w:pPr>
        <w:ind w:left="1560" w:hanging="364"/>
        <w:spacing w:after="0"/>
        <w:tabs>
          <w:tab w:leader="none" w:pos="1560" w:val="left"/>
        </w:tabs>
        <w:numPr>
          <w:ilvl w:val="0"/>
          <w:numId w:val="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Total Bilirubin</w:t>
      </w:r>
    </w:p>
    <w:p>
      <w:pPr>
        <w:spacing w:after="0" w:line="136" w:lineRule="exact"/>
        <w:rPr>
          <w:rFonts w:ascii="Times New Roman" w:cs="Times New Roman" w:eastAsia="Times New Roman" w:hAnsi="Times New Roman"/>
          <w:sz w:val="24"/>
          <w:szCs w:val="24"/>
          <w:color w:val="auto"/>
        </w:rPr>
      </w:pPr>
    </w:p>
    <w:p>
      <w:pPr>
        <w:ind w:left="1560" w:hanging="364"/>
        <w:spacing w:after="0"/>
        <w:tabs>
          <w:tab w:leader="none" w:pos="1560" w:val="left"/>
        </w:tabs>
        <w:numPr>
          <w:ilvl w:val="0"/>
          <w:numId w:val="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Direkt bilirubin</w:t>
      </w:r>
    </w:p>
    <w:p>
      <w:pPr>
        <w:spacing w:after="0" w:line="139" w:lineRule="exact"/>
        <w:rPr>
          <w:rFonts w:ascii="Times New Roman" w:cs="Times New Roman" w:eastAsia="Times New Roman" w:hAnsi="Times New Roman"/>
          <w:sz w:val="24"/>
          <w:szCs w:val="24"/>
          <w:color w:val="auto"/>
        </w:rPr>
      </w:pPr>
    </w:p>
    <w:p>
      <w:pPr>
        <w:ind w:left="1560" w:hanging="364"/>
        <w:spacing w:after="0"/>
        <w:tabs>
          <w:tab w:leader="none" w:pos="1560" w:val="left"/>
        </w:tabs>
        <w:numPr>
          <w:ilvl w:val="0"/>
          <w:numId w:val="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INR</w:t>
      </w:r>
    </w:p>
    <w:p>
      <w:pPr>
        <w:spacing w:after="0" w:line="136" w:lineRule="exact"/>
        <w:rPr>
          <w:rFonts w:ascii="Times New Roman" w:cs="Times New Roman" w:eastAsia="Times New Roman" w:hAnsi="Times New Roman"/>
          <w:sz w:val="24"/>
          <w:szCs w:val="24"/>
          <w:color w:val="auto"/>
        </w:rPr>
      </w:pPr>
    </w:p>
    <w:p>
      <w:pPr>
        <w:ind w:left="1560" w:hanging="364"/>
        <w:spacing w:after="0"/>
        <w:tabs>
          <w:tab w:leader="none" w:pos="1560" w:val="left"/>
        </w:tabs>
        <w:numPr>
          <w:ilvl w:val="0"/>
          <w:numId w:val="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Albumin</w:t>
      </w:r>
    </w:p>
    <w:p>
      <w:pPr>
        <w:spacing w:after="0" w:line="139" w:lineRule="exact"/>
        <w:rPr>
          <w:rFonts w:ascii="Times New Roman" w:cs="Times New Roman" w:eastAsia="Times New Roman" w:hAnsi="Times New Roman"/>
          <w:sz w:val="24"/>
          <w:szCs w:val="24"/>
          <w:color w:val="auto"/>
        </w:rPr>
      </w:pPr>
    </w:p>
    <w:p>
      <w:pPr>
        <w:ind w:left="1560" w:hanging="364"/>
        <w:spacing w:after="0"/>
        <w:tabs>
          <w:tab w:leader="none" w:pos="1560" w:val="left"/>
        </w:tabs>
        <w:numPr>
          <w:ilvl w:val="0"/>
          <w:numId w:val="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Triptaz</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-2065020</wp:posOffset>
            </wp:positionV>
            <wp:extent cx="4699000" cy="185420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344" w:lineRule="exact"/>
        <w:rPr>
          <w:sz w:val="20"/>
          <w:szCs w:val="20"/>
          <w:color w:val="auto"/>
        </w:rPr>
      </w:pPr>
    </w:p>
    <w:p>
      <w:pPr>
        <w:ind w:left="840"/>
        <w:spacing w:after="0" w:line="348" w:lineRule="auto"/>
        <w:rPr>
          <w:sz w:val="20"/>
          <w:szCs w:val="20"/>
          <w:color w:val="auto"/>
        </w:rPr>
      </w:pPr>
      <w:r>
        <w:rPr>
          <w:rFonts w:ascii="Times New Roman" w:cs="Times New Roman" w:eastAsia="Times New Roman" w:hAnsi="Times New Roman"/>
          <w:sz w:val="24"/>
          <w:szCs w:val="24"/>
          <w:color w:val="auto"/>
        </w:rPr>
        <w:t>Yukarıda belirtilen testler l</w:t>
      </w:r>
      <w:r>
        <w:rPr>
          <w:rFonts w:ascii="Times New Roman" w:cs="Times New Roman" w:eastAsia="Times New Roman" w:hAnsi="Times New Roman"/>
          <w:sz w:val="24"/>
          <w:szCs w:val="24"/>
          <w:color w:val="auto"/>
        </w:rPr>
        <w:t>aboratuvar tetkiki olarak</w:t>
      </w:r>
      <w:r>
        <w:rPr>
          <w:rFonts w:ascii="Times New Roman" w:cs="Times New Roman" w:eastAsia="Times New Roman" w:hAnsi="Times New Roman"/>
          <w:sz w:val="24"/>
          <w:szCs w:val="24"/>
          <w:color w:val="auto"/>
        </w:rPr>
        <w:t xml:space="preserve"> kaydedilmiştir. İlgili verileri toplamak için oluşturulan form ektedir </w:t>
      </w:r>
      <w:r>
        <w:rPr>
          <w:rFonts w:ascii="Times New Roman" w:cs="Times New Roman" w:eastAsia="Times New Roman" w:hAnsi="Times New Roman"/>
          <w:sz w:val="24"/>
          <w:szCs w:val="24"/>
          <w:color w:val="auto"/>
        </w:rPr>
        <w:t>(EK-2).</w:t>
      </w:r>
    </w:p>
    <w:p>
      <w:pPr>
        <w:spacing w:after="0" w:line="200" w:lineRule="exact"/>
        <w:rPr>
          <w:sz w:val="20"/>
          <w:szCs w:val="20"/>
          <w:color w:val="auto"/>
        </w:rPr>
      </w:pPr>
    </w:p>
    <w:p>
      <w:pPr>
        <w:spacing w:after="0" w:line="228"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b w:val="1"/>
          <w:bCs w:val="1"/>
          <w:color w:val="auto"/>
        </w:rPr>
        <w:t xml:space="preserve">3.6. </w:t>
      </w:r>
      <w:r>
        <w:rPr>
          <w:rFonts w:ascii="Times New Roman" w:cs="Times New Roman" w:eastAsia="Times New Roman" w:hAnsi="Times New Roman"/>
          <w:sz w:val="24"/>
          <w:szCs w:val="24"/>
          <w:b w:val="1"/>
          <w:bCs w:val="1"/>
          <w:color w:val="auto"/>
        </w:rPr>
        <w:t>İSTATİSTİKSEL ANALİZ</w:t>
      </w: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jc w:val="both"/>
        <w:ind w:left="840" w:right="60" w:firstLine="708"/>
        <w:spacing w:after="0" w:line="362" w:lineRule="auto"/>
        <w:rPr>
          <w:sz w:val="20"/>
          <w:szCs w:val="20"/>
          <w:color w:val="auto"/>
        </w:rPr>
      </w:pPr>
      <w:r>
        <w:rPr>
          <w:rFonts w:ascii="Times New Roman" w:cs="Times New Roman" w:eastAsia="Times New Roman" w:hAnsi="Times New Roman"/>
          <w:sz w:val="24"/>
          <w:szCs w:val="24"/>
          <w:color w:val="auto"/>
        </w:rPr>
        <w:t xml:space="preserve">İstatistiksel analizler Statistical Package for the Social Scienses (SPSS, IBM, </w:t>
      </w:r>
      <w:r>
        <w:rPr>
          <w:rFonts w:ascii="Times New Roman" w:cs="Times New Roman" w:eastAsia="Times New Roman" w:hAnsi="Times New Roman"/>
          <w:sz w:val="24"/>
          <w:szCs w:val="24"/>
          <w:color w:val="auto"/>
        </w:rPr>
        <w:t xml:space="preserve">Armonk, NY) 25. versiyon </w:t>
      </w:r>
      <w:r>
        <w:rPr>
          <w:rFonts w:ascii="Times New Roman" w:cs="Times New Roman" w:eastAsia="Times New Roman" w:hAnsi="Times New Roman"/>
          <w:sz w:val="24"/>
          <w:szCs w:val="24"/>
          <w:color w:val="auto"/>
        </w:rPr>
        <w:t>kullanılarak yapılmıştır. Bu çalışmada tanımlayıcı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istatistiksel analizler ve sağkalım analizi yapıldı. Tanımlayıcı istatistiklerde kategorik değişkenler için sayı ve yüzde (%) belirtilmiştir. Normal dağılım gösteren sayısal değişkenler için ortalama ± standart sapma, normal dağılım göstermeyen sayısal veya ordinal değişkenler için ise ortanca (</w:t>
      </w:r>
      <w:r>
        <w:rPr>
          <w:rFonts w:ascii="Times New Roman" w:cs="Times New Roman" w:eastAsia="Times New Roman" w:hAnsi="Times New Roman"/>
          <w:sz w:val="24"/>
          <w:szCs w:val="24"/>
          <w:color w:val="auto"/>
        </w:rPr>
        <w:t>minimum</w:t>
      </w:r>
      <w:r>
        <w:rPr>
          <w:rFonts w:ascii="Arial" w:cs="Arial" w:eastAsia="Arial" w:hAnsi="Arial"/>
          <w:sz w:val="24"/>
          <w:szCs w:val="24"/>
          <w:color w:val="auto"/>
        </w:rPr>
        <w:t>−</w:t>
      </w:r>
      <w:r>
        <w:rPr>
          <w:rFonts w:ascii="Times New Roman" w:cs="Times New Roman" w:eastAsia="Times New Roman" w:hAnsi="Times New Roman"/>
          <w:sz w:val="24"/>
          <w:szCs w:val="24"/>
          <w:color w:val="auto"/>
        </w:rPr>
        <w:t>maksimum)</w:t>
      </w:r>
      <w:r>
        <w:rPr>
          <w:rFonts w:ascii="Times New Roman" w:cs="Times New Roman" w:eastAsia="Times New Roman" w:hAnsi="Times New Roman"/>
          <w:sz w:val="24"/>
          <w:szCs w:val="24"/>
          <w:color w:val="auto"/>
        </w:rPr>
        <w:t xml:space="preserve"> belirtilmiştir. Hastaların izlem süreleri son görüldükleri tarih ile ilk başvuru arasındaki zaman dilim olarak</w:t>
      </w:r>
    </w:p>
    <w:p>
      <w:pPr>
        <w:sectPr>
          <w:pgSz w:w="11900" w:h="16838" w:orient="portrait"/>
          <w:cols w:equalWidth="0" w:num="1">
            <w:col w:w="9120"/>
          </w:cols>
          <w:pgMar w:left="1440" w:top="714" w:right="1346" w:bottom="1440" w:gutter="0" w:footer="0" w:header="0"/>
        </w:sectPr>
      </w:pPr>
    </w:p>
    <w:bookmarkStart w:id="37" w:name="page38"/>
    <w:bookmarkEnd w:id="37"/>
    <w:p>
      <w:pPr>
        <w:jc w:val="right"/>
        <w:spacing w:after="0"/>
        <w:rPr>
          <w:sz w:val="20"/>
          <w:szCs w:val="20"/>
          <w:color w:val="auto"/>
        </w:rPr>
      </w:pPr>
      <w:r>
        <w:rPr>
          <w:rFonts w:ascii="Calibri" w:cs="Calibri" w:eastAsia="Calibri" w:hAnsi="Calibri"/>
          <w:sz w:val="22"/>
          <w:szCs w:val="22"/>
          <w:color w:val="auto"/>
        </w:rPr>
        <w:t>27</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left="840"/>
        <w:spacing w:after="0" w:line="356" w:lineRule="auto"/>
        <w:rPr>
          <w:sz w:val="20"/>
          <w:szCs w:val="20"/>
          <w:color w:val="auto"/>
        </w:rPr>
      </w:pPr>
      <w:r>
        <w:rPr>
          <w:rFonts w:ascii="Times New Roman" w:cs="Times New Roman" w:eastAsia="Times New Roman" w:hAnsi="Times New Roman"/>
          <w:sz w:val="24"/>
          <w:szCs w:val="24"/>
          <w:color w:val="auto"/>
        </w:rPr>
        <w:t>belirlendi. Son durumda halen yaşama</w:t>
      </w:r>
      <w:r>
        <w:rPr>
          <w:rFonts w:ascii="Times New Roman" w:cs="Times New Roman" w:eastAsia="Times New Roman" w:hAnsi="Times New Roman"/>
          <w:sz w:val="24"/>
          <w:szCs w:val="24"/>
          <w:color w:val="auto"/>
        </w:rPr>
        <w:t>kta olan hastalar son görüldükleri tarihlerde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sansürlendi. </w:t>
      </w:r>
      <w:r>
        <w:rPr>
          <w:rFonts w:ascii="Times New Roman" w:cs="Times New Roman" w:eastAsia="Times New Roman" w:hAnsi="Times New Roman"/>
          <w:sz w:val="24"/>
          <w:szCs w:val="24"/>
          <w:color w:val="auto"/>
        </w:rPr>
        <w:t>Sağkalım an</w:t>
      </w:r>
      <w:r>
        <w:rPr>
          <w:rFonts w:ascii="Times New Roman" w:cs="Times New Roman" w:eastAsia="Times New Roman" w:hAnsi="Times New Roman"/>
          <w:sz w:val="24"/>
          <w:szCs w:val="24"/>
          <w:color w:val="auto"/>
        </w:rPr>
        <w:t xml:space="preserve">alizi </w:t>
      </w:r>
      <w:r>
        <w:rPr>
          <w:rFonts w:ascii="Times New Roman" w:cs="Times New Roman" w:eastAsia="Times New Roman" w:hAnsi="Times New Roman"/>
          <w:sz w:val="24"/>
          <w:szCs w:val="24"/>
          <w:color w:val="auto"/>
        </w:rPr>
        <w:t>Kaplan Meier testi ile yapıldı. Grup sağ kalımları log</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rank testi ile kıyaslandı. İstatistiksel anlamlılık ifade eden P düzeyi &lt; 0,05 olarak </w:t>
      </w:r>
      <w:r>
        <w:rPr>
          <w:rFonts w:ascii="Times New Roman" w:cs="Times New Roman" w:eastAsia="Times New Roman" w:hAnsi="Times New Roman"/>
          <w:sz w:val="24"/>
          <w:szCs w:val="24"/>
          <w:color w:val="auto"/>
        </w:rPr>
        <w:t>kabul edildi.</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b w:val="1"/>
          <w:bCs w:val="1"/>
          <w:color w:val="auto"/>
        </w:rPr>
        <w:t xml:space="preserve">3.7. </w:t>
      </w:r>
      <w:r>
        <w:rPr>
          <w:rFonts w:ascii="Times New Roman" w:cs="Times New Roman" w:eastAsia="Times New Roman" w:hAnsi="Times New Roman"/>
          <w:sz w:val="24"/>
          <w:szCs w:val="24"/>
          <w:b w:val="1"/>
          <w:bCs w:val="1"/>
          <w:color w:val="auto"/>
        </w:rPr>
        <w:t>ARAŞTIRMA BÜTÇESİ</w:t>
      </w:r>
    </w:p>
    <w:p>
      <w:pPr>
        <w:spacing w:after="0" w:line="200" w:lineRule="exact"/>
        <w:rPr>
          <w:sz w:val="20"/>
          <w:szCs w:val="20"/>
          <w:color w:val="auto"/>
        </w:rPr>
      </w:pPr>
    </w:p>
    <w:p>
      <w:pPr>
        <w:spacing w:after="0" w:line="364" w:lineRule="exact"/>
        <w:rPr>
          <w:sz w:val="20"/>
          <w:szCs w:val="20"/>
          <w:color w:val="auto"/>
        </w:rPr>
      </w:pPr>
    </w:p>
    <w:p>
      <w:pPr>
        <w:jc w:val="both"/>
        <w:ind w:left="840" w:firstLine="708"/>
        <w:spacing w:after="0" w:line="354" w:lineRule="auto"/>
        <w:rPr>
          <w:sz w:val="20"/>
          <w:szCs w:val="20"/>
          <w:color w:val="auto"/>
        </w:rPr>
      </w:pPr>
      <w:r>
        <w:rPr>
          <w:rFonts w:ascii="Times New Roman" w:cs="Times New Roman" w:eastAsia="Times New Roman" w:hAnsi="Times New Roman"/>
          <w:sz w:val="24"/>
          <w:szCs w:val="24"/>
          <w:color w:val="auto"/>
        </w:rPr>
        <w:t>Araştırma bütçesi için herhangi bir kişi veya kurumdan ek destek alınmamıştır. Çalışma için gereken teknik olanaklar bizzat araştırmacılarca karşılanmıştı</w:t>
      </w:r>
      <w:r>
        <w:rPr>
          <w:rFonts w:ascii="Times New Roman" w:cs="Times New Roman" w:eastAsia="Times New Roman" w:hAnsi="Times New Roman"/>
          <w:sz w:val="24"/>
          <w:szCs w:val="24"/>
          <w:color w:val="auto"/>
        </w:rPr>
        <w:t>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-145415</wp:posOffset>
            </wp:positionV>
            <wp:extent cx="4699000" cy="18542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14" w:right="1406" w:bottom="1440" w:gutter="0" w:footer="0" w:header="0"/>
        </w:sectPr>
      </w:pPr>
    </w:p>
    <w:bookmarkStart w:id="38" w:name="page39"/>
    <w:bookmarkEnd w:id="38"/>
    <w:p>
      <w:pPr>
        <w:ind w:left="8820"/>
        <w:spacing w:after="0"/>
        <w:rPr>
          <w:sz w:val="20"/>
          <w:szCs w:val="20"/>
          <w:color w:val="auto"/>
        </w:rPr>
      </w:pPr>
      <w:r>
        <w:rPr>
          <w:rFonts w:ascii="Calibri" w:cs="Calibri" w:eastAsia="Calibri" w:hAnsi="Calibri"/>
          <w:sz w:val="22"/>
          <w:szCs w:val="22"/>
          <w:color w:val="auto"/>
        </w:rPr>
        <w:t>28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3940"/>
        <w:spacing w:after="0"/>
        <w:tabs>
          <w:tab w:leader="none" w:pos="4280" w:val="left"/>
        </w:tabs>
        <w:rPr>
          <w:sz w:val="20"/>
          <w:szCs w:val="20"/>
          <w:color w:val="auto"/>
        </w:rPr>
      </w:pPr>
      <w:r>
        <w:rPr>
          <w:rFonts w:ascii="Times New Roman" w:cs="Times New Roman" w:eastAsia="Times New Roman" w:hAnsi="Times New Roman"/>
          <w:sz w:val="24"/>
          <w:szCs w:val="24"/>
          <w:b w:val="1"/>
          <w:bCs w:val="1"/>
          <w:color w:val="auto"/>
        </w:rPr>
        <w:t>4.</w:t>
        <w:tab/>
        <w:t>BULGULAR</w:t>
      </w: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820" w:firstLine="720"/>
        <w:spacing w:after="0" w:line="348" w:lineRule="auto"/>
        <w:rPr>
          <w:sz w:val="20"/>
          <w:szCs w:val="20"/>
          <w:color w:val="auto"/>
        </w:rPr>
      </w:pPr>
      <w:r>
        <w:rPr>
          <w:rFonts w:ascii="Times New Roman" w:cs="Times New Roman" w:eastAsia="Times New Roman" w:hAnsi="Times New Roman"/>
          <w:sz w:val="24"/>
          <w:szCs w:val="24"/>
          <w:color w:val="auto"/>
        </w:rPr>
        <w:t>D</w:t>
      </w:r>
      <w:r>
        <w:rPr>
          <w:rFonts w:ascii="Times New Roman" w:cs="Times New Roman" w:eastAsia="Times New Roman" w:hAnsi="Times New Roman"/>
          <w:sz w:val="24"/>
          <w:szCs w:val="24"/>
          <w:color w:val="auto"/>
        </w:rPr>
        <w:t>ahil edilme kriterlerini karşılayan</w:t>
      </w:r>
      <w:r>
        <w:rPr>
          <w:rFonts w:ascii="Times New Roman" w:cs="Times New Roman" w:eastAsia="Times New Roman" w:hAnsi="Times New Roman"/>
          <w:sz w:val="24"/>
          <w:szCs w:val="24"/>
          <w:color w:val="auto"/>
        </w:rPr>
        <w:t xml:space="preserve"> toplam 30 hasta belirlendi. Bu </w:t>
      </w:r>
      <w:r>
        <w:rPr>
          <w:rFonts w:ascii="Times New Roman" w:cs="Times New Roman" w:eastAsia="Times New Roman" w:hAnsi="Times New Roman"/>
          <w:sz w:val="24"/>
          <w:szCs w:val="24"/>
          <w:color w:val="auto"/>
        </w:rPr>
        <w:t>hastaların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başlıca demografik verileri tablo 4.1’de özetlenmiştir.</w:t>
      </w:r>
    </w:p>
    <w:p>
      <w:pPr>
        <w:spacing w:after="0" w:line="200" w:lineRule="exact"/>
        <w:rPr>
          <w:sz w:val="20"/>
          <w:szCs w:val="20"/>
          <w:color w:val="auto"/>
        </w:rPr>
      </w:pPr>
    </w:p>
    <w:p>
      <w:pPr>
        <w:spacing w:after="0" w:line="228" w:lineRule="exact"/>
        <w:rPr>
          <w:sz w:val="20"/>
          <w:szCs w:val="20"/>
          <w:color w:val="auto"/>
        </w:rPr>
      </w:pPr>
    </w:p>
    <w:tbl>
      <w:tblPr>
        <w:tblLayout w:type="fixed"/>
        <w:tblInd w:w="730" w:type="dxa"/>
        <w:tblCellMar>
          <w:top w:w="0" w:type="dxa"/>
          <w:left w:w="0" w:type="dxa"/>
          <w:bottom w:w="0" w:type="dxa"/>
          <w:right w:w="0" w:type="dxa"/>
        </w:tblCellMar>
      </w:tblPr>
      <w:tr>
        <w:trPr>
          <w:trHeight w:val="276"/>
        </w:trPr>
        <w:tc>
          <w:tcPr>
            <w:tcW w:w="5000" w:type="dxa"/>
            <w:vAlign w:val="bottom"/>
            <w:gridSpan w:val="4"/>
          </w:tcPr>
          <w:p>
            <w:pPr>
              <w:ind w:left="100"/>
              <w:spacing w:after="0"/>
              <w:rPr>
                <w:sz w:val="20"/>
                <w:szCs w:val="20"/>
                <w:color w:val="auto"/>
              </w:rPr>
            </w:pPr>
            <w:r>
              <w:rPr>
                <w:rFonts w:ascii="Times New Roman" w:cs="Times New Roman" w:eastAsia="Times New Roman" w:hAnsi="Times New Roman"/>
                <w:sz w:val="24"/>
                <w:szCs w:val="24"/>
                <w:b w:val="1"/>
                <w:bCs w:val="1"/>
                <w:color w:val="222222"/>
              </w:rPr>
              <w:t xml:space="preserve">Tablo 4.1 </w:t>
            </w:r>
            <w:r>
              <w:rPr>
                <w:rFonts w:ascii="Times New Roman" w:cs="Times New Roman" w:eastAsia="Times New Roman" w:hAnsi="Times New Roman"/>
                <w:sz w:val="24"/>
                <w:szCs w:val="24"/>
                <w:color w:val="222222"/>
              </w:rPr>
              <w:t>Demografik özellikler ve izlem süreleri</w:t>
            </w:r>
          </w:p>
        </w:tc>
        <w:tc>
          <w:tcPr>
            <w:tcW w:w="1500" w:type="dxa"/>
            <w:vAlign w:val="bottom"/>
          </w:tcPr>
          <w:p>
            <w:pPr>
              <w:spacing w:after="0"/>
              <w:rPr>
                <w:sz w:val="23"/>
                <w:szCs w:val="23"/>
                <w:color w:val="auto"/>
              </w:rPr>
            </w:pPr>
          </w:p>
        </w:tc>
        <w:tc>
          <w:tcPr>
            <w:tcW w:w="1700" w:type="dxa"/>
            <w:vAlign w:val="bottom"/>
          </w:tcPr>
          <w:p>
            <w:pPr>
              <w:spacing w:after="0"/>
              <w:rPr>
                <w:sz w:val="23"/>
                <w:szCs w:val="23"/>
                <w:color w:val="auto"/>
              </w:rPr>
            </w:pPr>
          </w:p>
        </w:tc>
      </w:tr>
      <w:tr>
        <w:trPr>
          <w:trHeight w:val="303"/>
        </w:trPr>
        <w:tc>
          <w:tcPr>
            <w:tcW w:w="1220" w:type="dxa"/>
            <w:vAlign w:val="bottom"/>
            <w:tcBorders>
              <w:bottom w:val="single" w:sz="8" w:color="auto"/>
            </w:tcBorders>
          </w:tcPr>
          <w:p>
            <w:pPr>
              <w:spacing w:after="0"/>
              <w:rPr>
                <w:sz w:val="24"/>
                <w:szCs w:val="24"/>
                <w:color w:val="auto"/>
              </w:rPr>
            </w:pPr>
          </w:p>
        </w:tc>
        <w:tc>
          <w:tcPr>
            <w:tcW w:w="1260" w:type="dxa"/>
            <w:vAlign w:val="bottom"/>
            <w:tcBorders>
              <w:bottom w:val="single" w:sz="8" w:color="auto"/>
            </w:tcBorders>
          </w:tcPr>
          <w:p>
            <w:pPr>
              <w:spacing w:after="0"/>
              <w:rPr>
                <w:sz w:val="24"/>
                <w:szCs w:val="24"/>
                <w:color w:val="auto"/>
              </w:rPr>
            </w:pPr>
          </w:p>
        </w:tc>
        <w:tc>
          <w:tcPr>
            <w:tcW w:w="138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tcPr>
          <w:p>
            <w:pPr>
              <w:spacing w:after="0"/>
              <w:rPr>
                <w:sz w:val="24"/>
                <w:szCs w:val="24"/>
                <w:color w:val="auto"/>
              </w:rPr>
            </w:pPr>
          </w:p>
        </w:tc>
        <w:tc>
          <w:tcPr>
            <w:tcW w:w="150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r>
      <w:tr>
        <w:trPr>
          <w:trHeight w:val="263"/>
        </w:trPr>
        <w:tc>
          <w:tcPr>
            <w:tcW w:w="1220" w:type="dxa"/>
            <w:vAlign w:val="bottom"/>
            <w:tcBorders>
              <w:left w:val="single" w:sz="8" w:color="auto"/>
              <w:right w:val="single" w:sz="8" w:color="auto"/>
            </w:tcBorders>
          </w:tcPr>
          <w:p>
            <w:pPr>
              <w:spacing w:after="0"/>
              <w:rPr>
                <w:sz w:val="22"/>
                <w:szCs w:val="22"/>
                <w:color w:val="auto"/>
              </w:rPr>
            </w:pPr>
          </w:p>
        </w:tc>
        <w:tc>
          <w:tcPr>
            <w:tcW w:w="126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Toplam</w:t>
            </w:r>
          </w:p>
        </w:tc>
        <w:tc>
          <w:tcPr>
            <w:tcW w:w="138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İSM</w:t>
            </w:r>
          </w:p>
        </w:tc>
        <w:tc>
          <w:tcPr>
            <w:tcW w:w="1140" w:type="dxa"/>
            <w:vAlign w:val="bottom"/>
            <w:tcBorders>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222222"/>
              </w:rPr>
              <w:t>SSM</w:t>
            </w:r>
          </w:p>
        </w:tc>
        <w:tc>
          <w:tcPr>
            <w:tcW w:w="1500" w:type="dxa"/>
            <w:vAlign w:val="bottom"/>
            <w:tcBorders>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222222"/>
              </w:rPr>
              <w:t>ASM</w:t>
            </w:r>
          </w:p>
        </w:tc>
        <w:tc>
          <w:tcPr>
            <w:tcW w:w="170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SM-AHN</w:t>
            </w:r>
          </w:p>
        </w:tc>
      </w:tr>
      <w:tr>
        <w:trPr>
          <w:trHeight w:val="140"/>
        </w:trPr>
        <w:tc>
          <w:tcPr>
            <w:tcW w:w="1220" w:type="dxa"/>
            <w:vAlign w:val="bottom"/>
            <w:tcBorders>
              <w:left w:val="single" w:sz="8" w:color="auto"/>
              <w:bottom w:val="single" w:sz="8" w:color="auto"/>
              <w:right w:val="single" w:sz="8" w:color="auto"/>
            </w:tcBorders>
          </w:tcPr>
          <w:p>
            <w:pPr>
              <w:spacing w:after="0"/>
              <w:rPr>
                <w:sz w:val="12"/>
                <w:szCs w:val="12"/>
                <w:color w:val="auto"/>
              </w:rPr>
            </w:pPr>
          </w:p>
        </w:tc>
        <w:tc>
          <w:tcPr>
            <w:tcW w:w="126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r>
      <w:tr>
        <w:trPr>
          <w:trHeight w:val="263"/>
        </w:trPr>
        <w:tc>
          <w:tcPr>
            <w:tcW w:w="122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Tanı</w:t>
            </w:r>
          </w:p>
        </w:tc>
        <w:tc>
          <w:tcPr>
            <w:tcW w:w="126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30</w:t>
            </w:r>
          </w:p>
        </w:tc>
        <w:tc>
          <w:tcPr>
            <w:tcW w:w="13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15(%50)</w:t>
            </w:r>
          </w:p>
        </w:tc>
        <w:tc>
          <w:tcPr>
            <w:tcW w:w="114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1(%3,3)</w:t>
            </w:r>
          </w:p>
        </w:tc>
        <w:tc>
          <w:tcPr>
            <w:tcW w:w="150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10(%33,4)</w:t>
            </w:r>
          </w:p>
        </w:tc>
        <w:tc>
          <w:tcPr>
            <w:tcW w:w="17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4(13,3)</w:t>
            </w:r>
          </w:p>
        </w:tc>
      </w:tr>
      <w:tr>
        <w:trPr>
          <w:trHeight w:val="142"/>
        </w:trPr>
        <w:tc>
          <w:tcPr>
            <w:tcW w:w="1220" w:type="dxa"/>
            <w:vAlign w:val="bottom"/>
            <w:tcBorders>
              <w:left w:val="single" w:sz="8" w:color="auto"/>
              <w:bottom w:val="single" w:sz="8" w:color="auto"/>
              <w:right w:val="single" w:sz="8" w:color="auto"/>
            </w:tcBorders>
          </w:tcPr>
          <w:p>
            <w:pPr>
              <w:spacing w:after="0"/>
              <w:rPr>
                <w:sz w:val="12"/>
                <w:szCs w:val="12"/>
                <w:color w:val="auto"/>
              </w:rPr>
            </w:pPr>
          </w:p>
        </w:tc>
        <w:tc>
          <w:tcPr>
            <w:tcW w:w="126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r>
      <w:tr>
        <w:trPr>
          <w:trHeight w:val="263"/>
        </w:trPr>
        <w:tc>
          <w:tcPr>
            <w:tcW w:w="122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Yaş</w:t>
            </w:r>
          </w:p>
        </w:tc>
        <w:tc>
          <w:tcPr>
            <w:tcW w:w="1260" w:type="dxa"/>
            <w:vAlign w:val="bottom"/>
            <w:tcBorders>
              <w:right w:val="single" w:sz="8" w:color="auto"/>
            </w:tcBorders>
          </w:tcPr>
          <w:p>
            <w:pPr>
              <w:ind w:left="100"/>
              <w:spacing w:after="0" w:line="242" w:lineRule="exact"/>
              <w:rPr>
                <w:sz w:val="20"/>
                <w:szCs w:val="20"/>
                <w:color w:val="auto"/>
              </w:rPr>
            </w:pPr>
            <w:r>
              <w:rPr>
                <w:rFonts w:ascii="Times New Roman" w:cs="Times New Roman" w:eastAsia="Times New Roman" w:hAnsi="Times New Roman"/>
                <w:sz w:val="22"/>
                <w:szCs w:val="22"/>
                <w:color w:val="auto"/>
              </w:rPr>
              <w:t>47,5±11,47</w:t>
            </w:r>
          </w:p>
        </w:tc>
        <w:tc>
          <w:tcPr>
            <w:tcW w:w="13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41,53</w:t>
            </w:r>
            <w:r>
              <w:rPr>
                <w:rFonts w:ascii="Times New Roman" w:cs="Times New Roman" w:eastAsia="Times New Roman" w:hAnsi="Times New Roman"/>
                <w:sz w:val="22"/>
                <w:szCs w:val="22"/>
                <w:color w:val="000000"/>
              </w:rPr>
              <w:t>±11,85</w:t>
            </w:r>
          </w:p>
        </w:tc>
        <w:tc>
          <w:tcPr>
            <w:tcW w:w="114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50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51,6</w:t>
            </w:r>
            <w:r>
              <w:rPr>
                <w:rFonts w:ascii="Times New Roman" w:cs="Times New Roman" w:eastAsia="Times New Roman" w:hAnsi="Times New Roman"/>
                <w:sz w:val="22"/>
                <w:szCs w:val="22"/>
                <w:color w:val="000000"/>
              </w:rPr>
              <w:t>±7,75</w:t>
            </w:r>
          </w:p>
        </w:tc>
        <w:tc>
          <w:tcPr>
            <w:tcW w:w="1700" w:type="dxa"/>
            <w:vAlign w:val="bottom"/>
            <w:tcBorders>
              <w:right w:val="single" w:sz="8" w:color="auto"/>
            </w:tcBorders>
          </w:tcPr>
          <w:p>
            <w:pPr>
              <w:ind w:left="100"/>
              <w:spacing w:after="0" w:line="242" w:lineRule="exact"/>
              <w:rPr>
                <w:sz w:val="20"/>
                <w:szCs w:val="20"/>
                <w:color w:val="auto"/>
              </w:rPr>
            </w:pPr>
            <w:r>
              <w:rPr>
                <w:rFonts w:ascii="Times New Roman" w:cs="Times New Roman" w:eastAsia="Times New Roman" w:hAnsi="Times New Roman"/>
                <w:sz w:val="22"/>
                <w:szCs w:val="22"/>
                <w:color w:val="auto"/>
              </w:rPr>
              <w:t>57,7±6,65</w:t>
            </w:r>
          </w:p>
        </w:tc>
      </w:tr>
      <w:tr>
        <w:trPr>
          <w:trHeight w:val="521"/>
        </w:trPr>
        <w:tc>
          <w:tcPr>
            <w:tcW w:w="1220" w:type="dxa"/>
            <w:vAlign w:val="bottom"/>
            <w:tcBorders>
              <w:left w:val="single" w:sz="8" w:color="auto"/>
              <w:bottom w:val="single" w:sz="8" w:color="auto"/>
              <w:right w:val="single" w:sz="8" w:color="auto"/>
            </w:tcBorders>
          </w:tcPr>
          <w:p>
            <w:pPr>
              <w:spacing w:after="0"/>
              <w:rPr>
                <w:sz w:val="24"/>
                <w:szCs w:val="24"/>
                <w:color w:val="auto"/>
              </w:rPr>
            </w:pPr>
          </w:p>
        </w:tc>
        <w:tc>
          <w:tcPr>
            <w:tcW w:w="126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c>
          <w:tcPr>
            <w:tcW w:w="1140" w:type="dxa"/>
            <w:vAlign w:val="bottom"/>
            <w:tcBorders>
              <w:bottom w:val="single" w:sz="8" w:color="auto"/>
              <w:right w:val="single" w:sz="8" w:color="auto"/>
            </w:tcBorders>
          </w:tcPr>
          <w:p>
            <w:pPr>
              <w:spacing w:after="0"/>
              <w:rPr>
                <w:sz w:val="24"/>
                <w:szCs w:val="24"/>
                <w:color w:val="auto"/>
              </w:rPr>
            </w:pPr>
          </w:p>
        </w:tc>
        <w:tc>
          <w:tcPr>
            <w:tcW w:w="1500" w:type="dxa"/>
            <w:vAlign w:val="bottom"/>
            <w:tcBorders>
              <w:bottom w:val="single" w:sz="8" w:color="auto"/>
              <w:right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spacing w:after="0"/>
              <w:rPr>
                <w:sz w:val="24"/>
                <w:szCs w:val="24"/>
                <w:color w:val="auto"/>
              </w:rPr>
            </w:pPr>
          </w:p>
        </w:tc>
      </w:tr>
      <w:tr>
        <w:trPr>
          <w:trHeight w:val="263"/>
        </w:trPr>
        <w:tc>
          <w:tcPr>
            <w:tcW w:w="122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Cinsiyet</w:t>
            </w:r>
          </w:p>
        </w:tc>
        <w:tc>
          <w:tcPr>
            <w:tcW w:w="1260" w:type="dxa"/>
            <w:vAlign w:val="bottom"/>
            <w:tcBorders>
              <w:right w:val="single" w:sz="8" w:color="auto"/>
            </w:tcBorders>
          </w:tcPr>
          <w:p>
            <w:pPr>
              <w:spacing w:after="0"/>
              <w:rPr>
                <w:sz w:val="22"/>
                <w:szCs w:val="22"/>
                <w:color w:val="auto"/>
              </w:rPr>
            </w:pPr>
          </w:p>
        </w:tc>
        <w:tc>
          <w:tcPr>
            <w:tcW w:w="1380" w:type="dxa"/>
            <w:vAlign w:val="bottom"/>
            <w:tcBorders>
              <w:right w:val="single" w:sz="8" w:color="auto"/>
            </w:tcBorders>
          </w:tcPr>
          <w:p>
            <w:pPr>
              <w:spacing w:after="0"/>
              <w:rPr>
                <w:sz w:val="22"/>
                <w:szCs w:val="22"/>
                <w:color w:val="auto"/>
              </w:rPr>
            </w:pPr>
          </w:p>
        </w:tc>
        <w:tc>
          <w:tcPr>
            <w:tcW w:w="1140" w:type="dxa"/>
            <w:vAlign w:val="bottom"/>
            <w:tcBorders>
              <w:right w:val="single" w:sz="8" w:color="auto"/>
            </w:tcBorders>
          </w:tcPr>
          <w:p>
            <w:pPr>
              <w:spacing w:after="0"/>
              <w:rPr>
                <w:sz w:val="22"/>
                <w:szCs w:val="22"/>
                <w:color w:val="auto"/>
              </w:rPr>
            </w:pPr>
          </w:p>
        </w:tc>
        <w:tc>
          <w:tcPr>
            <w:tcW w:w="1500" w:type="dxa"/>
            <w:vAlign w:val="bottom"/>
            <w:tcBorders>
              <w:right w:val="single" w:sz="8" w:color="auto"/>
            </w:tcBorders>
          </w:tcPr>
          <w:p>
            <w:pPr>
              <w:spacing w:after="0"/>
              <w:rPr>
                <w:sz w:val="22"/>
                <w:szCs w:val="22"/>
                <w:color w:val="auto"/>
              </w:rPr>
            </w:pPr>
          </w:p>
        </w:tc>
        <w:tc>
          <w:tcPr>
            <w:tcW w:w="1700" w:type="dxa"/>
            <w:vAlign w:val="bottom"/>
            <w:tcBorders>
              <w:right w:val="single" w:sz="8" w:color="auto"/>
            </w:tcBorders>
          </w:tcPr>
          <w:p>
            <w:pPr>
              <w:spacing w:after="0"/>
              <w:rPr>
                <w:sz w:val="22"/>
                <w:szCs w:val="22"/>
                <w:color w:val="auto"/>
              </w:rPr>
            </w:pPr>
          </w:p>
        </w:tc>
      </w:tr>
      <w:tr>
        <w:trPr>
          <w:trHeight w:val="413"/>
        </w:trPr>
        <w:tc>
          <w:tcPr>
            <w:tcW w:w="1220" w:type="dxa"/>
            <w:vAlign w:val="bottom"/>
            <w:tcBorders>
              <w:left w:val="single" w:sz="8" w:color="auto"/>
              <w:right w:val="single" w:sz="8" w:color="auto"/>
            </w:tcBorders>
          </w:tcPr>
          <w:p>
            <w:pPr>
              <w:ind w:left="220"/>
              <w:spacing w:after="0"/>
              <w:rPr>
                <w:sz w:val="20"/>
                <w:szCs w:val="20"/>
                <w:color w:val="auto"/>
              </w:rPr>
            </w:pPr>
            <w:r>
              <w:rPr>
                <w:rFonts w:ascii="Times New Roman" w:cs="Times New Roman" w:eastAsia="Times New Roman" w:hAnsi="Times New Roman"/>
                <w:sz w:val="24"/>
                <w:szCs w:val="24"/>
                <w:color w:val="222222"/>
              </w:rPr>
              <w:t>Erkek</w:t>
            </w:r>
          </w:p>
        </w:tc>
        <w:tc>
          <w:tcPr>
            <w:tcW w:w="12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14(%46,7)</w:t>
            </w:r>
          </w:p>
        </w:tc>
        <w:tc>
          <w:tcPr>
            <w:tcW w:w="13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6(%40)</w:t>
            </w:r>
          </w:p>
        </w:tc>
        <w:tc>
          <w:tcPr>
            <w:tcW w:w="11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1(%100)</w:t>
            </w:r>
          </w:p>
        </w:tc>
        <w:tc>
          <w:tcPr>
            <w:tcW w:w="150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5(%50)</w:t>
            </w:r>
          </w:p>
        </w:tc>
        <w:tc>
          <w:tcPr>
            <w:tcW w:w="1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2(%50)</w:t>
            </w:r>
          </w:p>
        </w:tc>
      </w:tr>
      <w:tr>
        <w:trPr>
          <w:trHeight w:val="415"/>
        </w:trPr>
        <w:tc>
          <w:tcPr>
            <w:tcW w:w="1220" w:type="dxa"/>
            <w:vAlign w:val="bottom"/>
            <w:tcBorders>
              <w:left w:val="single" w:sz="8" w:color="auto"/>
              <w:right w:val="single" w:sz="8" w:color="auto"/>
            </w:tcBorders>
          </w:tcPr>
          <w:p>
            <w:pPr>
              <w:ind w:left="220"/>
              <w:spacing w:after="0"/>
              <w:rPr>
                <w:sz w:val="20"/>
                <w:szCs w:val="20"/>
                <w:color w:val="auto"/>
              </w:rPr>
            </w:pPr>
            <w:r>
              <w:rPr>
                <w:rFonts w:ascii="Times New Roman" w:cs="Times New Roman" w:eastAsia="Times New Roman" w:hAnsi="Times New Roman"/>
                <w:sz w:val="24"/>
                <w:szCs w:val="24"/>
                <w:color w:val="222222"/>
              </w:rPr>
              <w:t>Kadın</w:t>
            </w:r>
          </w:p>
        </w:tc>
        <w:tc>
          <w:tcPr>
            <w:tcW w:w="12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16(%53,3)</w:t>
            </w:r>
          </w:p>
        </w:tc>
        <w:tc>
          <w:tcPr>
            <w:tcW w:w="13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9(%60)</w:t>
            </w:r>
          </w:p>
        </w:tc>
        <w:tc>
          <w:tcPr>
            <w:tcW w:w="1140" w:type="dxa"/>
            <w:vAlign w:val="bottom"/>
            <w:tcBorders>
              <w:right w:val="single" w:sz="8" w:color="auto"/>
            </w:tcBorders>
          </w:tcPr>
          <w:p>
            <w:pPr>
              <w:spacing w:after="0"/>
              <w:rPr>
                <w:sz w:val="24"/>
                <w:szCs w:val="24"/>
                <w:color w:val="auto"/>
              </w:rPr>
            </w:pPr>
          </w:p>
        </w:tc>
        <w:tc>
          <w:tcPr>
            <w:tcW w:w="150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5(%50)</w:t>
            </w:r>
          </w:p>
        </w:tc>
        <w:tc>
          <w:tcPr>
            <w:tcW w:w="1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2(%50)</w:t>
            </w:r>
          </w:p>
        </w:tc>
      </w:tr>
      <w:tr>
        <w:trPr>
          <w:trHeight w:val="140"/>
        </w:trPr>
        <w:tc>
          <w:tcPr>
            <w:tcW w:w="1220" w:type="dxa"/>
            <w:vAlign w:val="bottom"/>
            <w:tcBorders>
              <w:left w:val="single" w:sz="8" w:color="auto"/>
              <w:bottom w:val="single" w:sz="8" w:color="auto"/>
              <w:right w:val="single" w:sz="8" w:color="auto"/>
            </w:tcBorders>
          </w:tcPr>
          <w:p>
            <w:pPr>
              <w:spacing w:after="0"/>
              <w:rPr>
                <w:sz w:val="12"/>
                <w:szCs w:val="12"/>
                <w:color w:val="auto"/>
              </w:rPr>
            </w:pPr>
          </w:p>
        </w:tc>
        <w:tc>
          <w:tcPr>
            <w:tcW w:w="126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r>
      <w:tr>
        <w:trPr>
          <w:trHeight w:val="263"/>
        </w:trPr>
        <w:tc>
          <w:tcPr>
            <w:tcW w:w="122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Ortanca</w:t>
            </w:r>
          </w:p>
        </w:tc>
        <w:tc>
          <w:tcPr>
            <w:tcW w:w="1260" w:type="dxa"/>
            <w:vAlign w:val="bottom"/>
            <w:tcBorders>
              <w:right w:val="single" w:sz="8" w:color="auto"/>
            </w:tcBorders>
          </w:tcPr>
          <w:p>
            <w:pPr>
              <w:ind w:left="100"/>
              <w:spacing w:after="0" w:line="231" w:lineRule="exact"/>
              <w:rPr>
                <w:sz w:val="20"/>
                <w:szCs w:val="20"/>
                <w:color w:val="auto"/>
              </w:rPr>
            </w:pPr>
            <w:r>
              <w:rPr>
                <w:rFonts w:ascii="Times New Roman" w:cs="Times New Roman" w:eastAsia="Times New Roman" w:hAnsi="Times New Roman"/>
                <w:sz w:val="21"/>
                <w:szCs w:val="21"/>
                <w:color w:val="222222"/>
              </w:rPr>
              <w:t>8,08(0-192)</w:t>
            </w:r>
          </w:p>
        </w:tc>
        <w:tc>
          <w:tcPr>
            <w:tcW w:w="13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7,93(0-192)</w:t>
            </w:r>
          </w:p>
        </w:tc>
        <w:tc>
          <w:tcPr>
            <w:tcW w:w="114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45,1</w:t>
            </w:r>
          </w:p>
        </w:tc>
        <w:tc>
          <w:tcPr>
            <w:tcW w:w="1500" w:type="dxa"/>
            <w:vAlign w:val="bottom"/>
            <w:tcBorders>
              <w:right w:val="single" w:sz="8" w:color="auto"/>
            </w:tcBorders>
          </w:tcPr>
          <w:p>
            <w:pPr>
              <w:ind w:left="80"/>
              <w:spacing w:after="0" w:line="231" w:lineRule="exact"/>
              <w:rPr>
                <w:sz w:val="20"/>
                <w:szCs w:val="20"/>
                <w:color w:val="auto"/>
              </w:rPr>
            </w:pPr>
            <w:r>
              <w:rPr>
                <w:rFonts w:ascii="Times New Roman" w:cs="Times New Roman" w:eastAsia="Times New Roman" w:hAnsi="Times New Roman"/>
                <w:sz w:val="21"/>
                <w:szCs w:val="21"/>
                <w:color w:val="222222"/>
              </w:rPr>
              <w:t>11,81(0-97,37)</w:t>
            </w:r>
          </w:p>
        </w:tc>
        <w:tc>
          <w:tcPr>
            <w:tcW w:w="1700" w:type="dxa"/>
            <w:vAlign w:val="bottom"/>
            <w:tcBorders>
              <w:right w:val="single" w:sz="8" w:color="auto"/>
            </w:tcBorders>
          </w:tcPr>
          <w:p>
            <w:pPr>
              <w:ind w:left="100"/>
              <w:spacing w:after="0" w:line="231" w:lineRule="exact"/>
              <w:rPr>
                <w:sz w:val="20"/>
                <w:szCs w:val="20"/>
                <w:color w:val="auto"/>
              </w:rPr>
            </w:pPr>
            <w:r>
              <w:rPr>
                <w:rFonts w:ascii="Times New Roman" w:cs="Times New Roman" w:eastAsia="Times New Roman" w:hAnsi="Times New Roman"/>
                <w:sz w:val="21"/>
                <w:szCs w:val="21"/>
                <w:color w:val="222222"/>
              </w:rPr>
              <w:t>7,11(4,63-13,83)</w:t>
            </w:r>
          </w:p>
        </w:tc>
      </w:tr>
      <w:tr>
        <w:trPr>
          <w:trHeight w:val="415"/>
        </w:trPr>
        <w:tc>
          <w:tcPr>
            <w:tcW w:w="122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izlem</w:t>
            </w:r>
          </w:p>
        </w:tc>
        <w:tc>
          <w:tcPr>
            <w:tcW w:w="126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140" w:type="dxa"/>
            <w:vAlign w:val="bottom"/>
            <w:tcBorders>
              <w:right w:val="single" w:sz="8" w:color="auto"/>
            </w:tcBorders>
          </w:tcPr>
          <w:p>
            <w:pPr>
              <w:spacing w:after="0"/>
              <w:rPr>
                <w:sz w:val="24"/>
                <w:szCs w:val="24"/>
                <w:color w:val="auto"/>
              </w:rPr>
            </w:pPr>
          </w:p>
        </w:tc>
        <w:tc>
          <w:tcPr>
            <w:tcW w:w="15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r>
      <w:tr>
        <w:trPr>
          <w:trHeight w:val="413"/>
        </w:trPr>
        <w:tc>
          <w:tcPr>
            <w:tcW w:w="122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süresi</w:t>
            </w:r>
          </w:p>
        </w:tc>
        <w:tc>
          <w:tcPr>
            <w:tcW w:w="126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140" w:type="dxa"/>
            <w:vAlign w:val="bottom"/>
            <w:tcBorders>
              <w:right w:val="single" w:sz="8" w:color="auto"/>
            </w:tcBorders>
          </w:tcPr>
          <w:p>
            <w:pPr>
              <w:spacing w:after="0"/>
              <w:rPr>
                <w:sz w:val="24"/>
                <w:szCs w:val="24"/>
                <w:color w:val="auto"/>
              </w:rPr>
            </w:pPr>
          </w:p>
        </w:tc>
        <w:tc>
          <w:tcPr>
            <w:tcW w:w="15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r>
      <w:tr>
        <w:trPr>
          <w:trHeight w:val="142"/>
        </w:trPr>
        <w:tc>
          <w:tcPr>
            <w:tcW w:w="1220" w:type="dxa"/>
            <w:vAlign w:val="bottom"/>
            <w:tcBorders>
              <w:left w:val="single" w:sz="8" w:color="auto"/>
              <w:bottom w:val="single" w:sz="8" w:color="auto"/>
              <w:right w:val="single" w:sz="8" w:color="auto"/>
            </w:tcBorders>
          </w:tcPr>
          <w:p>
            <w:pPr>
              <w:spacing w:after="0"/>
              <w:rPr>
                <w:sz w:val="12"/>
                <w:szCs w:val="12"/>
                <w:color w:val="auto"/>
              </w:rPr>
            </w:pPr>
          </w:p>
        </w:tc>
        <w:tc>
          <w:tcPr>
            <w:tcW w:w="126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r>
      <w:tr>
        <w:trPr>
          <w:trHeight w:val="263"/>
        </w:trPr>
        <w:tc>
          <w:tcPr>
            <w:tcW w:w="1220" w:type="dxa"/>
            <w:vAlign w:val="bottom"/>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260" w:type="dxa"/>
            <w:vAlign w:val="bottom"/>
          </w:tcPr>
          <w:p>
            <w:pPr>
              <w:spacing w:after="0"/>
              <w:rPr>
                <w:sz w:val="22"/>
                <w:szCs w:val="22"/>
                <w:color w:val="auto"/>
              </w:rPr>
            </w:pPr>
          </w:p>
        </w:tc>
        <w:tc>
          <w:tcPr>
            <w:tcW w:w="1380" w:type="dxa"/>
            <w:vAlign w:val="bottom"/>
          </w:tcPr>
          <w:p>
            <w:pPr>
              <w:spacing w:after="0"/>
              <w:rPr>
                <w:sz w:val="22"/>
                <w:szCs w:val="22"/>
                <w:color w:val="auto"/>
              </w:rPr>
            </w:pPr>
          </w:p>
        </w:tc>
        <w:tc>
          <w:tcPr>
            <w:tcW w:w="1140" w:type="dxa"/>
            <w:vAlign w:val="bottom"/>
          </w:tcPr>
          <w:p>
            <w:pPr>
              <w:spacing w:after="0"/>
              <w:rPr>
                <w:sz w:val="22"/>
                <w:szCs w:val="22"/>
                <w:color w:val="auto"/>
              </w:rPr>
            </w:pPr>
          </w:p>
        </w:tc>
        <w:tc>
          <w:tcPr>
            <w:tcW w:w="1500" w:type="dxa"/>
            <w:vAlign w:val="bottom"/>
          </w:tcPr>
          <w:p>
            <w:pPr>
              <w:spacing w:after="0"/>
              <w:rPr>
                <w:sz w:val="22"/>
                <w:szCs w:val="22"/>
                <w:color w:val="auto"/>
              </w:rPr>
            </w:pPr>
          </w:p>
        </w:tc>
        <w:tc>
          <w:tcPr>
            <w:tcW w:w="1700" w:type="dxa"/>
            <w:vAlign w:val="bottom"/>
          </w:tcPr>
          <w:p>
            <w:pPr>
              <w:spacing w:after="0"/>
              <w:rPr>
                <w:sz w:val="22"/>
                <w:szCs w:val="2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-2278380</wp:posOffset>
            </wp:positionV>
            <wp:extent cx="4699000" cy="185420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90" w:lineRule="exact"/>
        <w:rPr>
          <w:sz w:val="20"/>
          <w:szCs w:val="20"/>
          <w:color w:val="auto"/>
        </w:rPr>
      </w:pPr>
    </w:p>
    <w:p>
      <w:pPr>
        <w:jc w:val="both"/>
        <w:ind w:left="820" w:right="40" w:firstLine="708"/>
        <w:spacing w:after="0" w:line="350" w:lineRule="auto"/>
        <w:rPr>
          <w:sz w:val="20"/>
          <w:szCs w:val="20"/>
          <w:color w:val="auto"/>
        </w:rPr>
      </w:pPr>
      <w:r>
        <w:rPr>
          <w:rFonts w:ascii="Times New Roman" w:cs="Times New Roman" w:eastAsia="Times New Roman" w:hAnsi="Times New Roman"/>
          <w:sz w:val="24"/>
          <w:szCs w:val="24"/>
          <w:color w:val="222222"/>
        </w:rPr>
        <w:t xml:space="preserve">İSM, </w:t>
      </w:r>
      <w:r>
        <w:rPr>
          <w:rFonts w:ascii="Times New Roman" w:cs="Times New Roman" w:eastAsia="Times New Roman" w:hAnsi="Times New Roman"/>
          <w:sz w:val="24"/>
          <w:szCs w:val="24"/>
          <w:color w:val="222222"/>
        </w:rPr>
        <w:t>SSM, ASM ve SM-</w:t>
      </w:r>
      <w:r>
        <w:rPr>
          <w:rFonts w:ascii="Times New Roman" w:cs="Times New Roman" w:eastAsia="Times New Roman" w:hAnsi="Times New Roman"/>
          <w:sz w:val="24"/>
          <w:szCs w:val="24"/>
          <w:color w:val="222222"/>
        </w:rPr>
        <w:t xml:space="preserve">AHN hastalarının sayısı sırasıyla </w:t>
      </w:r>
      <w:r>
        <w:rPr>
          <w:rFonts w:ascii="Times New Roman" w:cs="Times New Roman" w:eastAsia="Times New Roman" w:hAnsi="Times New Roman"/>
          <w:sz w:val="24"/>
          <w:szCs w:val="24"/>
          <w:color w:val="222222"/>
        </w:rPr>
        <w:t>15(%50), 1(%3,3),</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10(%33,4) ve 4(%13,3) idi.</w:t>
      </w:r>
    </w:p>
    <w:p>
      <w:pPr>
        <w:spacing w:after="0" w:line="184" w:lineRule="exact"/>
        <w:rPr>
          <w:sz w:val="20"/>
          <w:szCs w:val="20"/>
          <w:color w:val="auto"/>
        </w:rPr>
      </w:pPr>
    </w:p>
    <w:p>
      <w:pPr>
        <w:jc w:val="both"/>
        <w:ind w:left="820" w:right="40"/>
        <w:spacing w:after="0" w:line="354" w:lineRule="auto"/>
        <w:rPr>
          <w:sz w:val="20"/>
          <w:szCs w:val="20"/>
          <w:color w:val="auto"/>
        </w:rPr>
      </w:pPr>
      <w:r>
        <w:rPr>
          <w:rFonts w:ascii="Times New Roman" w:cs="Times New Roman" w:eastAsia="Times New Roman" w:hAnsi="Times New Roman"/>
          <w:sz w:val="24"/>
          <w:szCs w:val="24"/>
          <w:color w:val="222222"/>
        </w:rPr>
        <w:t xml:space="preserve">Hastaların tanı anındaki yaşlarının ortalama değeri </w:t>
      </w:r>
      <w:r>
        <w:rPr>
          <w:rFonts w:ascii="Times New Roman" w:cs="Times New Roman" w:eastAsia="Times New Roman" w:hAnsi="Times New Roman"/>
          <w:sz w:val="24"/>
          <w:szCs w:val="24"/>
          <w:color w:val="000000"/>
        </w:rPr>
        <w:t>47,5±11,47</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000000"/>
        </w:rPr>
        <w:t>yıl olarak hesaplandı.</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000000"/>
        </w:rPr>
        <w:t>Ortalama yaş değerleri İSM, ASM ve SM</w:t>
      </w:r>
      <w:r>
        <w:rPr>
          <w:rFonts w:ascii="Times New Roman" w:cs="Times New Roman" w:eastAsia="Times New Roman" w:hAnsi="Times New Roman"/>
          <w:sz w:val="24"/>
          <w:szCs w:val="24"/>
          <w:color w:val="000000"/>
        </w:rPr>
        <w:t>-</w:t>
      </w:r>
      <w:r>
        <w:rPr>
          <w:rFonts w:ascii="Times New Roman" w:cs="Times New Roman" w:eastAsia="Times New Roman" w:hAnsi="Times New Roman"/>
          <w:sz w:val="24"/>
          <w:szCs w:val="24"/>
          <w:color w:val="000000"/>
        </w:rPr>
        <w:t xml:space="preserve">AHN hastalarında sırasıyla </w:t>
      </w:r>
      <w:r>
        <w:rPr>
          <w:rFonts w:ascii="Times New Roman" w:cs="Times New Roman" w:eastAsia="Times New Roman" w:hAnsi="Times New Roman"/>
          <w:sz w:val="24"/>
          <w:szCs w:val="24"/>
          <w:color w:val="222222"/>
        </w:rPr>
        <w:t>41,53</w:t>
      </w:r>
      <w:r>
        <w:rPr>
          <w:rFonts w:ascii="Times New Roman" w:cs="Times New Roman" w:eastAsia="Times New Roman" w:hAnsi="Times New Roman"/>
          <w:sz w:val="24"/>
          <w:szCs w:val="24"/>
          <w:color w:val="000000"/>
        </w:rPr>
        <w:t>±11,85,</w:t>
      </w:r>
      <w:r>
        <w:rPr>
          <w:rFonts w:ascii="Times New Roman" w:cs="Times New Roman" w:eastAsia="Times New Roman" w:hAnsi="Times New Roman"/>
          <w:sz w:val="24"/>
          <w:szCs w:val="24"/>
          <w:color w:val="000000"/>
        </w:rPr>
        <w:t xml:space="preserve"> </w:t>
      </w:r>
      <w:r>
        <w:rPr>
          <w:rFonts w:ascii="Times New Roman" w:cs="Times New Roman" w:eastAsia="Times New Roman" w:hAnsi="Times New Roman"/>
          <w:sz w:val="24"/>
          <w:szCs w:val="24"/>
          <w:color w:val="222222"/>
        </w:rPr>
        <w:t>51,6</w:t>
      </w:r>
      <w:r>
        <w:rPr>
          <w:rFonts w:ascii="Times New Roman" w:cs="Times New Roman" w:eastAsia="Times New Roman" w:hAnsi="Times New Roman"/>
          <w:sz w:val="24"/>
          <w:szCs w:val="24"/>
          <w:color w:val="000000"/>
        </w:rPr>
        <w:t>±7,75, 57,7±6,65</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000000"/>
        </w:rPr>
        <w:t>şeklinde görüldü.</w:t>
      </w:r>
    </w:p>
    <w:p>
      <w:pPr>
        <w:spacing w:after="0" w:line="181" w:lineRule="exact"/>
        <w:rPr>
          <w:sz w:val="20"/>
          <w:szCs w:val="20"/>
          <w:color w:val="auto"/>
        </w:rPr>
      </w:pPr>
    </w:p>
    <w:p>
      <w:pPr>
        <w:jc w:val="both"/>
        <w:ind w:left="820" w:right="40" w:firstLine="708"/>
        <w:spacing w:after="0" w:line="358" w:lineRule="auto"/>
        <w:rPr>
          <w:sz w:val="20"/>
          <w:szCs w:val="20"/>
          <w:color w:val="auto"/>
        </w:rPr>
      </w:pPr>
      <w:r>
        <w:rPr>
          <w:rFonts w:ascii="Times New Roman" w:cs="Times New Roman" w:eastAsia="Times New Roman" w:hAnsi="Times New Roman"/>
          <w:sz w:val="24"/>
          <w:szCs w:val="24"/>
          <w:color w:val="auto"/>
        </w:rPr>
        <w:t xml:space="preserve">Hastaların </w:t>
      </w:r>
      <w:r>
        <w:rPr>
          <w:rFonts w:ascii="Times New Roman" w:cs="Times New Roman" w:eastAsia="Times New Roman" w:hAnsi="Times New Roman"/>
          <w:sz w:val="24"/>
          <w:szCs w:val="24"/>
          <w:color w:val="auto"/>
        </w:rPr>
        <w:t>14(%46,7) tanesi erkek, 16(%53,3</w:t>
      </w:r>
      <w:r>
        <w:rPr>
          <w:rFonts w:ascii="Times New Roman" w:cs="Times New Roman" w:eastAsia="Times New Roman" w:hAnsi="Times New Roman"/>
          <w:sz w:val="24"/>
          <w:szCs w:val="24"/>
          <w:color w:val="auto"/>
        </w:rPr>
        <w:t xml:space="preserve">) tanesi ise kadındı. İSM tanısı </w:t>
      </w:r>
      <w:r>
        <w:rPr>
          <w:rFonts w:ascii="Times New Roman" w:cs="Times New Roman" w:eastAsia="Times New Roman" w:hAnsi="Times New Roman"/>
          <w:sz w:val="24"/>
          <w:szCs w:val="24"/>
          <w:color w:val="auto"/>
        </w:rPr>
        <w:t xml:space="preserve">alan toplam 15 </w:t>
      </w:r>
      <w:r>
        <w:rPr>
          <w:rFonts w:ascii="Times New Roman" w:cs="Times New Roman" w:eastAsia="Times New Roman" w:hAnsi="Times New Roman"/>
          <w:sz w:val="24"/>
          <w:szCs w:val="24"/>
          <w:color w:val="auto"/>
        </w:rPr>
        <w:t>hastanın</w:t>
      </w:r>
      <w:r>
        <w:rPr>
          <w:rFonts w:ascii="Times New Roman" w:cs="Times New Roman" w:eastAsia="Times New Roman" w:hAnsi="Times New Roman"/>
          <w:sz w:val="24"/>
          <w:szCs w:val="24"/>
          <w:color w:val="auto"/>
        </w:rPr>
        <w:t xml:space="preserve"> 6(%40) tanesi erkek, 9(%60</w:t>
      </w:r>
      <w:r>
        <w:rPr>
          <w:rFonts w:ascii="Times New Roman" w:cs="Times New Roman" w:eastAsia="Times New Roman" w:hAnsi="Times New Roman"/>
          <w:sz w:val="24"/>
          <w:szCs w:val="24"/>
          <w:color w:val="auto"/>
        </w:rPr>
        <w:t>) tanesi ise kadındı. ASM tanısı</w:t>
      </w:r>
      <w:r>
        <w:rPr>
          <w:rFonts w:ascii="Times New Roman" w:cs="Times New Roman" w:eastAsia="Times New Roman" w:hAnsi="Times New Roman"/>
          <w:sz w:val="24"/>
          <w:szCs w:val="24"/>
          <w:color w:val="auto"/>
        </w:rPr>
        <w:t xml:space="preserve"> alan toplam 10 </w:t>
      </w:r>
      <w:r>
        <w:rPr>
          <w:rFonts w:ascii="Times New Roman" w:cs="Times New Roman" w:eastAsia="Times New Roman" w:hAnsi="Times New Roman"/>
          <w:sz w:val="24"/>
          <w:szCs w:val="24"/>
          <w:color w:val="auto"/>
        </w:rPr>
        <w:t>hastanın</w:t>
      </w:r>
      <w:r>
        <w:rPr>
          <w:rFonts w:ascii="Times New Roman" w:cs="Times New Roman" w:eastAsia="Times New Roman" w:hAnsi="Times New Roman"/>
          <w:sz w:val="24"/>
          <w:szCs w:val="24"/>
          <w:color w:val="auto"/>
        </w:rPr>
        <w:t xml:space="preserve"> 5(%50) tanesi erkek, 5(%50</w:t>
      </w:r>
      <w:r>
        <w:rPr>
          <w:rFonts w:ascii="Times New Roman" w:cs="Times New Roman" w:eastAsia="Times New Roman" w:hAnsi="Times New Roman"/>
          <w:sz w:val="24"/>
          <w:szCs w:val="24"/>
          <w:color w:val="auto"/>
        </w:rPr>
        <w:t>) tanesi ise kadındı. SSM tanılı</w:t>
      </w:r>
      <w:r>
        <w:rPr>
          <w:rFonts w:ascii="Times New Roman" w:cs="Times New Roman" w:eastAsia="Times New Roman" w:hAnsi="Times New Roman"/>
          <w:sz w:val="24"/>
          <w:szCs w:val="24"/>
          <w:color w:val="auto"/>
        </w:rPr>
        <w:t xml:space="preserve"> bir tane hasta mevcuttu ve onun da cinsiyeti erkekti. SM-</w:t>
      </w:r>
      <w:r>
        <w:rPr>
          <w:rFonts w:ascii="Times New Roman" w:cs="Times New Roman" w:eastAsia="Times New Roman" w:hAnsi="Times New Roman"/>
          <w:sz w:val="24"/>
          <w:szCs w:val="24"/>
          <w:color w:val="auto"/>
        </w:rPr>
        <w:t>AHN tanısı alan toplam 4</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hastanın 2(%50) tanesi erkek, 2(%50) tanesi ise kadındı. SM</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AHN tanısı alan hastaların iki tanesinde MDS, bir tanesinde MM ve bir tanesinde de MDS’ye </w:t>
      </w:r>
      <w:r>
        <w:rPr>
          <w:rFonts w:ascii="Times New Roman" w:cs="Times New Roman" w:eastAsia="Times New Roman" w:hAnsi="Times New Roman"/>
          <w:sz w:val="24"/>
          <w:szCs w:val="24"/>
          <w:color w:val="auto"/>
        </w:rPr>
        <w:t xml:space="preserve">sekonder </w:t>
      </w:r>
      <w:r>
        <w:rPr>
          <w:rFonts w:ascii="Times New Roman" w:cs="Times New Roman" w:eastAsia="Times New Roman" w:hAnsi="Times New Roman"/>
          <w:sz w:val="24"/>
          <w:szCs w:val="24"/>
          <w:color w:val="auto"/>
        </w:rPr>
        <w:t>AML, sistemik mastositoza eşlik ediyordu. İSM ile takipli bir hastanın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ASM’ye progrese olduğu görüldü.</w:t>
      </w:r>
    </w:p>
    <w:p>
      <w:pPr>
        <w:sectPr>
          <w:pgSz w:w="11900" w:h="16838" w:orient="portrait"/>
          <w:cols w:equalWidth="0" w:num="1">
            <w:col w:w="9100"/>
          </w:cols>
          <w:pgMar w:left="1440" w:top="702" w:right="1366" w:bottom="772" w:gutter="0" w:footer="0" w:header="0"/>
        </w:sectPr>
      </w:pPr>
    </w:p>
    <w:bookmarkStart w:id="39" w:name="page40"/>
    <w:bookmarkEnd w:id="39"/>
    <w:p>
      <w:pPr>
        <w:ind w:left="8820"/>
        <w:spacing w:after="0"/>
        <w:rPr>
          <w:sz w:val="20"/>
          <w:szCs w:val="20"/>
          <w:color w:val="auto"/>
        </w:rPr>
      </w:pPr>
      <w:r>
        <w:rPr>
          <w:rFonts w:ascii="Calibri" w:cs="Calibri" w:eastAsia="Calibri" w:hAnsi="Calibri"/>
          <w:sz w:val="22"/>
          <w:szCs w:val="22"/>
          <w:color w:val="auto"/>
        </w:rPr>
        <w:t>29</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180" w:firstLine="708"/>
        <w:spacing w:after="0" w:line="357" w:lineRule="auto"/>
        <w:rPr>
          <w:sz w:val="20"/>
          <w:szCs w:val="20"/>
          <w:color w:val="auto"/>
        </w:rPr>
      </w:pPr>
      <w:r>
        <w:rPr>
          <w:rFonts w:ascii="Times New Roman" w:cs="Times New Roman" w:eastAsia="Times New Roman" w:hAnsi="Times New Roman"/>
          <w:sz w:val="24"/>
          <w:szCs w:val="24"/>
          <w:color w:val="auto"/>
        </w:rPr>
        <w:t>Hastaların ortanca izlem süresi</w:t>
      </w:r>
      <w:r>
        <w:rPr>
          <w:rFonts w:ascii="Times New Roman" w:cs="Times New Roman" w:eastAsia="Times New Roman" w:hAnsi="Times New Roman"/>
          <w:sz w:val="24"/>
          <w:szCs w:val="24"/>
          <w:color w:val="auto"/>
        </w:rPr>
        <w:t>nin 8,08(0-</w:t>
      </w:r>
      <w:r>
        <w:rPr>
          <w:rFonts w:ascii="Times New Roman" w:cs="Times New Roman" w:eastAsia="Times New Roman" w:hAnsi="Times New Roman"/>
          <w:sz w:val="24"/>
          <w:szCs w:val="24"/>
          <w:color w:val="auto"/>
        </w:rPr>
        <w:t xml:space="preserve">192) ay olduğu görüldü. İSM ile takipli hastaların ortanca izlem süresinin </w:t>
      </w:r>
      <w:r>
        <w:rPr>
          <w:rFonts w:ascii="Times New Roman" w:cs="Times New Roman" w:eastAsia="Times New Roman" w:hAnsi="Times New Roman"/>
          <w:sz w:val="24"/>
          <w:szCs w:val="24"/>
          <w:color w:val="222222"/>
        </w:rPr>
        <w:t>7,93(0-</w:t>
      </w:r>
      <w:r>
        <w:rPr>
          <w:rFonts w:ascii="Times New Roman" w:cs="Times New Roman" w:eastAsia="Times New Roman" w:hAnsi="Times New Roman"/>
          <w:sz w:val="24"/>
          <w:szCs w:val="24"/>
          <w:color w:val="222222"/>
        </w:rPr>
        <w:t>192) ay, ASM ile takipli hastaların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ortanca izlem süresinin 11,81(0-97,37) ay ve SM-</w:t>
      </w:r>
      <w:r>
        <w:rPr>
          <w:rFonts w:ascii="Times New Roman" w:cs="Times New Roman" w:eastAsia="Times New Roman" w:hAnsi="Times New Roman"/>
          <w:sz w:val="24"/>
          <w:szCs w:val="24"/>
          <w:color w:val="222222"/>
        </w:rPr>
        <w:t>AHN ile takipli hastaların ortanca</w:t>
      </w:r>
      <w:r>
        <w:rPr>
          <w:rFonts w:ascii="Times New Roman" w:cs="Times New Roman" w:eastAsia="Times New Roman" w:hAnsi="Times New Roman"/>
          <w:sz w:val="24"/>
          <w:szCs w:val="24"/>
          <w:color w:val="222222"/>
        </w:rPr>
        <w:t xml:space="preserve"> izlem süresinin 7,11(4,63-</w:t>
      </w:r>
      <w:r>
        <w:rPr>
          <w:rFonts w:ascii="Times New Roman" w:cs="Times New Roman" w:eastAsia="Times New Roman" w:hAnsi="Times New Roman"/>
          <w:sz w:val="24"/>
          <w:szCs w:val="24"/>
          <w:color w:val="222222"/>
        </w:rPr>
        <w:t>13,83) ay olduğu</w:t>
      </w:r>
      <w:r>
        <w:rPr>
          <w:rFonts w:ascii="Times New Roman" w:cs="Times New Roman" w:eastAsia="Times New Roman" w:hAnsi="Times New Roman"/>
          <w:sz w:val="24"/>
          <w:szCs w:val="24"/>
          <w:color w:val="222222"/>
        </w:rPr>
        <w:t xml:space="preserve"> görüldü. </w:t>
      </w:r>
      <w:r>
        <w:rPr>
          <w:rFonts w:ascii="Times New Roman" w:cs="Times New Roman" w:eastAsia="Times New Roman" w:hAnsi="Times New Roman"/>
          <w:sz w:val="24"/>
          <w:szCs w:val="24"/>
          <w:color w:val="222222"/>
        </w:rPr>
        <w:t>SSM ile takipli olan 1 hastanın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45,1 ay izlendiği görüldü.</w:t>
      </w:r>
    </w:p>
    <w:p>
      <w:pPr>
        <w:spacing w:after="0" w:line="177" w:lineRule="exact"/>
        <w:rPr>
          <w:sz w:val="20"/>
          <w:szCs w:val="20"/>
          <w:color w:val="auto"/>
        </w:rPr>
      </w:pPr>
    </w:p>
    <w:p>
      <w:pPr>
        <w:jc w:val="both"/>
        <w:ind w:left="820" w:right="160" w:firstLine="708"/>
        <w:spacing w:after="0" w:line="358" w:lineRule="auto"/>
        <w:rPr>
          <w:sz w:val="20"/>
          <w:szCs w:val="20"/>
          <w:color w:val="auto"/>
        </w:rPr>
      </w:pPr>
      <w:r>
        <w:rPr>
          <w:rFonts w:ascii="Times New Roman" w:cs="Times New Roman" w:eastAsia="Times New Roman" w:hAnsi="Times New Roman"/>
          <w:sz w:val="24"/>
          <w:szCs w:val="24"/>
          <w:color w:val="222222"/>
        </w:rPr>
        <w:t>Diğer morbiditeler açısından hastaların toplamda 11 tanesi değerlendirilmişti. Bu hastaların 5(%45,4) tanesinde Tip 2 DM saptandığı gö</w:t>
      </w:r>
      <w:r>
        <w:rPr>
          <w:rFonts w:ascii="Times New Roman" w:cs="Times New Roman" w:eastAsia="Times New Roman" w:hAnsi="Times New Roman"/>
          <w:sz w:val="24"/>
          <w:szCs w:val="24"/>
          <w:color w:val="222222"/>
        </w:rPr>
        <w:t>rüldü.. Tip 2 DM saptanan</w:t>
      </w:r>
      <w:r>
        <w:rPr>
          <w:rFonts w:ascii="Times New Roman" w:cs="Times New Roman" w:eastAsia="Times New Roman" w:hAnsi="Times New Roman"/>
          <w:sz w:val="24"/>
          <w:szCs w:val="24"/>
          <w:color w:val="222222"/>
        </w:rPr>
        <w:t xml:space="preserve"> hastaların </w:t>
      </w:r>
      <w:r>
        <w:rPr>
          <w:rFonts w:ascii="Times New Roman" w:cs="Times New Roman" w:eastAsia="Times New Roman" w:hAnsi="Times New Roman"/>
          <w:sz w:val="24"/>
          <w:szCs w:val="24"/>
          <w:color w:val="222222"/>
        </w:rPr>
        <w:t>2(%40) tanesi ASM, 1(%20) tanesi SSM ve 2</w:t>
      </w:r>
      <w:r>
        <w:rPr>
          <w:rFonts w:ascii="Times New Roman" w:cs="Times New Roman" w:eastAsia="Times New Roman" w:hAnsi="Times New Roman"/>
          <w:sz w:val="24"/>
          <w:szCs w:val="24"/>
          <w:color w:val="222222"/>
        </w:rPr>
        <w:t xml:space="preserve">(%40) tanesi İSM </w:t>
      </w:r>
      <w:r>
        <w:rPr>
          <w:rFonts w:ascii="Times New Roman" w:cs="Times New Roman" w:eastAsia="Times New Roman" w:hAnsi="Times New Roman"/>
          <w:sz w:val="24"/>
          <w:szCs w:val="24"/>
          <w:color w:val="222222"/>
        </w:rPr>
        <w:t>ile takip</w:t>
      </w:r>
      <w:r>
        <w:rPr>
          <w:rFonts w:ascii="Times New Roman" w:cs="Times New Roman" w:eastAsia="Times New Roman" w:hAnsi="Times New Roman"/>
          <w:sz w:val="24"/>
          <w:szCs w:val="24"/>
          <w:color w:val="222222"/>
        </w:rPr>
        <w:t xml:space="preserve"> edilmekteydi. Değerlendirilebilen hastaların 3(%27) tanesinde HT saptandığı </w:t>
      </w:r>
      <w:r>
        <w:rPr>
          <w:rFonts w:ascii="Times New Roman" w:cs="Times New Roman" w:eastAsia="Times New Roman" w:hAnsi="Times New Roman"/>
          <w:sz w:val="24"/>
          <w:szCs w:val="24"/>
          <w:color w:val="222222"/>
        </w:rPr>
        <w:t xml:space="preserve">görüldü. HT saptanan üç </w:t>
      </w:r>
      <w:r>
        <w:rPr>
          <w:rFonts w:ascii="Times New Roman" w:cs="Times New Roman" w:eastAsia="Times New Roman" w:hAnsi="Times New Roman"/>
          <w:sz w:val="24"/>
          <w:szCs w:val="24"/>
          <w:color w:val="222222"/>
        </w:rPr>
        <w:t>hastanın</w:t>
      </w:r>
      <w:r>
        <w:rPr>
          <w:rFonts w:ascii="Times New Roman" w:cs="Times New Roman" w:eastAsia="Times New Roman" w:hAnsi="Times New Roman"/>
          <w:sz w:val="24"/>
          <w:szCs w:val="24"/>
          <w:color w:val="222222"/>
        </w:rPr>
        <w:t xml:space="preserve"> 1 tanesi SSM ve 2 </w:t>
      </w:r>
      <w:r>
        <w:rPr>
          <w:rFonts w:ascii="Times New Roman" w:cs="Times New Roman" w:eastAsia="Times New Roman" w:hAnsi="Times New Roman"/>
          <w:sz w:val="24"/>
          <w:szCs w:val="24"/>
          <w:color w:val="222222"/>
        </w:rPr>
        <w:t>tanesi İSM</w:t>
      </w:r>
      <w:r>
        <w:rPr>
          <w:rFonts w:ascii="Times New Roman" w:cs="Times New Roman" w:eastAsia="Times New Roman" w:hAnsi="Times New Roman"/>
          <w:sz w:val="24"/>
          <w:szCs w:val="24"/>
          <w:color w:val="222222"/>
        </w:rPr>
        <w:t xml:space="preserve"> ile takip edilmekt</w:t>
      </w:r>
      <w:r>
        <w:rPr>
          <w:rFonts w:ascii="Times New Roman" w:cs="Times New Roman" w:eastAsia="Times New Roman" w:hAnsi="Times New Roman"/>
          <w:sz w:val="24"/>
          <w:szCs w:val="24"/>
          <w:color w:val="222222"/>
        </w:rPr>
        <w:t>eydi. Hastaların</w:t>
      </w:r>
      <w:r>
        <w:rPr>
          <w:rFonts w:ascii="Times New Roman" w:cs="Times New Roman" w:eastAsia="Times New Roman" w:hAnsi="Times New Roman"/>
          <w:sz w:val="24"/>
          <w:szCs w:val="24"/>
          <w:color w:val="222222"/>
        </w:rPr>
        <w:t xml:space="preserve"> 2(%18) tanesinde </w:t>
      </w:r>
      <w:r>
        <w:rPr>
          <w:rFonts w:ascii="Times New Roman" w:cs="Times New Roman" w:eastAsia="Times New Roman" w:hAnsi="Times New Roman"/>
          <w:sz w:val="24"/>
          <w:szCs w:val="24"/>
          <w:color w:val="222222"/>
        </w:rPr>
        <w:t>koroner arter hastalığı saptanmış ve bu</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hastaların </w:t>
      </w:r>
      <w:r>
        <w:rPr>
          <w:rFonts w:ascii="Times New Roman" w:cs="Times New Roman" w:eastAsia="Times New Roman" w:hAnsi="Times New Roman"/>
          <w:sz w:val="24"/>
          <w:szCs w:val="24"/>
          <w:color w:val="222222"/>
        </w:rPr>
        <w:t>1(%50) tanesi ASM, 1(%50) tanesi de SM-AHN ile takipliydi.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-573405</wp:posOffset>
            </wp:positionV>
            <wp:extent cx="4699000" cy="18542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57" w:lineRule="exact"/>
        <w:rPr>
          <w:sz w:val="20"/>
          <w:szCs w:val="20"/>
          <w:color w:val="auto"/>
        </w:rPr>
      </w:pPr>
    </w:p>
    <w:p>
      <w:pPr>
        <w:jc w:val="both"/>
        <w:ind w:left="820" w:right="180"/>
        <w:spacing w:after="0" w:line="348" w:lineRule="auto"/>
        <w:rPr>
          <w:sz w:val="20"/>
          <w:szCs w:val="20"/>
          <w:color w:val="auto"/>
        </w:rPr>
      </w:pPr>
      <w:r>
        <w:rPr>
          <w:rFonts w:ascii="Times New Roman" w:cs="Times New Roman" w:eastAsia="Times New Roman" w:hAnsi="Times New Roman"/>
          <w:sz w:val="24"/>
          <w:szCs w:val="24"/>
          <w:b w:val="1"/>
          <w:bCs w:val="1"/>
          <w:color w:val="222222"/>
        </w:rPr>
        <w:t xml:space="preserve">Tablo 4.2. </w:t>
      </w:r>
      <w:r>
        <w:rPr>
          <w:rFonts w:ascii="Times New Roman" w:cs="Times New Roman" w:eastAsia="Times New Roman" w:hAnsi="Times New Roman"/>
          <w:sz w:val="24"/>
          <w:szCs w:val="24"/>
          <w:color w:val="222222"/>
        </w:rPr>
        <w:t>Hastaların SM tanısını almasını kolaylaştıran veya almasına neden olan</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semptom ve bulgular</w:t>
      </w:r>
    </w:p>
    <w:p>
      <w:pPr>
        <w:spacing w:after="0" w:line="159" w:lineRule="exact"/>
        <w:rPr>
          <w:sz w:val="20"/>
          <w:szCs w:val="20"/>
          <w:color w:val="auto"/>
        </w:rPr>
      </w:pPr>
    </w:p>
    <w:tbl>
      <w:tblPr>
        <w:tblLayout w:type="fixed"/>
        <w:tblInd w:w="730" w:type="dxa"/>
        <w:tblCellMar>
          <w:top w:w="0" w:type="dxa"/>
          <w:left w:w="0" w:type="dxa"/>
          <w:bottom w:w="0" w:type="dxa"/>
          <w:right w:w="0" w:type="dxa"/>
        </w:tblCellMar>
      </w:tblPr>
      <w:tr>
        <w:trPr>
          <w:trHeight w:val="283"/>
        </w:trPr>
        <w:tc>
          <w:tcPr>
            <w:tcW w:w="1160" w:type="dxa"/>
            <w:vAlign w:val="bottom"/>
            <w:tcBorders>
              <w:top w:val="single" w:sz="8" w:color="auto"/>
              <w:left w:val="single" w:sz="8" w:color="auto"/>
            </w:tcBorders>
          </w:tcPr>
          <w:p>
            <w:pPr>
              <w:spacing w:after="0"/>
              <w:rPr>
                <w:sz w:val="24"/>
                <w:szCs w:val="24"/>
                <w:color w:val="auto"/>
              </w:rPr>
            </w:pPr>
          </w:p>
        </w:tc>
        <w:tc>
          <w:tcPr>
            <w:tcW w:w="860" w:type="dxa"/>
            <w:vAlign w:val="bottom"/>
            <w:tcBorders>
              <w:top w:val="single" w:sz="8" w:color="auto"/>
              <w:right w:val="single" w:sz="8" w:color="auto"/>
            </w:tcBorders>
          </w:tcPr>
          <w:p>
            <w:pPr>
              <w:spacing w:after="0"/>
              <w:rPr>
                <w:sz w:val="24"/>
                <w:szCs w:val="24"/>
                <w:color w:val="auto"/>
              </w:rPr>
            </w:pPr>
          </w:p>
        </w:tc>
        <w:tc>
          <w:tcPr>
            <w:tcW w:w="130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Toplam</w:t>
            </w:r>
          </w:p>
        </w:tc>
        <w:tc>
          <w:tcPr>
            <w:tcW w:w="138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İSM</w:t>
            </w:r>
          </w:p>
        </w:tc>
        <w:tc>
          <w:tcPr>
            <w:tcW w:w="118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SSM</w:t>
            </w:r>
          </w:p>
        </w:tc>
        <w:tc>
          <w:tcPr>
            <w:tcW w:w="14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ASM</w:t>
            </w:r>
          </w:p>
        </w:tc>
        <w:tc>
          <w:tcPr>
            <w:tcW w:w="12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SM-</w:t>
            </w:r>
          </w:p>
        </w:tc>
      </w:tr>
      <w:tr>
        <w:trPr>
          <w:trHeight w:val="413"/>
        </w:trPr>
        <w:tc>
          <w:tcPr>
            <w:tcW w:w="1160" w:type="dxa"/>
            <w:vAlign w:val="bottom"/>
            <w:tcBorders>
              <w:left w:val="single" w:sz="8" w:color="auto"/>
            </w:tcBorders>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13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n:30</w:t>
            </w:r>
          </w:p>
        </w:tc>
        <w:tc>
          <w:tcPr>
            <w:tcW w:w="13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n:15(%50)</w:t>
            </w:r>
          </w:p>
        </w:tc>
        <w:tc>
          <w:tcPr>
            <w:tcW w:w="11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n:1(%3,3)</w:t>
            </w:r>
          </w:p>
        </w:tc>
        <w:tc>
          <w:tcPr>
            <w:tcW w:w="14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n:10(%33,4)</w:t>
            </w:r>
          </w:p>
        </w:tc>
        <w:tc>
          <w:tcPr>
            <w:tcW w:w="12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AHN</w:t>
            </w:r>
          </w:p>
        </w:tc>
      </w:tr>
      <w:tr>
        <w:trPr>
          <w:trHeight w:val="416"/>
        </w:trPr>
        <w:tc>
          <w:tcPr>
            <w:tcW w:w="1160" w:type="dxa"/>
            <w:vAlign w:val="bottom"/>
            <w:tcBorders>
              <w:left w:val="single" w:sz="8" w:color="auto"/>
            </w:tcBorders>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130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n:4(13,3)</w:t>
            </w:r>
          </w:p>
        </w:tc>
      </w:tr>
      <w:tr>
        <w:trPr>
          <w:trHeight w:val="140"/>
        </w:trPr>
        <w:tc>
          <w:tcPr>
            <w:tcW w:w="2020" w:type="dxa"/>
            <w:vAlign w:val="bottom"/>
            <w:tcBorders>
              <w:left w:val="single" w:sz="8" w:color="auto"/>
              <w:bottom w:val="single" w:sz="8" w:color="auto"/>
              <w:right w:val="single" w:sz="8" w:color="auto"/>
            </w:tcBorders>
            <w:gridSpan w:val="2"/>
          </w:tcPr>
          <w:p>
            <w:pPr>
              <w:spacing w:after="0"/>
              <w:rPr>
                <w:sz w:val="12"/>
                <w:szCs w:val="12"/>
                <w:color w:val="auto"/>
              </w:rPr>
            </w:pPr>
          </w:p>
        </w:tc>
        <w:tc>
          <w:tcPr>
            <w:tcW w:w="130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220" w:type="dxa"/>
            <w:vAlign w:val="bottom"/>
            <w:tcBorders>
              <w:bottom w:val="single" w:sz="8" w:color="auto"/>
              <w:right w:val="single" w:sz="8" w:color="auto"/>
            </w:tcBorders>
          </w:tcPr>
          <w:p>
            <w:pPr>
              <w:spacing w:after="0"/>
              <w:rPr>
                <w:sz w:val="12"/>
                <w:szCs w:val="12"/>
                <w:color w:val="auto"/>
              </w:rPr>
            </w:pPr>
          </w:p>
        </w:tc>
      </w:tr>
      <w:tr>
        <w:trPr>
          <w:trHeight w:val="263"/>
        </w:trPr>
        <w:tc>
          <w:tcPr>
            <w:tcW w:w="2020" w:type="dxa"/>
            <w:vAlign w:val="bottom"/>
            <w:tcBorders>
              <w:left w:val="single" w:sz="8" w:color="auto"/>
              <w:right w:val="single" w:sz="8" w:color="auto"/>
            </w:tcBorders>
            <w:gridSpan w:val="2"/>
          </w:tcPr>
          <w:p>
            <w:pPr>
              <w:ind w:left="100"/>
              <w:spacing w:after="0" w:line="263" w:lineRule="exact"/>
              <w:rPr>
                <w:sz w:val="20"/>
                <w:szCs w:val="20"/>
                <w:color w:val="auto"/>
              </w:rPr>
            </w:pPr>
            <w:r>
              <w:rPr>
                <w:rFonts w:ascii="Times New Roman" w:cs="Times New Roman" w:eastAsia="Times New Roman" w:hAnsi="Times New Roman"/>
                <w:sz w:val="24"/>
                <w:szCs w:val="24"/>
                <w:color w:val="222222"/>
              </w:rPr>
              <w:t>Kemik   Patolojisi</w:t>
            </w:r>
          </w:p>
        </w:tc>
        <w:tc>
          <w:tcPr>
            <w:tcW w:w="13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8(%26,7)</w:t>
            </w:r>
          </w:p>
        </w:tc>
        <w:tc>
          <w:tcPr>
            <w:tcW w:w="13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5(%33,3)</w:t>
            </w:r>
          </w:p>
        </w:tc>
        <w:tc>
          <w:tcPr>
            <w:tcW w:w="11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3(%30)</w:t>
            </w:r>
          </w:p>
        </w:tc>
        <w:tc>
          <w:tcPr>
            <w:tcW w:w="12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r>
      <w:tr>
        <w:trPr>
          <w:trHeight w:val="415"/>
        </w:trPr>
        <w:tc>
          <w:tcPr>
            <w:tcW w:w="116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(sklerotik</w:t>
            </w:r>
          </w:p>
        </w:tc>
        <w:tc>
          <w:tcPr>
            <w:tcW w:w="860" w:type="dxa"/>
            <w:vAlign w:val="bottom"/>
            <w:tcBorders>
              <w:right w:val="single" w:sz="8" w:color="auto"/>
            </w:tcBorders>
          </w:tcPr>
          <w:p>
            <w:pPr>
              <w:jc w:val="right"/>
              <w:ind w:right="3"/>
              <w:spacing w:after="0"/>
              <w:rPr>
                <w:sz w:val="20"/>
                <w:szCs w:val="20"/>
                <w:color w:val="auto"/>
              </w:rPr>
            </w:pPr>
            <w:r>
              <w:rPr>
                <w:rFonts w:ascii="Times New Roman" w:cs="Times New Roman" w:eastAsia="Times New Roman" w:hAnsi="Times New Roman"/>
                <w:sz w:val="24"/>
                <w:szCs w:val="24"/>
                <w:color w:val="222222"/>
              </w:rPr>
              <w:t>lezyon,</w:t>
            </w:r>
          </w:p>
        </w:tc>
        <w:tc>
          <w:tcPr>
            <w:tcW w:w="130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413"/>
        </w:trPr>
        <w:tc>
          <w:tcPr>
            <w:tcW w:w="116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p</w:t>
            </w:r>
            <w:r>
              <w:rPr>
                <w:rFonts w:ascii="Times New Roman" w:cs="Times New Roman" w:eastAsia="Times New Roman" w:hAnsi="Times New Roman"/>
                <w:sz w:val="24"/>
                <w:szCs w:val="24"/>
                <w:color w:val="222222"/>
              </w:rPr>
              <w:t>atolojik</w:t>
            </w:r>
          </w:p>
        </w:tc>
        <w:tc>
          <w:tcPr>
            <w:tcW w:w="860" w:type="dxa"/>
            <w:vAlign w:val="bottom"/>
            <w:tcBorders>
              <w:right w:val="single" w:sz="8" w:color="auto"/>
            </w:tcBorders>
          </w:tcPr>
          <w:p>
            <w:pPr>
              <w:jc w:val="right"/>
              <w:ind w:right="3"/>
              <w:spacing w:after="0"/>
              <w:rPr>
                <w:sz w:val="20"/>
                <w:szCs w:val="20"/>
                <w:color w:val="auto"/>
              </w:rPr>
            </w:pPr>
            <w:r>
              <w:rPr>
                <w:rFonts w:ascii="Times New Roman" w:cs="Times New Roman" w:eastAsia="Times New Roman" w:hAnsi="Times New Roman"/>
                <w:sz w:val="24"/>
                <w:szCs w:val="24"/>
                <w:color w:val="222222"/>
              </w:rPr>
              <w:t>kırık,</w:t>
            </w:r>
          </w:p>
        </w:tc>
        <w:tc>
          <w:tcPr>
            <w:tcW w:w="130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415"/>
        </w:trPr>
        <w:tc>
          <w:tcPr>
            <w:tcW w:w="2020" w:type="dxa"/>
            <w:vAlign w:val="bottom"/>
            <w:tcBorders>
              <w:left w:val="single" w:sz="8" w:color="auto"/>
              <w:right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222222"/>
              </w:rPr>
              <w:t>osteoporoz, kemik</w:t>
            </w:r>
          </w:p>
        </w:tc>
        <w:tc>
          <w:tcPr>
            <w:tcW w:w="130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413"/>
        </w:trPr>
        <w:tc>
          <w:tcPr>
            <w:tcW w:w="116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ağrısı)</w:t>
            </w:r>
          </w:p>
        </w:tc>
        <w:tc>
          <w:tcPr>
            <w:tcW w:w="860" w:type="dxa"/>
            <w:vAlign w:val="bottom"/>
            <w:tcBorders>
              <w:right w:val="single" w:sz="8" w:color="auto"/>
            </w:tcBorders>
          </w:tcPr>
          <w:p>
            <w:pPr>
              <w:spacing w:after="0"/>
              <w:rPr>
                <w:sz w:val="24"/>
                <w:szCs w:val="24"/>
                <w:color w:val="auto"/>
              </w:rPr>
            </w:pPr>
          </w:p>
        </w:tc>
        <w:tc>
          <w:tcPr>
            <w:tcW w:w="130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142"/>
        </w:trPr>
        <w:tc>
          <w:tcPr>
            <w:tcW w:w="1160" w:type="dxa"/>
            <w:vAlign w:val="bottom"/>
            <w:tcBorders>
              <w:left w:val="single" w:sz="8" w:color="auto"/>
              <w:bottom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c>
          <w:tcPr>
            <w:tcW w:w="130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220" w:type="dxa"/>
            <w:vAlign w:val="bottom"/>
            <w:tcBorders>
              <w:bottom w:val="single" w:sz="8" w:color="auto"/>
              <w:right w:val="single" w:sz="8" w:color="auto"/>
            </w:tcBorders>
          </w:tcPr>
          <w:p>
            <w:pPr>
              <w:spacing w:after="0"/>
              <w:rPr>
                <w:sz w:val="12"/>
                <w:szCs w:val="12"/>
                <w:color w:val="auto"/>
              </w:rPr>
            </w:pPr>
          </w:p>
        </w:tc>
      </w:tr>
      <w:tr>
        <w:trPr>
          <w:trHeight w:val="263"/>
        </w:trPr>
        <w:tc>
          <w:tcPr>
            <w:tcW w:w="1160" w:type="dxa"/>
            <w:vAlign w:val="bottom"/>
            <w:tcBorders>
              <w:lef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Anafilaksi</w:t>
            </w:r>
          </w:p>
        </w:tc>
        <w:tc>
          <w:tcPr>
            <w:tcW w:w="860" w:type="dxa"/>
            <w:vAlign w:val="bottom"/>
            <w:tcBorders>
              <w:right w:val="single" w:sz="8" w:color="auto"/>
            </w:tcBorders>
          </w:tcPr>
          <w:p>
            <w:pPr>
              <w:spacing w:after="0"/>
              <w:rPr>
                <w:sz w:val="22"/>
                <w:szCs w:val="22"/>
                <w:color w:val="auto"/>
              </w:rPr>
            </w:pPr>
          </w:p>
        </w:tc>
        <w:tc>
          <w:tcPr>
            <w:tcW w:w="13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4(%13,3)</w:t>
            </w:r>
          </w:p>
        </w:tc>
        <w:tc>
          <w:tcPr>
            <w:tcW w:w="13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1(%6,7)</w:t>
            </w:r>
          </w:p>
        </w:tc>
        <w:tc>
          <w:tcPr>
            <w:tcW w:w="11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1(%100)</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2(%20)</w:t>
            </w:r>
          </w:p>
        </w:tc>
        <w:tc>
          <w:tcPr>
            <w:tcW w:w="12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r>
      <w:tr>
        <w:trPr>
          <w:trHeight w:val="140"/>
        </w:trPr>
        <w:tc>
          <w:tcPr>
            <w:tcW w:w="2020" w:type="dxa"/>
            <w:vAlign w:val="bottom"/>
            <w:tcBorders>
              <w:left w:val="single" w:sz="8" w:color="auto"/>
              <w:bottom w:val="single" w:sz="8" w:color="auto"/>
              <w:right w:val="single" w:sz="8" w:color="auto"/>
            </w:tcBorders>
            <w:gridSpan w:val="2"/>
          </w:tcPr>
          <w:p>
            <w:pPr>
              <w:spacing w:after="0"/>
              <w:rPr>
                <w:sz w:val="12"/>
                <w:szCs w:val="12"/>
                <w:color w:val="auto"/>
              </w:rPr>
            </w:pPr>
          </w:p>
        </w:tc>
        <w:tc>
          <w:tcPr>
            <w:tcW w:w="130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220" w:type="dxa"/>
            <w:vAlign w:val="bottom"/>
            <w:tcBorders>
              <w:bottom w:val="single" w:sz="8" w:color="auto"/>
              <w:right w:val="single" w:sz="8" w:color="auto"/>
            </w:tcBorders>
          </w:tcPr>
          <w:p>
            <w:pPr>
              <w:spacing w:after="0"/>
              <w:rPr>
                <w:sz w:val="12"/>
                <w:szCs w:val="12"/>
                <w:color w:val="auto"/>
              </w:rPr>
            </w:pPr>
          </w:p>
        </w:tc>
      </w:tr>
      <w:tr>
        <w:trPr>
          <w:trHeight w:val="265"/>
        </w:trPr>
        <w:tc>
          <w:tcPr>
            <w:tcW w:w="2020" w:type="dxa"/>
            <w:vAlign w:val="bottom"/>
            <w:tcBorders>
              <w:left w:val="single" w:sz="8" w:color="auto"/>
              <w:right w:val="single" w:sz="8" w:color="auto"/>
            </w:tcBorders>
            <w:gridSpan w:val="2"/>
          </w:tcPr>
          <w:p>
            <w:pPr>
              <w:ind w:left="100"/>
              <w:spacing w:after="0" w:line="265" w:lineRule="exact"/>
              <w:rPr>
                <w:sz w:val="20"/>
                <w:szCs w:val="20"/>
                <w:color w:val="auto"/>
              </w:rPr>
            </w:pPr>
            <w:r>
              <w:rPr>
                <w:rFonts w:ascii="Times New Roman" w:cs="Times New Roman" w:eastAsia="Times New Roman" w:hAnsi="Times New Roman"/>
                <w:sz w:val="24"/>
                <w:szCs w:val="24"/>
                <w:color w:val="222222"/>
              </w:rPr>
              <w:t>Cilt döküntüsü</w:t>
            </w:r>
          </w:p>
        </w:tc>
        <w:tc>
          <w:tcPr>
            <w:tcW w:w="130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9(%30)</w:t>
            </w:r>
          </w:p>
        </w:tc>
        <w:tc>
          <w:tcPr>
            <w:tcW w:w="138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7(%46,6)</w:t>
            </w:r>
          </w:p>
        </w:tc>
        <w:tc>
          <w:tcPr>
            <w:tcW w:w="118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2(%20)</w:t>
            </w:r>
          </w:p>
        </w:tc>
        <w:tc>
          <w:tcPr>
            <w:tcW w:w="122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w:t>
            </w:r>
          </w:p>
        </w:tc>
      </w:tr>
      <w:tr>
        <w:trPr>
          <w:trHeight w:val="140"/>
        </w:trPr>
        <w:tc>
          <w:tcPr>
            <w:tcW w:w="2020" w:type="dxa"/>
            <w:vAlign w:val="bottom"/>
            <w:tcBorders>
              <w:left w:val="single" w:sz="8" w:color="auto"/>
              <w:bottom w:val="single" w:sz="8" w:color="auto"/>
              <w:right w:val="single" w:sz="8" w:color="auto"/>
            </w:tcBorders>
            <w:gridSpan w:val="2"/>
          </w:tcPr>
          <w:p>
            <w:pPr>
              <w:spacing w:after="0"/>
              <w:rPr>
                <w:sz w:val="12"/>
                <w:szCs w:val="12"/>
                <w:color w:val="auto"/>
              </w:rPr>
            </w:pPr>
          </w:p>
        </w:tc>
        <w:tc>
          <w:tcPr>
            <w:tcW w:w="130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220" w:type="dxa"/>
            <w:vAlign w:val="bottom"/>
            <w:tcBorders>
              <w:bottom w:val="single" w:sz="8" w:color="auto"/>
              <w:right w:val="single" w:sz="8" w:color="auto"/>
            </w:tcBorders>
          </w:tcPr>
          <w:p>
            <w:pPr>
              <w:spacing w:after="0"/>
              <w:rPr>
                <w:sz w:val="12"/>
                <w:szCs w:val="12"/>
                <w:color w:val="auto"/>
              </w:rPr>
            </w:pPr>
          </w:p>
        </w:tc>
      </w:tr>
      <w:tr>
        <w:trPr>
          <w:trHeight w:val="263"/>
        </w:trPr>
        <w:tc>
          <w:tcPr>
            <w:tcW w:w="2020" w:type="dxa"/>
            <w:vAlign w:val="bottom"/>
            <w:tcBorders>
              <w:left w:val="single" w:sz="8" w:color="auto"/>
              <w:right w:val="single" w:sz="8" w:color="auto"/>
            </w:tcBorders>
            <w:gridSpan w:val="2"/>
          </w:tcPr>
          <w:p>
            <w:pPr>
              <w:ind w:left="100"/>
              <w:spacing w:after="0" w:line="264" w:lineRule="exact"/>
              <w:rPr>
                <w:sz w:val="20"/>
                <w:szCs w:val="20"/>
                <w:color w:val="auto"/>
              </w:rPr>
            </w:pPr>
            <w:r>
              <w:rPr>
                <w:rFonts w:ascii="Times New Roman" w:cs="Times New Roman" w:eastAsia="Times New Roman" w:hAnsi="Times New Roman"/>
                <w:sz w:val="24"/>
                <w:szCs w:val="24"/>
                <w:color w:val="222222"/>
              </w:rPr>
              <w:t>Organomegali</w:t>
            </w:r>
          </w:p>
        </w:tc>
        <w:tc>
          <w:tcPr>
            <w:tcW w:w="130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2(%6,7)</w:t>
            </w:r>
          </w:p>
        </w:tc>
        <w:tc>
          <w:tcPr>
            <w:tcW w:w="138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w:t>
            </w:r>
          </w:p>
        </w:tc>
        <w:tc>
          <w:tcPr>
            <w:tcW w:w="118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2(%20)</w:t>
            </w:r>
          </w:p>
        </w:tc>
        <w:tc>
          <w:tcPr>
            <w:tcW w:w="122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w:t>
            </w:r>
          </w:p>
        </w:tc>
      </w:tr>
      <w:tr>
        <w:trPr>
          <w:trHeight w:val="142"/>
        </w:trPr>
        <w:tc>
          <w:tcPr>
            <w:tcW w:w="2020" w:type="dxa"/>
            <w:vAlign w:val="bottom"/>
            <w:tcBorders>
              <w:left w:val="single" w:sz="8" w:color="auto"/>
              <w:bottom w:val="single" w:sz="8" w:color="auto"/>
              <w:right w:val="single" w:sz="8" w:color="auto"/>
            </w:tcBorders>
            <w:gridSpan w:val="2"/>
          </w:tcPr>
          <w:p>
            <w:pPr>
              <w:spacing w:after="0"/>
              <w:rPr>
                <w:sz w:val="12"/>
                <w:szCs w:val="12"/>
                <w:color w:val="auto"/>
              </w:rPr>
            </w:pPr>
          </w:p>
        </w:tc>
        <w:tc>
          <w:tcPr>
            <w:tcW w:w="130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220" w:type="dxa"/>
            <w:vAlign w:val="bottom"/>
            <w:tcBorders>
              <w:bottom w:val="single" w:sz="8" w:color="auto"/>
              <w:right w:val="single" w:sz="8" w:color="auto"/>
            </w:tcBorders>
          </w:tcPr>
          <w:p>
            <w:pPr>
              <w:spacing w:after="0"/>
              <w:rPr>
                <w:sz w:val="12"/>
                <w:szCs w:val="12"/>
                <w:color w:val="auto"/>
              </w:rPr>
            </w:pPr>
          </w:p>
        </w:tc>
      </w:tr>
      <w:tr>
        <w:trPr>
          <w:trHeight w:val="263"/>
        </w:trPr>
        <w:tc>
          <w:tcPr>
            <w:tcW w:w="2020" w:type="dxa"/>
            <w:vAlign w:val="bottom"/>
            <w:tcBorders>
              <w:left w:val="single" w:sz="8" w:color="auto"/>
              <w:right w:val="single" w:sz="8" w:color="auto"/>
            </w:tcBorders>
            <w:gridSpan w:val="2"/>
          </w:tcPr>
          <w:p>
            <w:pPr>
              <w:ind w:left="100"/>
              <w:spacing w:after="0" w:line="263" w:lineRule="exact"/>
              <w:rPr>
                <w:sz w:val="20"/>
                <w:szCs w:val="20"/>
                <w:color w:val="auto"/>
              </w:rPr>
            </w:pPr>
            <w:r>
              <w:rPr>
                <w:rFonts w:ascii="Times New Roman" w:cs="Times New Roman" w:eastAsia="Times New Roman" w:hAnsi="Times New Roman"/>
                <w:sz w:val="24"/>
                <w:szCs w:val="24"/>
                <w:color w:val="222222"/>
              </w:rPr>
              <w:t>Başka bir hastalık</w:t>
            </w:r>
          </w:p>
        </w:tc>
        <w:tc>
          <w:tcPr>
            <w:tcW w:w="13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4(%13,3)</w:t>
            </w:r>
          </w:p>
        </w:tc>
        <w:tc>
          <w:tcPr>
            <w:tcW w:w="13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1(%6,7)</w:t>
            </w:r>
          </w:p>
        </w:tc>
        <w:tc>
          <w:tcPr>
            <w:tcW w:w="11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2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3(%75)</w:t>
            </w:r>
          </w:p>
        </w:tc>
      </w:tr>
      <w:tr>
        <w:trPr>
          <w:trHeight w:val="413"/>
        </w:trPr>
        <w:tc>
          <w:tcPr>
            <w:tcW w:w="2020" w:type="dxa"/>
            <w:vAlign w:val="bottom"/>
            <w:tcBorders>
              <w:left w:val="single" w:sz="8" w:color="auto"/>
              <w:right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222222"/>
              </w:rPr>
              <w:t>değerlendirilmesi</w:t>
            </w:r>
          </w:p>
        </w:tc>
        <w:tc>
          <w:tcPr>
            <w:tcW w:w="130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142"/>
        </w:trPr>
        <w:tc>
          <w:tcPr>
            <w:tcW w:w="1160" w:type="dxa"/>
            <w:vAlign w:val="bottom"/>
            <w:tcBorders>
              <w:left w:val="single" w:sz="8" w:color="auto"/>
              <w:bottom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c>
          <w:tcPr>
            <w:tcW w:w="130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220" w:type="dxa"/>
            <w:vAlign w:val="bottom"/>
            <w:tcBorders>
              <w:bottom w:val="single" w:sz="8" w:color="auto"/>
              <w:right w:val="single" w:sz="8" w:color="auto"/>
            </w:tcBorders>
          </w:tcPr>
          <w:p>
            <w:pPr>
              <w:spacing w:after="0"/>
              <w:rPr>
                <w:sz w:val="12"/>
                <w:szCs w:val="12"/>
                <w:color w:val="auto"/>
              </w:rPr>
            </w:pPr>
          </w:p>
        </w:tc>
      </w:tr>
      <w:tr>
        <w:trPr>
          <w:trHeight w:val="263"/>
        </w:trPr>
        <w:tc>
          <w:tcPr>
            <w:tcW w:w="1160" w:type="dxa"/>
            <w:vAlign w:val="bottom"/>
            <w:tcBorders>
              <w:left w:val="single" w:sz="8" w:color="auto"/>
            </w:tcBorders>
          </w:tcPr>
          <w:p>
            <w:pPr>
              <w:ind w:left="100"/>
              <w:spacing w:after="0" w:line="242" w:lineRule="exact"/>
              <w:rPr>
                <w:sz w:val="20"/>
                <w:szCs w:val="20"/>
                <w:color w:val="auto"/>
              </w:rPr>
            </w:pPr>
            <w:r>
              <w:rPr>
                <w:rFonts w:ascii="Times New Roman" w:cs="Times New Roman" w:eastAsia="Times New Roman" w:hAnsi="Times New Roman"/>
                <w:sz w:val="22"/>
                <w:szCs w:val="22"/>
                <w:color w:val="222222"/>
              </w:rPr>
              <w:t>Sitopeni</w:t>
            </w:r>
          </w:p>
        </w:tc>
        <w:tc>
          <w:tcPr>
            <w:tcW w:w="860" w:type="dxa"/>
            <w:vAlign w:val="bottom"/>
            <w:tcBorders>
              <w:right w:val="single" w:sz="8" w:color="auto"/>
            </w:tcBorders>
          </w:tcPr>
          <w:p>
            <w:pPr>
              <w:jc w:val="right"/>
              <w:ind w:right="3"/>
              <w:spacing w:after="0" w:line="242" w:lineRule="exact"/>
              <w:rPr>
                <w:sz w:val="20"/>
                <w:szCs w:val="20"/>
                <w:color w:val="auto"/>
              </w:rPr>
            </w:pPr>
            <w:r>
              <w:rPr>
                <w:rFonts w:ascii="Times New Roman" w:cs="Times New Roman" w:eastAsia="Times New Roman" w:hAnsi="Times New Roman"/>
                <w:sz w:val="22"/>
                <w:szCs w:val="22"/>
                <w:color w:val="222222"/>
              </w:rPr>
              <w:t>veya</w:t>
            </w:r>
          </w:p>
        </w:tc>
        <w:tc>
          <w:tcPr>
            <w:tcW w:w="13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3(%10)</w:t>
            </w:r>
          </w:p>
        </w:tc>
        <w:tc>
          <w:tcPr>
            <w:tcW w:w="13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1(%6,7)</w:t>
            </w:r>
          </w:p>
        </w:tc>
        <w:tc>
          <w:tcPr>
            <w:tcW w:w="11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1(%10)</w:t>
            </w:r>
          </w:p>
        </w:tc>
        <w:tc>
          <w:tcPr>
            <w:tcW w:w="12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1(%25)</w:t>
            </w:r>
          </w:p>
        </w:tc>
      </w:tr>
      <w:tr>
        <w:trPr>
          <w:trHeight w:val="358"/>
        </w:trPr>
        <w:tc>
          <w:tcPr>
            <w:tcW w:w="116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2"/>
                <w:szCs w:val="22"/>
                <w:color w:val="222222"/>
              </w:rPr>
              <w:t>sitozis</w:t>
            </w:r>
          </w:p>
        </w:tc>
        <w:tc>
          <w:tcPr>
            <w:tcW w:w="860" w:type="dxa"/>
            <w:vAlign w:val="bottom"/>
            <w:tcBorders>
              <w:right w:val="single" w:sz="8" w:color="auto"/>
            </w:tcBorders>
          </w:tcPr>
          <w:p>
            <w:pPr>
              <w:spacing w:after="0"/>
              <w:rPr>
                <w:sz w:val="24"/>
                <w:szCs w:val="24"/>
                <w:color w:val="auto"/>
              </w:rPr>
            </w:pPr>
          </w:p>
        </w:tc>
        <w:tc>
          <w:tcPr>
            <w:tcW w:w="130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379"/>
        </w:trPr>
        <w:tc>
          <w:tcPr>
            <w:tcW w:w="2020" w:type="dxa"/>
            <w:vAlign w:val="bottom"/>
            <w:tcBorders>
              <w:left w:val="single" w:sz="8" w:color="auto"/>
              <w:right w:val="single" w:sz="8" w:color="auto"/>
            </w:tcBorders>
            <w:gridSpan w:val="2"/>
          </w:tcPr>
          <w:p>
            <w:pPr>
              <w:ind w:left="100"/>
              <w:spacing w:after="0"/>
              <w:rPr>
                <w:sz w:val="20"/>
                <w:szCs w:val="20"/>
                <w:color w:val="auto"/>
              </w:rPr>
            </w:pPr>
            <w:r>
              <w:rPr>
                <w:rFonts w:ascii="Times New Roman" w:cs="Times New Roman" w:eastAsia="Times New Roman" w:hAnsi="Times New Roman"/>
                <w:sz w:val="22"/>
                <w:szCs w:val="22"/>
                <w:color w:val="222222"/>
              </w:rPr>
              <w:t>değerlendirilmesi</w:t>
            </w:r>
          </w:p>
        </w:tc>
        <w:tc>
          <w:tcPr>
            <w:tcW w:w="130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129"/>
        </w:trPr>
        <w:tc>
          <w:tcPr>
            <w:tcW w:w="1160" w:type="dxa"/>
            <w:vAlign w:val="bottom"/>
            <w:tcBorders>
              <w:left w:val="single" w:sz="8" w:color="auto"/>
              <w:bottom w:val="single" w:sz="8" w:color="auto"/>
            </w:tcBorders>
          </w:tcPr>
          <w:p>
            <w:pPr>
              <w:spacing w:after="0"/>
              <w:rPr>
                <w:sz w:val="11"/>
                <w:szCs w:val="11"/>
                <w:color w:val="auto"/>
              </w:rPr>
            </w:pPr>
          </w:p>
        </w:tc>
        <w:tc>
          <w:tcPr>
            <w:tcW w:w="860" w:type="dxa"/>
            <w:vAlign w:val="bottom"/>
            <w:tcBorders>
              <w:bottom w:val="single" w:sz="8" w:color="auto"/>
              <w:right w:val="single" w:sz="8" w:color="auto"/>
            </w:tcBorders>
          </w:tcPr>
          <w:p>
            <w:pPr>
              <w:spacing w:after="0"/>
              <w:rPr>
                <w:sz w:val="11"/>
                <w:szCs w:val="11"/>
                <w:color w:val="auto"/>
              </w:rPr>
            </w:pPr>
          </w:p>
        </w:tc>
        <w:tc>
          <w:tcPr>
            <w:tcW w:w="1300" w:type="dxa"/>
            <w:vAlign w:val="bottom"/>
            <w:tcBorders>
              <w:bottom w:val="single" w:sz="8" w:color="auto"/>
              <w:right w:val="single" w:sz="8" w:color="auto"/>
            </w:tcBorders>
          </w:tcPr>
          <w:p>
            <w:pPr>
              <w:spacing w:after="0"/>
              <w:rPr>
                <w:sz w:val="11"/>
                <w:szCs w:val="11"/>
                <w:color w:val="auto"/>
              </w:rPr>
            </w:pPr>
          </w:p>
        </w:tc>
        <w:tc>
          <w:tcPr>
            <w:tcW w:w="1380" w:type="dxa"/>
            <w:vAlign w:val="bottom"/>
            <w:tcBorders>
              <w:bottom w:val="single" w:sz="8" w:color="auto"/>
              <w:right w:val="single" w:sz="8" w:color="auto"/>
            </w:tcBorders>
          </w:tcPr>
          <w:p>
            <w:pPr>
              <w:spacing w:after="0"/>
              <w:rPr>
                <w:sz w:val="11"/>
                <w:szCs w:val="11"/>
                <w:color w:val="auto"/>
              </w:rPr>
            </w:pPr>
          </w:p>
        </w:tc>
        <w:tc>
          <w:tcPr>
            <w:tcW w:w="1180" w:type="dxa"/>
            <w:vAlign w:val="bottom"/>
            <w:tcBorders>
              <w:bottom w:val="single" w:sz="8" w:color="auto"/>
              <w:right w:val="single" w:sz="8" w:color="auto"/>
            </w:tcBorders>
          </w:tcPr>
          <w:p>
            <w:pPr>
              <w:spacing w:after="0"/>
              <w:rPr>
                <w:sz w:val="11"/>
                <w:szCs w:val="11"/>
                <w:color w:val="auto"/>
              </w:rPr>
            </w:pPr>
          </w:p>
        </w:tc>
        <w:tc>
          <w:tcPr>
            <w:tcW w:w="1420" w:type="dxa"/>
            <w:vAlign w:val="bottom"/>
            <w:tcBorders>
              <w:bottom w:val="single" w:sz="8" w:color="auto"/>
              <w:right w:val="single" w:sz="8" w:color="auto"/>
            </w:tcBorders>
          </w:tcPr>
          <w:p>
            <w:pPr>
              <w:spacing w:after="0"/>
              <w:rPr>
                <w:sz w:val="11"/>
                <w:szCs w:val="11"/>
                <w:color w:val="auto"/>
              </w:rPr>
            </w:pPr>
          </w:p>
        </w:tc>
        <w:tc>
          <w:tcPr>
            <w:tcW w:w="122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220"/>
          </w:cols>
          <w:pgMar w:left="1440" w:top="702" w:right="1246" w:bottom="1440" w:gutter="0" w:footer="0" w:header="0"/>
        </w:sectPr>
      </w:pPr>
    </w:p>
    <w:bookmarkStart w:id="40" w:name="page41"/>
    <w:bookmarkEnd w:id="40"/>
    <w:p>
      <w:pPr>
        <w:ind w:left="8820"/>
        <w:spacing w:after="0"/>
        <w:rPr>
          <w:sz w:val="20"/>
          <w:szCs w:val="20"/>
          <w:color w:val="auto"/>
        </w:rPr>
      </w:pPr>
      <w:r>
        <w:rPr>
          <w:rFonts w:ascii="Calibri" w:cs="Calibri" w:eastAsia="Calibri" w:hAnsi="Calibri"/>
          <w:sz w:val="22"/>
          <w:szCs w:val="22"/>
          <w:color w:val="auto"/>
        </w:rPr>
        <w:t>30</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firstLine="708"/>
        <w:spacing w:after="0" w:line="358" w:lineRule="auto"/>
        <w:rPr>
          <w:sz w:val="20"/>
          <w:szCs w:val="20"/>
          <w:color w:val="auto"/>
        </w:rPr>
      </w:pPr>
      <w:r>
        <w:rPr>
          <w:rFonts w:ascii="Times New Roman" w:cs="Times New Roman" w:eastAsia="Times New Roman" w:hAnsi="Times New Roman"/>
          <w:sz w:val="24"/>
          <w:szCs w:val="24"/>
          <w:color w:val="222222"/>
        </w:rPr>
        <w:t xml:space="preserve">Hastaların </w:t>
      </w:r>
      <w:r>
        <w:rPr>
          <w:rFonts w:ascii="Times New Roman" w:cs="Times New Roman" w:eastAsia="Times New Roman" w:hAnsi="Times New Roman"/>
          <w:sz w:val="24"/>
          <w:szCs w:val="24"/>
          <w:color w:val="222222"/>
        </w:rPr>
        <w:t>8(%26,7) tanesinin</w:t>
      </w:r>
      <w:r>
        <w:rPr>
          <w:rFonts w:ascii="Times New Roman" w:cs="Times New Roman" w:eastAsia="Times New Roman" w:hAnsi="Times New Roman"/>
          <w:sz w:val="24"/>
          <w:szCs w:val="24"/>
          <w:color w:val="222222"/>
        </w:rPr>
        <w:t xml:space="preserve"> kemik patolojisi nedeniyle araştırılırken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tanısı aldığı görüldü. İzlemde İSM tanısı alan hastaların </w:t>
      </w:r>
      <w:r>
        <w:rPr>
          <w:rFonts w:ascii="Times New Roman" w:cs="Times New Roman" w:eastAsia="Times New Roman" w:hAnsi="Times New Roman"/>
          <w:sz w:val="24"/>
          <w:szCs w:val="24"/>
          <w:color w:val="222222"/>
        </w:rPr>
        <w:t>5(%33,3) tanesinin, ASM</w:t>
      </w:r>
      <w:r>
        <w:rPr>
          <w:rFonts w:ascii="Times New Roman" w:cs="Times New Roman" w:eastAsia="Times New Roman" w:hAnsi="Times New Roman"/>
          <w:sz w:val="24"/>
          <w:szCs w:val="24"/>
          <w:color w:val="222222"/>
        </w:rPr>
        <w:t xml:space="preserve"> tanısı alan hastaların ise </w:t>
      </w:r>
      <w:r>
        <w:rPr>
          <w:rFonts w:ascii="Times New Roman" w:cs="Times New Roman" w:eastAsia="Times New Roman" w:hAnsi="Times New Roman"/>
          <w:sz w:val="24"/>
          <w:szCs w:val="24"/>
          <w:color w:val="222222"/>
        </w:rPr>
        <w:t>3(%30) tanesinin kemik patolojisi nedeniyle</w:t>
      </w:r>
      <w:r>
        <w:rPr>
          <w:rFonts w:ascii="Times New Roman" w:cs="Times New Roman" w:eastAsia="Times New Roman" w:hAnsi="Times New Roman"/>
          <w:sz w:val="24"/>
          <w:szCs w:val="24"/>
          <w:color w:val="222222"/>
        </w:rPr>
        <w:t xml:space="preserve"> araştırılırken tanı aldığı görüldü. </w:t>
      </w:r>
      <w:r>
        <w:rPr>
          <w:rFonts w:ascii="Times New Roman" w:cs="Times New Roman" w:eastAsia="Times New Roman" w:hAnsi="Times New Roman"/>
          <w:sz w:val="24"/>
          <w:szCs w:val="24"/>
          <w:color w:val="222222"/>
        </w:rPr>
        <w:t>Kemik</w:t>
      </w:r>
      <w:r>
        <w:rPr>
          <w:rFonts w:ascii="Times New Roman" w:cs="Times New Roman" w:eastAsia="Times New Roman" w:hAnsi="Times New Roman"/>
          <w:sz w:val="24"/>
          <w:szCs w:val="24"/>
          <w:color w:val="222222"/>
        </w:rPr>
        <w:t xml:space="preserve"> patolojisi nedeniyle tanı alan 8 hastanın 5 tanesinin sekonder osteoporoz etyolojisi araştırılırken SM tanısı aldığı görüldü. Hastalardan 1 tanesi yapılan MRG’de sklerotik lezyon saptanması nedeniyle, 1 tanesi kemik ağrıları nedeniyle çekilen MRG’de litik lezyon saptanması nedeniyle, 1 tanesi ise kemik ağrıları nedeniyle çekilen MRG’de kemik iliğinde heterojenite saptanması nedeniyle araştırılırken SM tanısı aldığı görüldü.</w:t>
      </w:r>
    </w:p>
    <w:p>
      <w:pPr>
        <w:spacing w:after="0" w:line="181" w:lineRule="exact"/>
        <w:rPr>
          <w:sz w:val="20"/>
          <w:szCs w:val="20"/>
          <w:color w:val="auto"/>
        </w:rPr>
      </w:pPr>
    </w:p>
    <w:p>
      <w:pPr>
        <w:jc w:val="both"/>
        <w:ind w:left="820" w:firstLine="708"/>
        <w:spacing w:after="0" w:line="356" w:lineRule="auto"/>
        <w:rPr>
          <w:sz w:val="20"/>
          <w:szCs w:val="20"/>
          <w:color w:val="auto"/>
        </w:rPr>
      </w:pPr>
      <w:r>
        <w:rPr>
          <w:rFonts w:ascii="Times New Roman" w:cs="Times New Roman" w:eastAsia="Times New Roman" w:hAnsi="Times New Roman"/>
          <w:sz w:val="24"/>
          <w:szCs w:val="24"/>
          <w:color w:val="222222"/>
        </w:rPr>
        <w:t xml:space="preserve">Hastaların </w:t>
      </w:r>
      <w:r>
        <w:rPr>
          <w:rFonts w:ascii="Times New Roman" w:cs="Times New Roman" w:eastAsia="Times New Roman" w:hAnsi="Times New Roman"/>
          <w:sz w:val="24"/>
          <w:szCs w:val="24"/>
          <w:color w:val="222222"/>
        </w:rPr>
        <w:t>4(%13,3) tanesinin anafilaksi</w:t>
      </w:r>
      <w:r>
        <w:rPr>
          <w:rFonts w:ascii="Times New Roman" w:cs="Times New Roman" w:eastAsia="Times New Roman" w:hAnsi="Times New Roman"/>
          <w:sz w:val="24"/>
          <w:szCs w:val="24"/>
          <w:color w:val="222222"/>
        </w:rPr>
        <w:t xml:space="preserve"> nedeniyle araştırılırken sistemik </w:t>
      </w:r>
      <w:r>
        <w:rPr>
          <w:rFonts w:ascii="Times New Roman" w:cs="Times New Roman" w:eastAsia="Times New Roman" w:hAnsi="Times New Roman"/>
          <w:sz w:val="24"/>
          <w:szCs w:val="24"/>
          <w:color w:val="222222"/>
        </w:rPr>
        <w:t>mastosito</w:t>
      </w:r>
      <w:r>
        <w:rPr>
          <w:rFonts w:ascii="Times New Roman" w:cs="Times New Roman" w:eastAsia="Times New Roman" w:hAnsi="Times New Roman"/>
          <w:sz w:val="24"/>
          <w:szCs w:val="24"/>
          <w:color w:val="222222"/>
        </w:rPr>
        <w:t>z tanısı aldığı görüldü. İzlemde</w:t>
      </w:r>
      <w:r>
        <w:rPr>
          <w:rFonts w:ascii="Times New Roman" w:cs="Times New Roman" w:eastAsia="Times New Roman" w:hAnsi="Times New Roman"/>
          <w:sz w:val="24"/>
          <w:szCs w:val="24"/>
          <w:color w:val="222222"/>
        </w:rPr>
        <w:t xml:space="preserve"> S</w:t>
      </w:r>
      <w:r>
        <w:rPr>
          <w:rFonts w:ascii="Times New Roman" w:cs="Times New Roman" w:eastAsia="Times New Roman" w:hAnsi="Times New Roman"/>
          <w:sz w:val="24"/>
          <w:szCs w:val="24"/>
          <w:color w:val="222222"/>
        </w:rPr>
        <w:t>SM tanısı alan hastanın, ASM tanısı alan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hastaların </w:t>
      </w:r>
      <w:r>
        <w:rPr>
          <w:rFonts w:ascii="Times New Roman" w:cs="Times New Roman" w:eastAsia="Times New Roman" w:hAnsi="Times New Roman"/>
          <w:sz w:val="24"/>
          <w:szCs w:val="24"/>
          <w:color w:val="222222"/>
        </w:rPr>
        <w:t>2(%20) tanesinin</w:t>
      </w:r>
      <w:r>
        <w:rPr>
          <w:rFonts w:ascii="Times New Roman" w:cs="Times New Roman" w:eastAsia="Times New Roman" w:hAnsi="Times New Roman"/>
          <w:sz w:val="24"/>
          <w:szCs w:val="24"/>
          <w:color w:val="222222"/>
        </w:rPr>
        <w:t xml:space="preserve"> ve İSM tanısı alan hastaların </w:t>
      </w:r>
      <w:r>
        <w:rPr>
          <w:rFonts w:ascii="Times New Roman" w:cs="Times New Roman" w:eastAsia="Times New Roman" w:hAnsi="Times New Roman"/>
          <w:sz w:val="24"/>
          <w:szCs w:val="24"/>
          <w:color w:val="222222"/>
        </w:rPr>
        <w:t>1(%6,7) tanesinin anafilaksi</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nedeniyle </w:t>
      </w:r>
      <w:r>
        <w:rPr>
          <w:rFonts w:ascii="Times New Roman" w:cs="Times New Roman" w:eastAsia="Times New Roman" w:hAnsi="Times New Roman"/>
          <w:sz w:val="24"/>
          <w:szCs w:val="24"/>
          <w:color w:val="222222"/>
        </w:rPr>
        <w:t>araştırılırken tanı aldığı görüldü.</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-835660</wp:posOffset>
            </wp:positionV>
            <wp:extent cx="4699000" cy="185420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57" w:lineRule="exact"/>
        <w:rPr>
          <w:sz w:val="20"/>
          <w:szCs w:val="20"/>
          <w:color w:val="auto"/>
        </w:rPr>
      </w:pPr>
    </w:p>
    <w:p>
      <w:pPr>
        <w:jc w:val="both"/>
        <w:ind w:left="820" w:firstLine="708"/>
        <w:spacing w:after="0" w:line="356" w:lineRule="auto"/>
        <w:rPr>
          <w:sz w:val="20"/>
          <w:szCs w:val="20"/>
          <w:color w:val="auto"/>
        </w:rPr>
      </w:pPr>
      <w:r>
        <w:rPr>
          <w:rFonts w:ascii="Times New Roman" w:cs="Times New Roman" w:eastAsia="Times New Roman" w:hAnsi="Times New Roman"/>
          <w:sz w:val="24"/>
          <w:szCs w:val="24"/>
          <w:color w:val="222222"/>
        </w:rPr>
        <w:t xml:space="preserve">Hastaların </w:t>
      </w:r>
      <w:r>
        <w:rPr>
          <w:rFonts w:ascii="Times New Roman" w:cs="Times New Roman" w:eastAsia="Times New Roman" w:hAnsi="Times New Roman"/>
          <w:sz w:val="24"/>
          <w:szCs w:val="24"/>
          <w:color w:val="222222"/>
        </w:rPr>
        <w:t>9(%30) tanesinin cilt döküntüsü</w:t>
      </w:r>
      <w:r>
        <w:rPr>
          <w:rFonts w:ascii="Times New Roman" w:cs="Times New Roman" w:eastAsia="Times New Roman" w:hAnsi="Times New Roman"/>
          <w:sz w:val="24"/>
          <w:szCs w:val="24"/>
          <w:color w:val="222222"/>
        </w:rPr>
        <w:t xml:space="preserve"> nedeniyle araştırılırken sistemik mastositoz tanısı aldığı görüldü. İzlemde İSM tanısı alan hastaların </w:t>
      </w:r>
      <w:r>
        <w:rPr>
          <w:rFonts w:ascii="Times New Roman" w:cs="Times New Roman" w:eastAsia="Times New Roman" w:hAnsi="Times New Roman"/>
          <w:sz w:val="24"/>
          <w:szCs w:val="24"/>
          <w:color w:val="222222"/>
        </w:rPr>
        <w:t>7(%46,6) tanesi,</w:t>
      </w:r>
      <w:r>
        <w:rPr>
          <w:rFonts w:ascii="Times New Roman" w:cs="Times New Roman" w:eastAsia="Times New Roman" w:hAnsi="Times New Roman"/>
          <w:sz w:val="24"/>
          <w:szCs w:val="24"/>
          <w:color w:val="222222"/>
        </w:rPr>
        <w:t xml:space="preserve"> ASM tanısı alan hastaların ise </w:t>
      </w:r>
      <w:r>
        <w:rPr>
          <w:rFonts w:ascii="Times New Roman" w:cs="Times New Roman" w:eastAsia="Times New Roman" w:hAnsi="Times New Roman"/>
          <w:sz w:val="24"/>
          <w:szCs w:val="24"/>
          <w:color w:val="222222"/>
        </w:rPr>
        <w:t>2(%20) tanesinin cilt döküntüsü nedeniyle</w:t>
      </w:r>
      <w:r>
        <w:rPr>
          <w:rFonts w:ascii="Times New Roman" w:cs="Times New Roman" w:eastAsia="Times New Roman" w:hAnsi="Times New Roman"/>
          <w:sz w:val="24"/>
          <w:szCs w:val="24"/>
          <w:color w:val="222222"/>
        </w:rPr>
        <w:t xml:space="preserve"> araştırılırken tanı aldığı görüldü.</w:t>
      </w:r>
    </w:p>
    <w:p>
      <w:pPr>
        <w:spacing w:after="0" w:line="180" w:lineRule="exact"/>
        <w:rPr>
          <w:sz w:val="20"/>
          <w:szCs w:val="20"/>
          <w:color w:val="auto"/>
        </w:rPr>
      </w:pPr>
    </w:p>
    <w:p>
      <w:pPr>
        <w:jc w:val="both"/>
        <w:ind w:left="820" w:firstLine="708"/>
        <w:spacing w:after="0" w:line="356" w:lineRule="auto"/>
        <w:rPr>
          <w:sz w:val="20"/>
          <w:szCs w:val="20"/>
          <w:color w:val="auto"/>
        </w:rPr>
      </w:pPr>
      <w:r>
        <w:rPr>
          <w:rFonts w:ascii="Times New Roman" w:cs="Times New Roman" w:eastAsia="Times New Roman" w:hAnsi="Times New Roman"/>
          <w:sz w:val="24"/>
          <w:szCs w:val="24"/>
          <w:color w:val="222222"/>
        </w:rPr>
        <w:t xml:space="preserve">Hastaların </w:t>
      </w:r>
      <w:r>
        <w:rPr>
          <w:rFonts w:ascii="Times New Roman" w:cs="Times New Roman" w:eastAsia="Times New Roman" w:hAnsi="Times New Roman"/>
          <w:sz w:val="24"/>
          <w:szCs w:val="24"/>
          <w:color w:val="222222"/>
        </w:rPr>
        <w:t>2(%6,7) tanesinin organomegali</w:t>
      </w:r>
      <w:r>
        <w:rPr>
          <w:rFonts w:ascii="Times New Roman" w:cs="Times New Roman" w:eastAsia="Times New Roman" w:hAnsi="Times New Roman"/>
          <w:sz w:val="24"/>
          <w:szCs w:val="24"/>
          <w:color w:val="222222"/>
        </w:rPr>
        <w:t xml:space="preserve"> nedeniyle araştırılırken sistemik mastositoz tanısı aldığı görüldü. Organomegali nedeniyle araştırılan </w:t>
      </w:r>
      <w:r>
        <w:rPr>
          <w:rFonts w:ascii="Times New Roman" w:cs="Times New Roman" w:eastAsia="Times New Roman" w:hAnsi="Times New Roman"/>
          <w:sz w:val="24"/>
          <w:szCs w:val="24"/>
          <w:color w:val="222222"/>
        </w:rPr>
        <w:t>iki (%20)</w:t>
      </w:r>
      <w:r>
        <w:rPr>
          <w:rFonts w:ascii="Times New Roman" w:cs="Times New Roman" w:eastAsia="Times New Roman" w:hAnsi="Times New Roman"/>
          <w:sz w:val="24"/>
          <w:szCs w:val="24"/>
          <w:color w:val="222222"/>
        </w:rPr>
        <w:t xml:space="preserve"> hastanın da ASM tanısı aldığı görüldü. İki hastanın da hepatomegali </w:t>
      </w:r>
      <w:r>
        <w:rPr>
          <w:rFonts w:ascii="Times New Roman" w:cs="Times New Roman" w:eastAsia="Times New Roman" w:hAnsi="Times New Roman"/>
          <w:sz w:val="24"/>
          <w:szCs w:val="24"/>
          <w:color w:val="222222"/>
        </w:rPr>
        <w:t>nedeniyle</w:t>
      </w:r>
      <w:r>
        <w:rPr>
          <w:rFonts w:ascii="Times New Roman" w:cs="Times New Roman" w:eastAsia="Times New Roman" w:hAnsi="Times New Roman"/>
          <w:sz w:val="24"/>
          <w:szCs w:val="24"/>
          <w:color w:val="222222"/>
        </w:rPr>
        <w:t xml:space="preserve"> araştırıldığı görüldü.</w:t>
      </w:r>
    </w:p>
    <w:p>
      <w:pPr>
        <w:spacing w:after="0" w:line="179" w:lineRule="exact"/>
        <w:rPr>
          <w:sz w:val="20"/>
          <w:szCs w:val="20"/>
          <w:color w:val="auto"/>
        </w:rPr>
      </w:pPr>
    </w:p>
    <w:p>
      <w:pPr>
        <w:jc w:val="both"/>
        <w:ind w:left="820" w:firstLine="708"/>
        <w:spacing w:after="0" w:line="357" w:lineRule="auto"/>
        <w:rPr>
          <w:sz w:val="20"/>
          <w:szCs w:val="20"/>
          <w:color w:val="auto"/>
        </w:rPr>
      </w:pPr>
      <w:r>
        <w:rPr>
          <w:rFonts w:ascii="Times New Roman" w:cs="Times New Roman" w:eastAsia="Times New Roman" w:hAnsi="Times New Roman"/>
          <w:sz w:val="24"/>
          <w:szCs w:val="24"/>
          <w:color w:val="222222"/>
        </w:rPr>
        <w:t xml:space="preserve">Hastaların </w:t>
      </w:r>
      <w:r>
        <w:rPr>
          <w:rFonts w:ascii="Times New Roman" w:cs="Times New Roman" w:eastAsia="Times New Roman" w:hAnsi="Times New Roman"/>
          <w:sz w:val="24"/>
          <w:szCs w:val="24"/>
          <w:color w:val="222222"/>
        </w:rPr>
        <w:t>4(%30) tanesinin</w:t>
      </w:r>
      <w:r>
        <w:rPr>
          <w:rFonts w:ascii="Times New Roman" w:cs="Times New Roman" w:eastAsia="Times New Roman" w:hAnsi="Times New Roman"/>
          <w:sz w:val="24"/>
          <w:szCs w:val="24"/>
          <w:color w:val="222222"/>
        </w:rPr>
        <w:t xml:space="preserve"> başka bir hastalık değerlendirilmesi </w:t>
      </w:r>
      <w:r>
        <w:rPr>
          <w:rFonts w:ascii="Times New Roman" w:cs="Times New Roman" w:eastAsia="Times New Roman" w:hAnsi="Times New Roman"/>
          <w:sz w:val="24"/>
          <w:szCs w:val="24"/>
          <w:color w:val="222222"/>
        </w:rPr>
        <w:t>(hematolojik</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neoplazi) </w:t>
      </w:r>
      <w:r>
        <w:rPr>
          <w:rFonts w:ascii="Times New Roman" w:cs="Times New Roman" w:eastAsia="Times New Roman" w:hAnsi="Times New Roman"/>
          <w:sz w:val="24"/>
          <w:szCs w:val="24"/>
          <w:color w:val="222222"/>
        </w:rPr>
        <w:t>sırasında araştırılırken sistemik mastositoz tanısı aldığı görüldü. İzlemde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İSM tanısı alan hastaların </w:t>
      </w:r>
      <w:r>
        <w:rPr>
          <w:rFonts w:ascii="Times New Roman" w:cs="Times New Roman" w:eastAsia="Times New Roman" w:hAnsi="Times New Roman"/>
          <w:sz w:val="24"/>
          <w:szCs w:val="24"/>
          <w:color w:val="222222"/>
        </w:rPr>
        <w:t>1(%6,7) tanesi, SM-</w:t>
      </w:r>
      <w:r>
        <w:rPr>
          <w:rFonts w:ascii="Times New Roman" w:cs="Times New Roman" w:eastAsia="Times New Roman" w:hAnsi="Times New Roman"/>
          <w:sz w:val="24"/>
          <w:szCs w:val="24"/>
          <w:color w:val="222222"/>
        </w:rPr>
        <w:t xml:space="preserve">AHN tanısı alan hastaların ise 3(%75) </w:t>
      </w:r>
      <w:r>
        <w:rPr>
          <w:rFonts w:ascii="Times New Roman" w:cs="Times New Roman" w:eastAsia="Times New Roman" w:hAnsi="Times New Roman"/>
          <w:sz w:val="24"/>
          <w:szCs w:val="24"/>
          <w:color w:val="222222"/>
        </w:rPr>
        <w:t>tanesini</w:t>
      </w:r>
      <w:r>
        <w:rPr>
          <w:rFonts w:ascii="Times New Roman" w:cs="Times New Roman" w:eastAsia="Times New Roman" w:hAnsi="Times New Roman"/>
          <w:sz w:val="24"/>
          <w:szCs w:val="24"/>
          <w:color w:val="222222"/>
        </w:rPr>
        <w:t>n başka bir hastalık değerlendirilmesi</w:t>
      </w:r>
      <w:r>
        <w:rPr>
          <w:rFonts w:ascii="Times New Roman" w:cs="Times New Roman" w:eastAsia="Times New Roman" w:hAnsi="Times New Roman"/>
          <w:sz w:val="24"/>
          <w:szCs w:val="24"/>
          <w:color w:val="222222"/>
        </w:rPr>
        <w:t xml:space="preserve"> (hematolojik neoplazi) </w:t>
      </w:r>
      <w:r>
        <w:rPr>
          <w:rFonts w:ascii="Times New Roman" w:cs="Times New Roman" w:eastAsia="Times New Roman" w:hAnsi="Times New Roman"/>
          <w:sz w:val="24"/>
          <w:szCs w:val="24"/>
          <w:color w:val="222222"/>
        </w:rPr>
        <w:t>sırasında tanı</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aldığı görüldü.</w:t>
      </w:r>
    </w:p>
    <w:p>
      <w:pPr>
        <w:spacing w:after="0" w:line="178" w:lineRule="exact"/>
        <w:rPr>
          <w:sz w:val="20"/>
          <w:szCs w:val="20"/>
          <w:color w:val="auto"/>
        </w:rPr>
      </w:pPr>
    </w:p>
    <w:p>
      <w:pPr>
        <w:jc w:val="both"/>
        <w:ind w:left="820" w:firstLine="708"/>
        <w:spacing w:after="0" w:line="357" w:lineRule="auto"/>
        <w:rPr>
          <w:sz w:val="20"/>
          <w:szCs w:val="20"/>
          <w:color w:val="auto"/>
        </w:rPr>
      </w:pPr>
      <w:r>
        <w:rPr>
          <w:rFonts w:ascii="Times New Roman" w:cs="Times New Roman" w:eastAsia="Times New Roman" w:hAnsi="Times New Roman"/>
          <w:sz w:val="24"/>
          <w:szCs w:val="24"/>
          <w:color w:val="222222"/>
        </w:rPr>
        <w:t xml:space="preserve">Hastaların </w:t>
      </w:r>
      <w:r>
        <w:rPr>
          <w:rFonts w:ascii="Times New Roman" w:cs="Times New Roman" w:eastAsia="Times New Roman" w:hAnsi="Times New Roman"/>
          <w:sz w:val="24"/>
          <w:szCs w:val="24"/>
          <w:color w:val="222222"/>
        </w:rPr>
        <w:t>2(%6,7) tanesinin sitopeni ve 1(%3,4) tanesinin lökositoz</w:t>
      </w:r>
      <w:r>
        <w:rPr>
          <w:rFonts w:ascii="Times New Roman" w:cs="Times New Roman" w:eastAsia="Times New Roman" w:hAnsi="Times New Roman"/>
          <w:sz w:val="24"/>
          <w:szCs w:val="24"/>
          <w:color w:val="222222"/>
        </w:rPr>
        <w:t xml:space="preserve"> etyolojisi araştırılması esnasında sistemik mastositoz tanısı aldığı görüldü. İzlemde </w:t>
      </w:r>
      <w:r>
        <w:rPr>
          <w:rFonts w:ascii="Times New Roman" w:cs="Times New Roman" w:eastAsia="Times New Roman" w:hAnsi="Times New Roman"/>
          <w:sz w:val="24"/>
          <w:szCs w:val="24"/>
          <w:color w:val="222222"/>
        </w:rPr>
        <w:t>A</w:t>
      </w:r>
      <w:r>
        <w:rPr>
          <w:rFonts w:ascii="Times New Roman" w:cs="Times New Roman" w:eastAsia="Times New Roman" w:hAnsi="Times New Roman"/>
          <w:sz w:val="24"/>
          <w:szCs w:val="24"/>
          <w:color w:val="222222"/>
        </w:rPr>
        <w:t>SM tanısı alan hastaların</w:t>
      </w:r>
      <w:r>
        <w:rPr>
          <w:rFonts w:ascii="Times New Roman" w:cs="Times New Roman" w:eastAsia="Times New Roman" w:hAnsi="Times New Roman"/>
          <w:sz w:val="24"/>
          <w:szCs w:val="24"/>
          <w:color w:val="222222"/>
        </w:rPr>
        <w:t xml:space="preserve"> 1(%10) tanesi, SM-AHN </w:t>
      </w:r>
      <w:r>
        <w:rPr>
          <w:rFonts w:ascii="Times New Roman" w:cs="Times New Roman" w:eastAsia="Times New Roman" w:hAnsi="Times New Roman"/>
          <w:sz w:val="24"/>
          <w:szCs w:val="24"/>
          <w:color w:val="222222"/>
        </w:rPr>
        <w:t>tanısı alan hastaların ise</w:t>
      </w:r>
      <w:r>
        <w:rPr>
          <w:rFonts w:ascii="Times New Roman" w:cs="Times New Roman" w:eastAsia="Times New Roman" w:hAnsi="Times New Roman"/>
          <w:sz w:val="24"/>
          <w:szCs w:val="24"/>
          <w:color w:val="222222"/>
        </w:rPr>
        <w:t xml:space="preserve"> 1(%25) tanesinin </w:t>
      </w:r>
      <w:r>
        <w:rPr>
          <w:rFonts w:ascii="Times New Roman" w:cs="Times New Roman" w:eastAsia="Times New Roman" w:hAnsi="Times New Roman"/>
          <w:sz w:val="24"/>
          <w:szCs w:val="24"/>
          <w:color w:val="222222"/>
        </w:rPr>
        <w:t>sitopeni etyolojisi araştırılırken tanı aldığı görüldü.</w:t>
      </w:r>
      <w:r>
        <w:rPr>
          <w:rFonts w:ascii="Times New Roman" w:cs="Times New Roman" w:eastAsia="Times New Roman" w:hAnsi="Times New Roman"/>
          <w:sz w:val="24"/>
          <w:szCs w:val="24"/>
          <w:color w:val="222222"/>
        </w:rPr>
        <w:t xml:space="preserve"> Lökositoz etyolojisi </w:t>
      </w:r>
      <w:r>
        <w:rPr>
          <w:rFonts w:ascii="Times New Roman" w:cs="Times New Roman" w:eastAsia="Times New Roman" w:hAnsi="Times New Roman"/>
          <w:sz w:val="24"/>
          <w:szCs w:val="24"/>
          <w:color w:val="222222"/>
        </w:rPr>
        <w:t>araştırılırken İSM tanısı alan 1(%</w:t>
      </w:r>
      <w:r>
        <w:rPr>
          <w:rFonts w:ascii="Times New Roman" w:cs="Times New Roman" w:eastAsia="Times New Roman" w:hAnsi="Times New Roman"/>
          <w:sz w:val="24"/>
          <w:szCs w:val="24"/>
          <w:color w:val="222222"/>
        </w:rPr>
        <w:t>6,7</w:t>
      </w:r>
      <w:r>
        <w:rPr>
          <w:rFonts w:ascii="Times New Roman" w:cs="Times New Roman" w:eastAsia="Times New Roman" w:hAnsi="Times New Roman"/>
          <w:sz w:val="24"/>
          <w:szCs w:val="24"/>
          <w:color w:val="222222"/>
        </w:rPr>
        <w:t>) tane hasta olduğu görüldü.</w:t>
      </w:r>
    </w:p>
    <w:p>
      <w:pPr>
        <w:sectPr>
          <w:pgSz w:w="11900" w:h="16838" w:orient="portrait"/>
          <w:cols w:equalWidth="0" w:num="1">
            <w:col w:w="9060"/>
          </w:cols>
          <w:pgMar w:left="1440" w:top="702" w:right="1406" w:bottom="945" w:gutter="0" w:footer="0" w:header="0"/>
        </w:sectPr>
      </w:pPr>
    </w:p>
    <w:bookmarkStart w:id="41" w:name="page42"/>
    <w:bookmarkEnd w:id="41"/>
    <w:p>
      <w:pPr>
        <w:ind w:left="8820"/>
        <w:spacing w:after="0"/>
        <w:rPr>
          <w:sz w:val="20"/>
          <w:szCs w:val="20"/>
          <w:color w:val="auto"/>
        </w:rPr>
      </w:pPr>
      <w:r>
        <w:rPr>
          <w:rFonts w:ascii="Calibri" w:cs="Calibri" w:eastAsia="Calibri" w:hAnsi="Calibri"/>
          <w:sz w:val="22"/>
          <w:szCs w:val="22"/>
          <w:color w:val="auto"/>
        </w:rPr>
        <w:t>31</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820" w:right="620" w:firstLine="708"/>
        <w:spacing w:after="0" w:line="348" w:lineRule="auto"/>
        <w:rPr>
          <w:sz w:val="20"/>
          <w:szCs w:val="20"/>
          <w:color w:val="auto"/>
        </w:rPr>
      </w:pPr>
      <w:r>
        <w:rPr>
          <w:rFonts w:ascii="Times New Roman" w:cs="Times New Roman" w:eastAsia="Times New Roman" w:hAnsi="Times New Roman"/>
          <w:sz w:val="24"/>
          <w:szCs w:val="24"/>
          <w:b w:val="1"/>
          <w:bCs w:val="1"/>
          <w:color w:val="222222"/>
        </w:rPr>
        <w:t xml:space="preserve">Tablo 4.3. </w:t>
      </w:r>
      <w:r>
        <w:rPr>
          <w:rFonts w:ascii="Times New Roman" w:cs="Times New Roman" w:eastAsia="Times New Roman" w:hAnsi="Times New Roman"/>
          <w:sz w:val="24"/>
          <w:szCs w:val="24"/>
          <w:color w:val="222222"/>
        </w:rPr>
        <w:t>Sistemik</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mastositoz nedeniyle olduğu düşünülen semptom ve</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bulgular</w:t>
      </w:r>
    </w:p>
    <w:p>
      <w:pPr>
        <w:spacing w:after="0" w:line="157" w:lineRule="exact"/>
        <w:rPr>
          <w:sz w:val="20"/>
          <w:szCs w:val="20"/>
          <w:color w:val="auto"/>
        </w:rPr>
      </w:pPr>
    </w:p>
    <w:tbl>
      <w:tblPr>
        <w:tblLayout w:type="fixed"/>
        <w:tblInd w:w="730" w:type="dxa"/>
        <w:tblCellMar>
          <w:top w:w="0" w:type="dxa"/>
          <w:left w:w="0" w:type="dxa"/>
          <w:bottom w:w="0" w:type="dxa"/>
          <w:right w:w="0" w:type="dxa"/>
        </w:tblCellMar>
      </w:tblPr>
      <w:tr>
        <w:trPr>
          <w:trHeight w:val="285"/>
        </w:trPr>
        <w:tc>
          <w:tcPr>
            <w:tcW w:w="560" w:type="dxa"/>
            <w:vAlign w:val="bottom"/>
            <w:tcBorders>
              <w:top w:val="single" w:sz="8" w:color="auto"/>
              <w:left w:val="single" w:sz="8" w:color="auto"/>
            </w:tcBorders>
          </w:tcPr>
          <w:p>
            <w:pPr>
              <w:spacing w:after="0"/>
              <w:rPr>
                <w:sz w:val="24"/>
                <w:szCs w:val="24"/>
                <w:color w:val="auto"/>
              </w:rPr>
            </w:pPr>
          </w:p>
        </w:tc>
        <w:tc>
          <w:tcPr>
            <w:tcW w:w="620" w:type="dxa"/>
            <w:vAlign w:val="bottom"/>
            <w:tcBorders>
              <w:top w:val="single" w:sz="8" w:color="auto"/>
            </w:tcBorders>
          </w:tcPr>
          <w:p>
            <w:pPr>
              <w:spacing w:after="0"/>
              <w:rPr>
                <w:sz w:val="24"/>
                <w:szCs w:val="24"/>
                <w:color w:val="auto"/>
              </w:rPr>
            </w:pPr>
          </w:p>
        </w:tc>
        <w:tc>
          <w:tcPr>
            <w:tcW w:w="400" w:type="dxa"/>
            <w:vAlign w:val="bottom"/>
            <w:tcBorders>
              <w:top w:val="single" w:sz="8" w:color="auto"/>
              <w:right w:val="single" w:sz="8" w:color="auto"/>
            </w:tcBorders>
          </w:tcPr>
          <w:p>
            <w:pPr>
              <w:spacing w:after="0"/>
              <w:rPr>
                <w:sz w:val="24"/>
                <w:szCs w:val="24"/>
                <w:color w:val="auto"/>
              </w:rPr>
            </w:pPr>
          </w:p>
        </w:tc>
        <w:tc>
          <w:tcPr>
            <w:tcW w:w="184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Toplam</w:t>
            </w:r>
          </w:p>
        </w:tc>
        <w:tc>
          <w:tcPr>
            <w:tcW w:w="156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İSM</w:t>
            </w:r>
          </w:p>
        </w:tc>
        <w:tc>
          <w:tcPr>
            <w:tcW w:w="126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SSM</w:t>
            </w:r>
          </w:p>
        </w:tc>
        <w:tc>
          <w:tcPr>
            <w:tcW w:w="158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ASM</w:t>
            </w:r>
          </w:p>
        </w:tc>
        <w:tc>
          <w:tcPr>
            <w:tcW w:w="112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SM-</w:t>
            </w:r>
          </w:p>
        </w:tc>
      </w:tr>
      <w:tr>
        <w:trPr>
          <w:trHeight w:val="413"/>
        </w:trPr>
        <w:tc>
          <w:tcPr>
            <w:tcW w:w="560" w:type="dxa"/>
            <w:vAlign w:val="bottom"/>
            <w:tcBorders>
              <w:left w:val="single" w:sz="8" w:color="auto"/>
            </w:tcBorders>
          </w:tcPr>
          <w:p>
            <w:pPr>
              <w:spacing w:after="0"/>
              <w:rPr>
                <w:sz w:val="24"/>
                <w:szCs w:val="24"/>
                <w:color w:val="auto"/>
              </w:rPr>
            </w:pPr>
          </w:p>
        </w:tc>
        <w:tc>
          <w:tcPr>
            <w:tcW w:w="620" w:type="dxa"/>
            <w:vAlign w:val="bottom"/>
          </w:tcPr>
          <w:p>
            <w:pPr>
              <w:spacing w:after="0"/>
              <w:rPr>
                <w:sz w:val="24"/>
                <w:szCs w:val="24"/>
                <w:color w:val="auto"/>
              </w:rPr>
            </w:pPr>
          </w:p>
        </w:tc>
        <w:tc>
          <w:tcPr>
            <w:tcW w:w="4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n:30</w:t>
            </w:r>
          </w:p>
        </w:tc>
        <w:tc>
          <w:tcPr>
            <w:tcW w:w="15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n:15(%50)</w:t>
            </w:r>
          </w:p>
        </w:tc>
        <w:tc>
          <w:tcPr>
            <w:tcW w:w="12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n:1(%3,3)</w:t>
            </w:r>
          </w:p>
        </w:tc>
        <w:tc>
          <w:tcPr>
            <w:tcW w:w="15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n:10(%33,4)</w:t>
            </w:r>
          </w:p>
        </w:tc>
        <w:tc>
          <w:tcPr>
            <w:tcW w:w="11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AHN</w:t>
            </w:r>
          </w:p>
        </w:tc>
      </w:tr>
      <w:tr>
        <w:trPr>
          <w:trHeight w:val="415"/>
        </w:trPr>
        <w:tc>
          <w:tcPr>
            <w:tcW w:w="560" w:type="dxa"/>
            <w:vAlign w:val="bottom"/>
            <w:tcBorders>
              <w:left w:val="single" w:sz="8" w:color="auto"/>
            </w:tcBorders>
          </w:tcPr>
          <w:p>
            <w:pPr>
              <w:spacing w:after="0"/>
              <w:rPr>
                <w:sz w:val="24"/>
                <w:szCs w:val="24"/>
                <w:color w:val="auto"/>
              </w:rPr>
            </w:pPr>
          </w:p>
        </w:tc>
        <w:tc>
          <w:tcPr>
            <w:tcW w:w="620" w:type="dxa"/>
            <w:vAlign w:val="bottom"/>
          </w:tcPr>
          <w:p>
            <w:pPr>
              <w:spacing w:after="0"/>
              <w:rPr>
                <w:sz w:val="24"/>
                <w:szCs w:val="24"/>
                <w:color w:val="auto"/>
              </w:rPr>
            </w:pPr>
          </w:p>
        </w:tc>
        <w:tc>
          <w:tcPr>
            <w:tcW w:w="4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n:4(13,3)</w:t>
            </w:r>
          </w:p>
        </w:tc>
      </w:tr>
      <w:tr>
        <w:trPr>
          <w:trHeight w:val="140"/>
        </w:trPr>
        <w:tc>
          <w:tcPr>
            <w:tcW w:w="560" w:type="dxa"/>
            <w:vAlign w:val="bottom"/>
            <w:tcBorders>
              <w:left w:val="single" w:sz="8" w:color="auto"/>
              <w:bottom w:val="single" w:sz="8" w:color="auto"/>
            </w:tcBorders>
          </w:tcPr>
          <w:p>
            <w:pPr>
              <w:spacing w:after="0"/>
              <w:rPr>
                <w:sz w:val="12"/>
                <w:szCs w:val="12"/>
                <w:color w:val="auto"/>
              </w:rPr>
            </w:pPr>
          </w:p>
        </w:tc>
        <w:tc>
          <w:tcPr>
            <w:tcW w:w="1020" w:type="dxa"/>
            <w:vAlign w:val="bottom"/>
            <w:tcBorders>
              <w:bottom w:val="single" w:sz="8" w:color="auto"/>
              <w:right w:val="single" w:sz="8" w:color="auto"/>
            </w:tcBorders>
            <w:gridSpan w:val="2"/>
          </w:tcPr>
          <w:p>
            <w:pPr>
              <w:spacing w:after="0"/>
              <w:rPr>
                <w:sz w:val="12"/>
                <w:szCs w:val="12"/>
                <w:color w:val="auto"/>
              </w:rPr>
            </w:pPr>
          </w:p>
        </w:tc>
        <w:tc>
          <w:tcPr>
            <w:tcW w:w="1840" w:type="dxa"/>
            <w:vAlign w:val="bottom"/>
            <w:tcBorders>
              <w:bottom w:val="single" w:sz="8" w:color="auto"/>
              <w:right w:val="single" w:sz="8" w:color="auto"/>
            </w:tcBorders>
          </w:tcPr>
          <w:p>
            <w:pPr>
              <w:spacing w:after="0"/>
              <w:rPr>
                <w:sz w:val="12"/>
                <w:szCs w:val="12"/>
                <w:color w:val="auto"/>
              </w:rPr>
            </w:pPr>
          </w:p>
        </w:tc>
        <w:tc>
          <w:tcPr>
            <w:tcW w:w="1560" w:type="dxa"/>
            <w:vAlign w:val="bottom"/>
            <w:tcBorders>
              <w:bottom w:val="single" w:sz="8" w:color="auto"/>
              <w:right w:val="single" w:sz="8" w:color="auto"/>
            </w:tcBorders>
          </w:tcPr>
          <w:p>
            <w:pPr>
              <w:spacing w:after="0"/>
              <w:rPr>
                <w:sz w:val="12"/>
                <w:szCs w:val="12"/>
                <w:color w:val="auto"/>
              </w:rPr>
            </w:pPr>
          </w:p>
        </w:tc>
        <w:tc>
          <w:tcPr>
            <w:tcW w:w="1260" w:type="dxa"/>
            <w:vAlign w:val="bottom"/>
            <w:tcBorders>
              <w:bottom w:val="single" w:sz="8" w:color="auto"/>
              <w:right w:val="single" w:sz="8" w:color="auto"/>
            </w:tcBorders>
          </w:tcPr>
          <w:p>
            <w:pPr>
              <w:spacing w:after="0"/>
              <w:rPr>
                <w:sz w:val="12"/>
                <w:szCs w:val="12"/>
                <w:color w:val="auto"/>
              </w:rPr>
            </w:pPr>
          </w:p>
        </w:tc>
        <w:tc>
          <w:tcPr>
            <w:tcW w:w="1580" w:type="dxa"/>
            <w:vAlign w:val="bottom"/>
            <w:tcBorders>
              <w:bottom w:val="single" w:sz="8" w:color="auto"/>
              <w:right w:val="single" w:sz="8" w:color="auto"/>
            </w:tcBorders>
          </w:tcPr>
          <w:p>
            <w:pPr>
              <w:spacing w:after="0"/>
              <w:rPr>
                <w:sz w:val="12"/>
                <w:szCs w:val="12"/>
                <w:color w:val="auto"/>
              </w:rPr>
            </w:pPr>
          </w:p>
        </w:tc>
        <w:tc>
          <w:tcPr>
            <w:tcW w:w="1120" w:type="dxa"/>
            <w:vAlign w:val="bottom"/>
            <w:tcBorders>
              <w:bottom w:val="single" w:sz="8" w:color="auto"/>
              <w:right w:val="single" w:sz="8" w:color="auto"/>
            </w:tcBorders>
          </w:tcPr>
          <w:p>
            <w:pPr>
              <w:spacing w:after="0"/>
              <w:rPr>
                <w:sz w:val="12"/>
                <w:szCs w:val="12"/>
                <w:color w:val="auto"/>
              </w:rPr>
            </w:pPr>
          </w:p>
        </w:tc>
      </w:tr>
      <w:tr>
        <w:trPr>
          <w:trHeight w:val="242"/>
        </w:trPr>
        <w:tc>
          <w:tcPr>
            <w:tcW w:w="560" w:type="dxa"/>
            <w:vAlign w:val="bottom"/>
            <w:tcBorders>
              <w:left w:val="single" w:sz="8" w:color="auto"/>
            </w:tcBorders>
          </w:tcPr>
          <w:p>
            <w:pPr>
              <w:ind w:left="100"/>
              <w:spacing w:after="0" w:line="242" w:lineRule="exact"/>
              <w:rPr>
                <w:sz w:val="20"/>
                <w:szCs w:val="20"/>
                <w:color w:val="auto"/>
              </w:rPr>
            </w:pPr>
            <w:r>
              <w:rPr>
                <w:rFonts w:ascii="Times New Roman" w:cs="Times New Roman" w:eastAsia="Times New Roman" w:hAnsi="Times New Roman"/>
                <w:sz w:val="22"/>
                <w:szCs w:val="22"/>
                <w:color w:val="222222"/>
              </w:rPr>
              <w:t>Cilt</w:t>
            </w:r>
          </w:p>
        </w:tc>
        <w:tc>
          <w:tcPr>
            <w:tcW w:w="1020" w:type="dxa"/>
            <w:vAlign w:val="bottom"/>
            <w:tcBorders>
              <w:right w:val="single" w:sz="8" w:color="auto"/>
            </w:tcBorders>
            <w:gridSpan w:val="2"/>
          </w:tcPr>
          <w:p>
            <w:pPr>
              <w:jc w:val="right"/>
              <w:ind w:right="35"/>
              <w:spacing w:after="0" w:line="242" w:lineRule="exact"/>
              <w:rPr>
                <w:sz w:val="20"/>
                <w:szCs w:val="20"/>
                <w:color w:val="auto"/>
              </w:rPr>
            </w:pPr>
            <w:r>
              <w:rPr>
                <w:rFonts w:ascii="Times New Roman" w:cs="Times New Roman" w:eastAsia="Times New Roman" w:hAnsi="Times New Roman"/>
                <w:sz w:val="22"/>
                <w:szCs w:val="22"/>
                <w:color w:val="222222"/>
              </w:rPr>
              <w:t>semptom</w:t>
            </w:r>
          </w:p>
        </w:tc>
        <w:tc>
          <w:tcPr>
            <w:tcW w:w="184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27</w:t>
            </w:r>
            <w:r>
              <w:rPr>
                <w:rFonts w:ascii="Times New Roman" w:cs="Times New Roman" w:eastAsia="Times New Roman" w:hAnsi="Times New Roman"/>
                <w:sz w:val="20"/>
                <w:szCs w:val="20"/>
                <w:color w:val="222222"/>
              </w:rPr>
              <w:t>(değerlendirilen)</w:t>
            </w:r>
          </w:p>
        </w:tc>
        <w:tc>
          <w:tcPr>
            <w:tcW w:w="156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14</w:t>
            </w:r>
          </w:p>
        </w:tc>
        <w:tc>
          <w:tcPr>
            <w:tcW w:w="126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1</w:t>
            </w:r>
          </w:p>
        </w:tc>
        <w:tc>
          <w:tcPr>
            <w:tcW w:w="1580" w:type="dxa"/>
            <w:vAlign w:val="bottom"/>
            <w:tcBorders>
              <w:right w:val="single" w:sz="8" w:color="auto"/>
            </w:tcBorders>
          </w:tcPr>
          <w:p>
            <w:pPr>
              <w:ind w:left="100"/>
              <w:spacing w:after="0" w:line="219" w:lineRule="exact"/>
              <w:rPr>
                <w:sz w:val="20"/>
                <w:szCs w:val="20"/>
                <w:color w:val="auto"/>
              </w:rPr>
            </w:pPr>
            <w:r>
              <w:rPr>
                <w:rFonts w:ascii="Times New Roman" w:cs="Times New Roman" w:eastAsia="Times New Roman" w:hAnsi="Times New Roman"/>
                <w:sz w:val="20"/>
                <w:szCs w:val="20"/>
                <w:color w:val="222222"/>
              </w:rPr>
              <w:t>8</w:t>
            </w:r>
          </w:p>
        </w:tc>
        <w:tc>
          <w:tcPr>
            <w:tcW w:w="112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4</w:t>
            </w:r>
          </w:p>
        </w:tc>
      </w:tr>
      <w:tr>
        <w:trPr>
          <w:trHeight w:val="379"/>
        </w:trPr>
        <w:tc>
          <w:tcPr>
            <w:tcW w:w="1580" w:type="dxa"/>
            <w:vAlign w:val="bottom"/>
            <w:tcBorders>
              <w:left w:val="single" w:sz="8" w:color="auto"/>
              <w:right w:val="single" w:sz="8" w:color="auto"/>
            </w:tcBorders>
            <w:gridSpan w:val="3"/>
          </w:tcPr>
          <w:p>
            <w:pPr>
              <w:ind w:left="100"/>
              <w:spacing w:after="0"/>
              <w:rPr>
                <w:sz w:val="20"/>
                <w:szCs w:val="20"/>
                <w:color w:val="auto"/>
              </w:rPr>
            </w:pPr>
            <w:r>
              <w:rPr>
                <w:rFonts w:ascii="Times New Roman" w:cs="Times New Roman" w:eastAsia="Times New Roman" w:hAnsi="Times New Roman"/>
                <w:sz w:val="22"/>
                <w:szCs w:val="22"/>
                <w:color w:val="222222"/>
              </w:rPr>
              <w:t>ve bulguları</w:t>
            </w:r>
            <w:r>
              <w:rPr>
                <w:rFonts w:ascii="Times New Roman" w:cs="Times New Roman" w:eastAsia="Times New Roman" w:hAnsi="Times New Roman"/>
                <w:sz w:val="22"/>
                <w:szCs w:val="22"/>
                <w:color w:val="222222"/>
              </w:rPr>
              <w:t>*</w:t>
            </w:r>
          </w:p>
        </w:tc>
        <w:tc>
          <w:tcPr>
            <w:tcW w:w="18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18(%66,7)</w:t>
            </w:r>
          </w:p>
        </w:tc>
        <w:tc>
          <w:tcPr>
            <w:tcW w:w="15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11(%78,6)</w:t>
            </w:r>
          </w:p>
        </w:tc>
        <w:tc>
          <w:tcPr>
            <w:tcW w:w="12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1(%100)</w:t>
            </w:r>
          </w:p>
        </w:tc>
        <w:tc>
          <w:tcPr>
            <w:tcW w:w="15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222222"/>
              </w:rPr>
              <w:t>5(%62,5)</w:t>
            </w:r>
          </w:p>
        </w:tc>
        <w:tc>
          <w:tcPr>
            <w:tcW w:w="11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1(%25)</w:t>
            </w:r>
          </w:p>
        </w:tc>
      </w:tr>
      <w:tr>
        <w:trPr>
          <w:trHeight w:val="127"/>
        </w:trPr>
        <w:tc>
          <w:tcPr>
            <w:tcW w:w="1580" w:type="dxa"/>
            <w:vAlign w:val="bottom"/>
            <w:tcBorders>
              <w:left w:val="single" w:sz="8" w:color="auto"/>
              <w:bottom w:val="single" w:sz="8" w:color="auto"/>
              <w:right w:val="single" w:sz="8" w:color="auto"/>
            </w:tcBorders>
            <w:gridSpan w:val="3"/>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c>
          <w:tcPr>
            <w:tcW w:w="1560" w:type="dxa"/>
            <w:vAlign w:val="bottom"/>
            <w:tcBorders>
              <w:bottom w:val="single" w:sz="8" w:color="auto"/>
              <w:right w:val="single" w:sz="8" w:color="auto"/>
            </w:tcBorders>
          </w:tcPr>
          <w:p>
            <w:pPr>
              <w:spacing w:after="0"/>
              <w:rPr>
                <w:sz w:val="11"/>
                <w:szCs w:val="11"/>
                <w:color w:val="auto"/>
              </w:rPr>
            </w:pPr>
          </w:p>
        </w:tc>
        <w:tc>
          <w:tcPr>
            <w:tcW w:w="1260" w:type="dxa"/>
            <w:vAlign w:val="bottom"/>
            <w:tcBorders>
              <w:bottom w:val="single" w:sz="8" w:color="auto"/>
              <w:right w:val="single" w:sz="8" w:color="auto"/>
            </w:tcBorders>
          </w:tcPr>
          <w:p>
            <w:pPr>
              <w:spacing w:after="0"/>
              <w:rPr>
                <w:sz w:val="11"/>
                <w:szCs w:val="11"/>
                <w:color w:val="auto"/>
              </w:rPr>
            </w:pPr>
          </w:p>
        </w:tc>
        <w:tc>
          <w:tcPr>
            <w:tcW w:w="1580" w:type="dxa"/>
            <w:vAlign w:val="bottom"/>
            <w:tcBorders>
              <w:bottom w:val="single" w:sz="8" w:color="auto"/>
              <w:right w:val="single" w:sz="8" w:color="auto"/>
            </w:tcBorders>
          </w:tcPr>
          <w:p>
            <w:pPr>
              <w:spacing w:after="0"/>
              <w:rPr>
                <w:sz w:val="11"/>
                <w:szCs w:val="11"/>
                <w:color w:val="auto"/>
              </w:rPr>
            </w:pPr>
          </w:p>
        </w:tc>
        <w:tc>
          <w:tcPr>
            <w:tcW w:w="1120" w:type="dxa"/>
            <w:vAlign w:val="bottom"/>
            <w:tcBorders>
              <w:bottom w:val="single" w:sz="8" w:color="auto"/>
              <w:right w:val="single" w:sz="8" w:color="auto"/>
            </w:tcBorders>
          </w:tcPr>
          <w:p>
            <w:pPr>
              <w:spacing w:after="0"/>
              <w:rPr>
                <w:sz w:val="11"/>
                <w:szCs w:val="11"/>
                <w:color w:val="auto"/>
              </w:rPr>
            </w:pPr>
          </w:p>
        </w:tc>
      </w:tr>
      <w:tr>
        <w:trPr>
          <w:trHeight w:val="221"/>
        </w:trPr>
        <w:tc>
          <w:tcPr>
            <w:tcW w:w="1580" w:type="dxa"/>
            <w:vAlign w:val="bottom"/>
            <w:tcBorders>
              <w:left w:val="single" w:sz="8" w:color="auto"/>
              <w:right w:val="single" w:sz="8" w:color="auto"/>
            </w:tcBorders>
            <w:gridSpan w:val="3"/>
          </w:tcPr>
          <w:p>
            <w:pPr>
              <w:ind w:left="100"/>
              <w:spacing w:after="0" w:line="221" w:lineRule="exact"/>
              <w:rPr>
                <w:sz w:val="20"/>
                <w:szCs w:val="20"/>
                <w:color w:val="auto"/>
              </w:rPr>
            </w:pPr>
            <w:r>
              <w:rPr>
                <w:rFonts w:ascii="Times New Roman" w:cs="Times New Roman" w:eastAsia="Times New Roman" w:hAnsi="Times New Roman"/>
                <w:sz w:val="20"/>
                <w:szCs w:val="20"/>
                <w:color w:val="222222"/>
              </w:rPr>
              <w:t>Muskuloskeletal</w:t>
            </w:r>
          </w:p>
        </w:tc>
        <w:tc>
          <w:tcPr>
            <w:tcW w:w="1840" w:type="dxa"/>
            <w:vAlign w:val="bottom"/>
            <w:tcBorders>
              <w:right w:val="single" w:sz="8" w:color="auto"/>
            </w:tcBorders>
          </w:tcPr>
          <w:p>
            <w:pPr>
              <w:ind w:left="80"/>
              <w:spacing w:after="0" w:line="221" w:lineRule="exact"/>
              <w:rPr>
                <w:sz w:val="20"/>
                <w:szCs w:val="20"/>
                <w:color w:val="auto"/>
              </w:rPr>
            </w:pPr>
            <w:r>
              <w:rPr>
                <w:rFonts w:ascii="Times New Roman" w:cs="Times New Roman" w:eastAsia="Times New Roman" w:hAnsi="Times New Roman"/>
                <w:sz w:val="20"/>
                <w:szCs w:val="20"/>
                <w:color w:val="222222"/>
              </w:rPr>
              <w:t>19(değerlendirilen)</w:t>
            </w:r>
          </w:p>
        </w:tc>
        <w:tc>
          <w:tcPr>
            <w:tcW w:w="1560" w:type="dxa"/>
            <w:vAlign w:val="bottom"/>
            <w:tcBorders>
              <w:right w:val="single" w:sz="8" w:color="auto"/>
            </w:tcBorders>
          </w:tcPr>
          <w:p>
            <w:pPr>
              <w:ind w:left="80"/>
              <w:spacing w:after="0" w:line="221" w:lineRule="exact"/>
              <w:rPr>
                <w:sz w:val="20"/>
                <w:szCs w:val="20"/>
                <w:color w:val="auto"/>
              </w:rPr>
            </w:pPr>
            <w:r>
              <w:rPr>
                <w:rFonts w:ascii="Times New Roman" w:cs="Times New Roman" w:eastAsia="Times New Roman" w:hAnsi="Times New Roman"/>
                <w:sz w:val="20"/>
                <w:szCs w:val="20"/>
                <w:color w:val="222222"/>
              </w:rPr>
              <w:t>11</w:t>
            </w:r>
          </w:p>
        </w:tc>
        <w:tc>
          <w:tcPr>
            <w:tcW w:w="1260" w:type="dxa"/>
            <w:vAlign w:val="bottom"/>
            <w:tcBorders>
              <w:right w:val="single" w:sz="8" w:color="auto"/>
            </w:tcBorders>
          </w:tcPr>
          <w:p>
            <w:pPr>
              <w:ind w:left="80"/>
              <w:spacing w:after="0" w:line="221" w:lineRule="exact"/>
              <w:rPr>
                <w:sz w:val="20"/>
                <w:szCs w:val="20"/>
                <w:color w:val="auto"/>
              </w:rPr>
            </w:pPr>
            <w:r>
              <w:rPr>
                <w:rFonts w:ascii="Times New Roman" w:cs="Times New Roman" w:eastAsia="Times New Roman" w:hAnsi="Times New Roman"/>
                <w:sz w:val="20"/>
                <w:szCs w:val="20"/>
                <w:color w:val="222222"/>
              </w:rPr>
              <w:t>1</w:t>
            </w:r>
          </w:p>
        </w:tc>
        <w:tc>
          <w:tcPr>
            <w:tcW w:w="1580" w:type="dxa"/>
            <w:vAlign w:val="bottom"/>
            <w:tcBorders>
              <w:right w:val="single" w:sz="8" w:color="auto"/>
            </w:tcBorders>
          </w:tcPr>
          <w:p>
            <w:pPr>
              <w:ind w:left="100"/>
              <w:spacing w:after="0" w:line="221" w:lineRule="exact"/>
              <w:rPr>
                <w:sz w:val="20"/>
                <w:szCs w:val="20"/>
                <w:color w:val="auto"/>
              </w:rPr>
            </w:pPr>
            <w:r>
              <w:rPr>
                <w:rFonts w:ascii="Times New Roman" w:cs="Times New Roman" w:eastAsia="Times New Roman" w:hAnsi="Times New Roman"/>
                <w:sz w:val="20"/>
                <w:szCs w:val="20"/>
                <w:color w:val="222222"/>
              </w:rPr>
              <w:t>10</w:t>
            </w:r>
          </w:p>
        </w:tc>
        <w:tc>
          <w:tcPr>
            <w:tcW w:w="1120" w:type="dxa"/>
            <w:vAlign w:val="bottom"/>
            <w:tcBorders>
              <w:right w:val="single" w:sz="8" w:color="auto"/>
            </w:tcBorders>
          </w:tcPr>
          <w:p>
            <w:pPr>
              <w:ind w:left="80"/>
              <w:spacing w:after="0" w:line="221" w:lineRule="exact"/>
              <w:rPr>
                <w:sz w:val="20"/>
                <w:szCs w:val="20"/>
                <w:color w:val="auto"/>
              </w:rPr>
            </w:pPr>
            <w:r>
              <w:rPr>
                <w:rFonts w:ascii="Times New Roman" w:cs="Times New Roman" w:eastAsia="Times New Roman" w:hAnsi="Times New Roman"/>
                <w:sz w:val="20"/>
                <w:szCs w:val="20"/>
                <w:color w:val="222222"/>
              </w:rPr>
              <w:t>1</w:t>
            </w:r>
          </w:p>
        </w:tc>
      </w:tr>
      <w:tr>
        <w:trPr>
          <w:trHeight w:val="344"/>
        </w:trPr>
        <w:tc>
          <w:tcPr>
            <w:tcW w:w="1580" w:type="dxa"/>
            <w:vAlign w:val="bottom"/>
            <w:tcBorders>
              <w:left w:val="single" w:sz="8" w:color="auto"/>
              <w:right w:val="single" w:sz="8" w:color="auto"/>
            </w:tcBorders>
            <w:gridSpan w:val="3"/>
          </w:tcPr>
          <w:p>
            <w:pPr>
              <w:ind w:left="100"/>
              <w:spacing w:after="0"/>
              <w:rPr>
                <w:sz w:val="20"/>
                <w:szCs w:val="20"/>
                <w:color w:val="auto"/>
              </w:rPr>
            </w:pPr>
            <w:r>
              <w:rPr>
                <w:rFonts w:ascii="Times New Roman" w:cs="Times New Roman" w:eastAsia="Times New Roman" w:hAnsi="Times New Roman"/>
                <w:sz w:val="20"/>
                <w:szCs w:val="20"/>
                <w:color w:val="222222"/>
              </w:rPr>
              <w:t>sistem semptom</w:t>
            </w:r>
          </w:p>
        </w:tc>
        <w:tc>
          <w:tcPr>
            <w:tcW w:w="18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15(%78,9)</w:t>
            </w:r>
          </w:p>
        </w:tc>
        <w:tc>
          <w:tcPr>
            <w:tcW w:w="15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9(%81,8)</w:t>
            </w:r>
          </w:p>
        </w:tc>
        <w:tc>
          <w:tcPr>
            <w:tcW w:w="12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w:t>
            </w:r>
          </w:p>
        </w:tc>
        <w:tc>
          <w:tcPr>
            <w:tcW w:w="15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222222"/>
              </w:rPr>
              <w:t>5(%50)</w:t>
            </w:r>
          </w:p>
        </w:tc>
        <w:tc>
          <w:tcPr>
            <w:tcW w:w="11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1(%100)</w:t>
            </w:r>
          </w:p>
        </w:tc>
      </w:tr>
      <w:tr>
        <w:trPr>
          <w:trHeight w:val="346"/>
        </w:trPr>
        <w:tc>
          <w:tcPr>
            <w:tcW w:w="1180" w:type="dxa"/>
            <w:vAlign w:val="bottom"/>
            <w:tcBorders>
              <w:left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222222"/>
              </w:rPr>
              <w:t>ve bulguları</w:t>
            </w:r>
            <w:r>
              <w:rPr>
                <w:rFonts w:ascii="Times New Roman" w:cs="Times New Roman" w:eastAsia="Times New Roman" w:hAnsi="Times New Roman"/>
                <w:sz w:val="20"/>
                <w:szCs w:val="20"/>
                <w:color w:val="000000"/>
              </w:rPr>
              <w:t>¹</w:t>
            </w:r>
          </w:p>
        </w:tc>
        <w:tc>
          <w:tcPr>
            <w:tcW w:w="4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r>
      <w:tr>
        <w:trPr>
          <w:trHeight w:val="116"/>
        </w:trPr>
        <w:tc>
          <w:tcPr>
            <w:tcW w:w="1580" w:type="dxa"/>
            <w:vAlign w:val="bottom"/>
            <w:tcBorders>
              <w:left w:val="single" w:sz="8" w:color="auto"/>
              <w:bottom w:val="single" w:sz="8" w:color="auto"/>
              <w:right w:val="single" w:sz="8" w:color="auto"/>
            </w:tcBorders>
            <w:gridSpan w:val="3"/>
          </w:tcPr>
          <w:p>
            <w:pPr>
              <w:spacing w:after="0"/>
              <w:rPr>
                <w:sz w:val="10"/>
                <w:szCs w:val="10"/>
                <w:color w:val="auto"/>
              </w:rPr>
            </w:pPr>
          </w:p>
        </w:tc>
        <w:tc>
          <w:tcPr>
            <w:tcW w:w="1840" w:type="dxa"/>
            <w:vAlign w:val="bottom"/>
            <w:tcBorders>
              <w:bottom w:val="single" w:sz="8" w:color="auto"/>
              <w:right w:val="single" w:sz="8" w:color="auto"/>
            </w:tcBorders>
          </w:tcPr>
          <w:p>
            <w:pPr>
              <w:spacing w:after="0"/>
              <w:rPr>
                <w:sz w:val="10"/>
                <w:szCs w:val="10"/>
                <w:color w:val="auto"/>
              </w:rPr>
            </w:pPr>
          </w:p>
        </w:tc>
        <w:tc>
          <w:tcPr>
            <w:tcW w:w="1560" w:type="dxa"/>
            <w:vAlign w:val="bottom"/>
            <w:tcBorders>
              <w:bottom w:val="single" w:sz="8" w:color="auto"/>
              <w:right w:val="single" w:sz="8" w:color="auto"/>
            </w:tcBorders>
          </w:tcPr>
          <w:p>
            <w:pPr>
              <w:spacing w:after="0"/>
              <w:rPr>
                <w:sz w:val="10"/>
                <w:szCs w:val="10"/>
                <w:color w:val="auto"/>
              </w:rPr>
            </w:pPr>
          </w:p>
        </w:tc>
        <w:tc>
          <w:tcPr>
            <w:tcW w:w="1260" w:type="dxa"/>
            <w:vAlign w:val="bottom"/>
            <w:tcBorders>
              <w:bottom w:val="single" w:sz="8" w:color="auto"/>
              <w:right w:val="single" w:sz="8" w:color="auto"/>
            </w:tcBorders>
          </w:tcPr>
          <w:p>
            <w:pPr>
              <w:spacing w:after="0"/>
              <w:rPr>
                <w:sz w:val="10"/>
                <w:szCs w:val="10"/>
                <w:color w:val="auto"/>
              </w:rPr>
            </w:pPr>
          </w:p>
        </w:tc>
        <w:tc>
          <w:tcPr>
            <w:tcW w:w="1580" w:type="dxa"/>
            <w:vAlign w:val="bottom"/>
            <w:tcBorders>
              <w:bottom w:val="single" w:sz="8" w:color="auto"/>
              <w:right w:val="single" w:sz="8" w:color="auto"/>
            </w:tcBorders>
          </w:tcPr>
          <w:p>
            <w:pPr>
              <w:spacing w:after="0"/>
              <w:rPr>
                <w:sz w:val="10"/>
                <w:szCs w:val="10"/>
                <w:color w:val="auto"/>
              </w:rPr>
            </w:pPr>
          </w:p>
        </w:tc>
        <w:tc>
          <w:tcPr>
            <w:tcW w:w="1120" w:type="dxa"/>
            <w:vAlign w:val="bottom"/>
            <w:tcBorders>
              <w:bottom w:val="single" w:sz="8" w:color="auto"/>
              <w:right w:val="single" w:sz="8" w:color="auto"/>
            </w:tcBorders>
          </w:tcPr>
          <w:p>
            <w:pPr>
              <w:spacing w:after="0"/>
              <w:rPr>
                <w:sz w:val="10"/>
                <w:szCs w:val="10"/>
                <w:color w:val="auto"/>
              </w:rPr>
            </w:pPr>
          </w:p>
        </w:tc>
      </w:tr>
      <w:tr>
        <w:trPr>
          <w:trHeight w:val="219"/>
        </w:trPr>
        <w:tc>
          <w:tcPr>
            <w:tcW w:w="1580" w:type="dxa"/>
            <w:vAlign w:val="bottom"/>
            <w:tcBorders>
              <w:left w:val="single" w:sz="8" w:color="auto"/>
              <w:right w:val="single" w:sz="8" w:color="auto"/>
            </w:tcBorders>
            <w:gridSpan w:val="3"/>
          </w:tcPr>
          <w:p>
            <w:pPr>
              <w:ind w:left="100"/>
              <w:spacing w:after="0" w:line="219" w:lineRule="exact"/>
              <w:rPr>
                <w:sz w:val="20"/>
                <w:szCs w:val="20"/>
                <w:color w:val="auto"/>
              </w:rPr>
            </w:pPr>
            <w:r>
              <w:rPr>
                <w:rFonts w:ascii="Times New Roman" w:cs="Times New Roman" w:eastAsia="Times New Roman" w:hAnsi="Times New Roman"/>
                <w:sz w:val="20"/>
                <w:szCs w:val="20"/>
                <w:color w:val="222222"/>
              </w:rPr>
              <w:t>Kardiyovasküler</w:t>
            </w:r>
          </w:p>
        </w:tc>
        <w:tc>
          <w:tcPr>
            <w:tcW w:w="184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26(değerlendirilen)</w:t>
            </w:r>
          </w:p>
        </w:tc>
        <w:tc>
          <w:tcPr>
            <w:tcW w:w="156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13</w:t>
            </w:r>
          </w:p>
        </w:tc>
        <w:tc>
          <w:tcPr>
            <w:tcW w:w="126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1</w:t>
            </w:r>
          </w:p>
        </w:tc>
        <w:tc>
          <w:tcPr>
            <w:tcW w:w="1580" w:type="dxa"/>
            <w:vAlign w:val="bottom"/>
            <w:tcBorders>
              <w:right w:val="single" w:sz="8" w:color="auto"/>
            </w:tcBorders>
          </w:tcPr>
          <w:p>
            <w:pPr>
              <w:ind w:left="100"/>
              <w:spacing w:after="0" w:line="219" w:lineRule="exact"/>
              <w:rPr>
                <w:sz w:val="20"/>
                <w:szCs w:val="20"/>
                <w:color w:val="auto"/>
              </w:rPr>
            </w:pPr>
            <w:r>
              <w:rPr>
                <w:rFonts w:ascii="Times New Roman" w:cs="Times New Roman" w:eastAsia="Times New Roman" w:hAnsi="Times New Roman"/>
                <w:sz w:val="20"/>
                <w:szCs w:val="20"/>
                <w:color w:val="222222"/>
              </w:rPr>
              <w:t>8</w:t>
            </w:r>
          </w:p>
        </w:tc>
        <w:tc>
          <w:tcPr>
            <w:tcW w:w="112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4</w:t>
            </w:r>
          </w:p>
        </w:tc>
      </w:tr>
      <w:tr>
        <w:trPr>
          <w:trHeight w:val="346"/>
        </w:trPr>
        <w:tc>
          <w:tcPr>
            <w:tcW w:w="1180" w:type="dxa"/>
            <w:vAlign w:val="bottom"/>
            <w:tcBorders>
              <w:left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222222"/>
              </w:rPr>
              <w:t>semptom</w:t>
            </w:r>
          </w:p>
        </w:tc>
        <w:tc>
          <w:tcPr>
            <w:tcW w:w="400" w:type="dxa"/>
            <w:vAlign w:val="bottom"/>
            <w:tcBorders>
              <w:right w:val="single" w:sz="8" w:color="auto"/>
            </w:tcBorders>
          </w:tcPr>
          <w:p>
            <w:pPr>
              <w:jc w:val="right"/>
              <w:ind w:right="35"/>
              <w:spacing w:after="0"/>
              <w:rPr>
                <w:sz w:val="20"/>
                <w:szCs w:val="20"/>
                <w:color w:val="auto"/>
              </w:rPr>
            </w:pPr>
            <w:r>
              <w:rPr>
                <w:rFonts w:ascii="Times New Roman" w:cs="Times New Roman" w:eastAsia="Times New Roman" w:hAnsi="Times New Roman"/>
                <w:sz w:val="20"/>
                <w:szCs w:val="20"/>
                <w:color w:val="222222"/>
              </w:rPr>
              <w:t>ve</w:t>
            </w:r>
          </w:p>
        </w:tc>
        <w:tc>
          <w:tcPr>
            <w:tcW w:w="18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5(%19,2)</w:t>
            </w:r>
          </w:p>
        </w:tc>
        <w:tc>
          <w:tcPr>
            <w:tcW w:w="15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2(%15,4)</w:t>
            </w:r>
          </w:p>
        </w:tc>
        <w:tc>
          <w:tcPr>
            <w:tcW w:w="12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w:t>
            </w:r>
          </w:p>
        </w:tc>
        <w:tc>
          <w:tcPr>
            <w:tcW w:w="15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222222"/>
              </w:rPr>
              <w:t>3(%37,5)</w:t>
            </w:r>
          </w:p>
        </w:tc>
        <w:tc>
          <w:tcPr>
            <w:tcW w:w="11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w:t>
            </w:r>
          </w:p>
        </w:tc>
      </w:tr>
      <w:tr>
        <w:trPr>
          <w:trHeight w:val="413"/>
        </w:trPr>
        <w:tc>
          <w:tcPr>
            <w:tcW w:w="1180" w:type="dxa"/>
            <w:vAlign w:val="bottom"/>
            <w:tcBorders>
              <w:left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222222"/>
              </w:rPr>
              <w:t>bulgular</w:t>
            </w:r>
            <w:r>
              <w:rPr>
                <w:rFonts w:ascii="Times New Roman" w:cs="Times New Roman" w:eastAsia="Times New Roman" w:hAnsi="Times New Roman"/>
                <w:sz w:val="25"/>
                <w:szCs w:val="25"/>
                <w:color w:val="000000"/>
              </w:rPr>
              <w:t>²</w:t>
            </w:r>
          </w:p>
        </w:tc>
        <w:tc>
          <w:tcPr>
            <w:tcW w:w="4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r>
      <w:tr>
        <w:trPr>
          <w:trHeight w:val="150"/>
        </w:trPr>
        <w:tc>
          <w:tcPr>
            <w:tcW w:w="1180" w:type="dxa"/>
            <w:vAlign w:val="bottom"/>
            <w:tcBorders>
              <w:left w:val="single" w:sz="8" w:color="auto"/>
              <w:bottom w:val="single" w:sz="8" w:color="auto"/>
            </w:tcBorders>
            <w:gridSpan w:val="2"/>
          </w:tcPr>
          <w:p>
            <w:pPr>
              <w:spacing w:after="0"/>
              <w:rPr>
                <w:sz w:val="13"/>
                <w:szCs w:val="13"/>
                <w:color w:val="auto"/>
              </w:rPr>
            </w:pPr>
          </w:p>
        </w:tc>
        <w:tc>
          <w:tcPr>
            <w:tcW w:w="400" w:type="dxa"/>
            <w:vAlign w:val="bottom"/>
            <w:tcBorders>
              <w:bottom w:val="single" w:sz="8" w:color="auto"/>
              <w:right w:val="single" w:sz="8" w:color="auto"/>
            </w:tcBorders>
          </w:tcPr>
          <w:p>
            <w:pPr>
              <w:spacing w:after="0"/>
              <w:rPr>
                <w:sz w:val="13"/>
                <w:szCs w:val="13"/>
                <w:color w:val="auto"/>
              </w:rPr>
            </w:pPr>
          </w:p>
        </w:tc>
        <w:tc>
          <w:tcPr>
            <w:tcW w:w="1840" w:type="dxa"/>
            <w:vAlign w:val="bottom"/>
            <w:tcBorders>
              <w:bottom w:val="single" w:sz="8" w:color="auto"/>
              <w:right w:val="single" w:sz="8" w:color="auto"/>
            </w:tcBorders>
          </w:tcPr>
          <w:p>
            <w:pPr>
              <w:spacing w:after="0"/>
              <w:rPr>
                <w:sz w:val="13"/>
                <w:szCs w:val="13"/>
                <w:color w:val="auto"/>
              </w:rPr>
            </w:pPr>
          </w:p>
        </w:tc>
        <w:tc>
          <w:tcPr>
            <w:tcW w:w="1560" w:type="dxa"/>
            <w:vAlign w:val="bottom"/>
            <w:tcBorders>
              <w:bottom w:val="single" w:sz="8" w:color="auto"/>
              <w:right w:val="single" w:sz="8" w:color="auto"/>
            </w:tcBorders>
          </w:tcPr>
          <w:p>
            <w:pPr>
              <w:spacing w:after="0"/>
              <w:rPr>
                <w:sz w:val="13"/>
                <w:szCs w:val="13"/>
                <w:color w:val="auto"/>
              </w:rPr>
            </w:pPr>
          </w:p>
        </w:tc>
        <w:tc>
          <w:tcPr>
            <w:tcW w:w="1260" w:type="dxa"/>
            <w:vAlign w:val="bottom"/>
            <w:tcBorders>
              <w:bottom w:val="single" w:sz="8" w:color="auto"/>
              <w:right w:val="single" w:sz="8" w:color="auto"/>
            </w:tcBorders>
          </w:tcPr>
          <w:p>
            <w:pPr>
              <w:spacing w:after="0"/>
              <w:rPr>
                <w:sz w:val="13"/>
                <w:szCs w:val="13"/>
                <w:color w:val="auto"/>
              </w:rPr>
            </w:pPr>
          </w:p>
        </w:tc>
        <w:tc>
          <w:tcPr>
            <w:tcW w:w="1580" w:type="dxa"/>
            <w:vAlign w:val="bottom"/>
            <w:tcBorders>
              <w:bottom w:val="single" w:sz="8" w:color="auto"/>
              <w:right w:val="single" w:sz="8" w:color="auto"/>
            </w:tcBorders>
          </w:tcPr>
          <w:p>
            <w:pPr>
              <w:spacing w:after="0"/>
              <w:rPr>
                <w:sz w:val="13"/>
                <w:szCs w:val="13"/>
                <w:color w:val="auto"/>
              </w:rPr>
            </w:pPr>
          </w:p>
        </w:tc>
        <w:tc>
          <w:tcPr>
            <w:tcW w:w="1120" w:type="dxa"/>
            <w:vAlign w:val="bottom"/>
            <w:tcBorders>
              <w:bottom w:val="single" w:sz="8" w:color="auto"/>
              <w:right w:val="single" w:sz="8" w:color="auto"/>
            </w:tcBorders>
          </w:tcPr>
          <w:p>
            <w:pPr>
              <w:spacing w:after="0"/>
              <w:rPr>
                <w:sz w:val="13"/>
                <w:szCs w:val="13"/>
                <w:color w:val="auto"/>
              </w:rPr>
            </w:pPr>
          </w:p>
        </w:tc>
      </w:tr>
      <w:tr>
        <w:trPr>
          <w:trHeight w:val="242"/>
        </w:trPr>
        <w:tc>
          <w:tcPr>
            <w:tcW w:w="1180" w:type="dxa"/>
            <w:vAlign w:val="bottom"/>
            <w:tcBorders>
              <w:left w:val="single" w:sz="8" w:color="auto"/>
            </w:tcBorders>
            <w:gridSpan w:val="2"/>
          </w:tcPr>
          <w:p>
            <w:pPr>
              <w:ind w:left="100"/>
              <w:spacing w:after="0" w:line="242" w:lineRule="exact"/>
              <w:rPr>
                <w:sz w:val="20"/>
                <w:szCs w:val="20"/>
                <w:color w:val="auto"/>
              </w:rPr>
            </w:pPr>
            <w:r>
              <w:rPr>
                <w:rFonts w:ascii="Times New Roman" w:cs="Times New Roman" w:eastAsia="Times New Roman" w:hAnsi="Times New Roman"/>
                <w:sz w:val="22"/>
                <w:szCs w:val="22"/>
                <w:color w:val="222222"/>
              </w:rPr>
              <w:t>Anafilaksi</w:t>
            </w:r>
          </w:p>
        </w:tc>
        <w:tc>
          <w:tcPr>
            <w:tcW w:w="400" w:type="dxa"/>
            <w:vAlign w:val="bottom"/>
            <w:tcBorders>
              <w:right w:val="single" w:sz="8" w:color="auto"/>
            </w:tcBorders>
          </w:tcPr>
          <w:p>
            <w:pPr>
              <w:spacing w:after="0"/>
              <w:rPr>
                <w:sz w:val="21"/>
                <w:szCs w:val="21"/>
                <w:color w:val="auto"/>
              </w:rPr>
            </w:pPr>
          </w:p>
        </w:tc>
        <w:tc>
          <w:tcPr>
            <w:tcW w:w="184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25(değerlendirilen)</w:t>
            </w:r>
          </w:p>
        </w:tc>
        <w:tc>
          <w:tcPr>
            <w:tcW w:w="156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12</w:t>
            </w:r>
          </w:p>
        </w:tc>
        <w:tc>
          <w:tcPr>
            <w:tcW w:w="126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1</w:t>
            </w:r>
          </w:p>
        </w:tc>
        <w:tc>
          <w:tcPr>
            <w:tcW w:w="1580" w:type="dxa"/>
            <w:vAlign w:val="bottom"/>
            <w:tcBorders>
              <w:right w:val="single" w:sz="8" w:color="auto"/>
            </w:tcBorders>
          </w:tcPr>
          <w:p>
            <w:pPr>
              <w:ind w:left="100"/>
              <w:spacing w:after="0" w:line="219" w:lineRule="exact"/>
              <w:rPr>
                <w:sz w:val="20"/>
                <w:szCs w:val="20"/>
                <w:color w:val="auto"/>
              </w:rPr>
            </w:pPr>
            <w:r>
              <w:rPr>
                <w:rFonts w:ascii="Times New Roman" w:cs="Times New Roman" w:eastAsia="Times New Roman" w:hAnsi="Times New Roman"/>
                <w:sz w:val="20"/>
                <w:szCs w:val="20"/>
                <w:color w:val="222222"/>
              </w:rPr>
              <w:t>8</w:t>
            </w:r>
          </w:p>
        </w:tc>
        <w:tc>
          <w:tcPr>
            <w:tcW w:w="112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4</w:t>
            </w:r>
          </w:p>
        </w:tc>
      </w:tr>
      <w:tr>
        <w:trPr>
          <w:trHeight w:val="428"/>
        </w:trPr>
        <w:tc>
          <w:tcPr>
            <w:tcW w:w="1180" w:type="dxa"/>
            <w:vAlign w:val="bottom"/>
            <w:tcBorders>
              <w:left w:val="single" w:sz="8" w:color="auto"/>
            </w:tcBorders>
            <w:gridSpan w:val="2"/>
          </w:tcPr>
          <w:p>
            <w:pPr>
              <w:ind w:left="100"/>
              <w:spacing w:after="0"/>
              <w:rPr>
                <w:sz w:val="20"/>
                <w:szCs w:val="20"/>
                <w:color w:val="auto"/>
              </w:rPr>
            </w:pPr>
            <w:r>
              <w:rPr>
                <w:rFonts w:ascii="Times New Roman" w:cs="Times New Roman" w:eastAsia="Times New Roman" w:hAnsi="Times New Roman"/>
                <w:sz w:val="22"/>
                <w:szCs w:val="22"/>
                <w:color w:val="222222"/>
              </w:rPr>
              <w:t>öyküsü</w:t>
            </w:r>
            <w:r>
              <w:rPr>
                <w:rFonts w:ascii="Times New Roman" w:cs="Times New Roman" w:eastAsia="Times New Roman" w:hAnsi="Times New Roman"/>
                <w:sz w:val="25"/>
                <w:szCs w:val="25"/>
                <w:color w:val="000000"/>
              </w:rPr>
              <w:t>³</w:t>
            </w:r>
          </w:p>
        </w:tc>
        <w:tc>
          <w:tcPr>
            <w:tcW w:w="4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9(%36)</w:t>
            </w:r>
          </w:p>
        </w:tc>
        <w:tc>
          <w:tcPr>
            <w:tcW w:w="15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3(%25)</w:t>
            </w:r>
          </w:p>
        </w:tc>
        <w:tc>
          <w:tcPr>
            <w:tcW w:w="12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1(%100)</w:t>
            </w:r>
          </w:p>
        </w:tc>
        <w:tc>
          <w:tcPr>
            <w:tcW w:w="15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222222"/>
              </w:rPr>
              <w:t>5(%62,5)</w:t>
            </w:r>
          </w:p>
        </w:tc>
        <w:tc>
          <w:tcPr>
            <w:tcW w:w="11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w:t>
            </w:r>
          </w:p>
        </w:tc>
      </w:tr>
      <w:tr>
        <w:trPr>
          <w:trHeight w:val="148"/>
        </w:trPr>
        <w:tc>
          <w:tcPr>
            <w:tcW w:w="560" w:type="dxa"/>
            <w:vAlign w:val="bottom"/>
            <w:tcBorders>
              <w:left w:val="single" w:sz="8" w:color="auto"/>
              <w:bottom w:val="single" w:sz="8" w:color="auto"/>
            </w:tcBorders>
          </w:tcPr>
          <w:p>
            <w:pPr>
              <w:spacing w:after="0"/>
              <w:rPr>
                <w:sz w:val="12"/>
                <w:szCs w:val="12"/>
                <w:color w:val="auto"/>
              </w:rPr>
            </w:pPr>
          </w:p>
        </w:tc>
        <w:tc>
          <w:tcPr>
            <w:tcW w:w="1020" w:type="dxa"/>
            <w:vAlign w:val="bottom"/>
            <w:tcBorders>
              <w:bottom w:val="single" w:sz="8" w:color="auto"/>
              <w:right w:val="single" w:sz="8" w:color="auto"/>
            </w:tcBorders>
            <w:gridSpan w:val="2"/>
          </w:tcPr>
          <w:p>
            <w:pPr>
              <w:spacing w:after="0"/>
              <w:rPr>
                <w:sz w:val="12"/>
                <w:szCs w:val="12"/>
                <w:color w:val="auto"/>
              </w:rPr>
            </w:pPr>
          </w:p>
        </w:tc>
        <w:tc>
          <w:tcPr>
            <w:tcW w:w="1840" w:type="dxa"/>
            <w:vAlign w:val="bottom"/>
            <w:tcBorders>
              <w:bottom w:val="single" w:sz="8" w:color="auto"/>
              <w:right w:val="single" w:sz="8" w:color="auto"/>
            </w:tcBorders>
          </w:tcPr>
          <w:p>
            <w:pPr>
              <w:spacing w:after="0"/>
              <w:rPr>
                <w:sz w:val="12"/>
                <w:szCs w:val="12"/>
                <w:color w:val="auto"/>
              </w:rPr>
            </w:pPr>
          </w:p>
        </w:tc>
        <w:tc>
          <w:tcPr>
            <w:tcW w:w="1560" w:type="dxa"/>
            <w:vAlign w:val="bottom"/>
            <w:tcBorders>
              <w:bottom w:val="single" w:sz="8" w:color="auto"/>
              <w:right w:val="single" w:sz="8" w:color="auto"/>
            </w:tcBorders>
          </w:tcPr>
          <w:p>
            <w:pPr>
              <w:spacing w:after="0"/>
              <w:rPr>
                <w:sz w:val="12"/>
                <w:szCs w:val="12"/>
                <w:color w:val="auto"/>
              </w:rPr>
            </w:pPr>
          </w:p>
        </w:tc>
        <w:tc>
          <w:tcPr>
            <w:tcW w:w="1260" w:type="dxa"/>
            <w:vAlign w:val="bottom"/>
            <w:tcBorders>
              <w:bottom w:val="single" w:sz="8" w:color="auto"/>
              <w:right w:val="single" w:sz="8" w:color="auto"/>
            </w:tcBorders>
          </w:tcPr>
          <w:p>
            <w:pPr>
              <w:spacing w:after="0"/>
              <w:rPr>
                <w:sz w:val="12"/>
                <w:szCs w:val="12"/>
                <w:color w:val="auto"/>
              </w:rPr>
            </w:pPr>
          </w:p>
        </w:tc>
        <w:tc>
          <w:tcPr>
            <w:tcW w:w="1580" w:type="dxa"/>
            <w:vAlign w:val="bottom"/>
            <w:tcBorders>
              <w:bottom w:val="single" w:sz="8" w:color="auto"/>
              <w:right w:val="single" w:sz="8" w:color="auto"/>
            </w:tcBorders>
          </w:tcPr>
          <w:p>
            <w:pPr>
              <w:spacing w:after="0"/>
              <w:rPr>
                <w:sz w:val="12"/>
                <w:szCs w:val="12"/>
                <w:color w:val="auto"/>
              </w:rPr>
            </w:pPr>
          </w:p>
        </w:tc>
        <w:tc>
          <w:tcPr>
            <w:tcW w:w="1120" w:type="dxa"/>
            <w:vAlign w:val="bottom"/>
            <w:tcBorders>
              <w:bottom w:val="single" w:sz="8" w:color="auto"/>
              <w:right w:val="single" w:sz="8" w:color="auto"/>
            </w:tcBorders>
          </w:tcPr>
          <w:p>
            <w:pPr>
              <w:spacing w:after="0"/>
              <w:rPr>
                <w:sz w:val="12"/>
                <w:szCs w:val="12"/>
                <w:color w:val="auto"/>
              </w:rPr>
            </w:pPr>
          </w:p>
        </w:tc>
      </w:tr>
      <w:tr>
        <w:trPr>
          <w:trHeight w:val="244"/>
        </w:trPr>
        <w:tc>
          <w:tcPr>
            <w:tcW w:w="560" w:type="dxa"/>
            <w:vAlign w:val="bottom"/>
            <w:tcBorders>
              <w:left w:val="single" w:sz="8" w:color="auto"/>
            </w:tcBorders>
          </w:tcPr>
          <w:p>
            <w:pPr>
              <w:ind w:left="100"/>
              <w:spacing w:after="0" w:line="244" w:lineRule="exact"/>
              <w:rPr>
                <w:sz w:val="20"/>
                <w:szCs w:val="20"/>
                <w:color w:val="auto"/>
              </w:rPr>
            </w:pPr>
            <w:r>
              <w:rPr>
                <w:rFonts w:ascii="Times New Roman" w:cs="Times New Roman" w:eastAsia="Times New Roman" w:hAnsi="Times New Roman"/>
                <w:sz w:val="22"/>
                <w:szCs w:val="22"/>
                <w:color w:val="222222"/>
              </w:rPr>
              <w:t>GİS</w:t>
            </w:r>
          </w:p>
        </w:tc>
        <w:tc>
          <w:tcPr>
            <w:tcW w:w="1020" w:type="dxa"/>
            <w:vAlign w:val="bottom"/>
            <w:tcBorders>
              <w:right w:val="single" w:sz="8" w:color="auto"/>
            </w:tcBorders>
            <w:gridSpan w:val="2"/>
          </w:tcPr>
          <w:p>
            <w:pPr>
              <w:jc w:val="right"/>
              <w:ind w:right="35"/>
              <w:spacing w:after="0" w:line="244" w:lineRule="exact"/>
              <w:rPr>
                <w:sz w:val="20"/>
                <w:szCs w:val="20"/>
                <w:color w:val="auto"/>
              </w:rPr>
            </w:pPr>
            <w:r>
              <w:rPr>
                <w:rFonts w:ascii="Times New Roman" w:cs="Times New Roman" w:eastAsia="Times New Roman" w:hAnsi="Times New Roman"/>
                <w:sz w:val="22"/>
                <w:szCs w:val="22"/>
                <w:color w:val="222222"/>
              </w:rPr>
              <w:t>semptom</w:t>
            </w:r>
          </w:p>
        </w:tc>
        <w:tc>
          <w:tcPr>
            <w:tcW w:w="1840" w:type="dxa"/>
            <w:vAlign w:val="bottom"/>
            <w:tcBorders>
              <w:right w:val="single" w:sz="8" w:color="auto"/>
            </w:tcBorders>
          </w:tcPr>
          <w:p>
            <w:pPr>
              <w:ind w:left="80"/>
              <w:spacing w:after="0" w:line="221" w:lineRule="exact"/>
              <w:rPr>
                <w:sz w:val="20"/>
                <w:szCs w:val="20"/>
                <w:color w:val="auto"/>
              </w:rPr>
            </w:pPr>
            <w:r>
              <w:rPr>
                <w:rFonts w:ascii="Times New Roman" w:cs="Times New Roman" w:eastAsia="Times New Roman" w:hAnsi="Times New Roman"/>
                <w:sz w:val="20"/>
                <w:szCs w:val="20"/>
                <w:color w:val="222222"/>
              </w:rPr>
              <w:t>27(değerlendirilen)</w:t>
            </w:r>
          </w:p>
        </w:tc>
        <w:tc>
          <w:tcPr>
            <w:tcW w:w="1560" w:type="dxa"/>
            <w:vAlign w:val="bottom"/>
            <w:tcBorders>
              <w:right w:val="single" w:sz="8" w:color="auto"/>
            </w:tcBorders>
          </w:tcPr>
          <w:p>
            <w:pPr>
              <w:ind w:left="80"/>
              <w:spacing w:after="0" w:line="221" w:lineRule="exact"/>
              <w:rPr>
                <w:sz w:val="20"/>
                <w:szCs w:val="20"/>
                <w:color w:val="auto"/>
              </w:rPr>
            </w:pPr>
            <w:r>
              <w:rPr>
                <w:rFonts w:ascii="Times New Roman" w:cs="Times New Roman" w:eastAsia="Times New Roman" w:hAnsi="Times New Roman"/>
                <w:sz w:val="20"/>
                <w:szCs w:val="20"/>
                <w:color w:val="222222"/>
              </w:rPr>
              <w:t>13</w:t>
            </w:r>
          </w:p>
        </w:tc>
        <w:tc>
          <w:tcPr>
            <w:tcW w:w="1260" w:type="dxa"/>
            <w:vAlign w:val="bottom"/>
            <w:tcBorders>
              <w:right w:val="single" w:sz="8" w:color="auto"/>
            </w:tcBorders>
          </w:tcPr>
          <w:p>
            <w:pPr>
              <w:ind w:left="80"/>
              <w:spacing w:after="0" w:line="221" w:lineRule="exact"/>
              <w:rPr>
                <w:sz w:val="20"/>
                <w:szCs w:val="20"/>
                <w:color w:val="auto"/>
              </w:rPr>
            </w:pPr>
            <w:r>
              <w:rPr>
                <w:rFonts w:ascii="Times New Roman" w:cs="Times New Roman" w:eastAsia="Times New Roman" w:hAnsi="Times New Roman"/>
                <w:sz w:val="20"/>
                <w:szCs w:val="20"/>
                <w:color w:val="222222"/>
              </w:rPr>
              <w:t>1</w:t>
            </w:r>
          </w:p>
        </w:tc>
        <w:tc>
          <w:tcPr>
            <w:tcW w:w="1580" w:type="dxa"/>
            <w:vAlign w:val="bottom"/>
            <w:tcBorders>
              <w:right w:val="single" w:sz="8" w:color="auto"/>
            </w:tcBorders>
          </w:tcPr>
          <w:p>
            <w:pPr>
              <w:ind w:left="100"/>
              <w:spacing w:after="0" w:line="221" w:lineRule="exact"/>
              <w:rPr>
                <w:sz w:val="20"/>
                <w:szCs w:val="20"/>
                <w:color w:val="auto"/>
              </w:rPr>
            </w:pPr>
            <w:r>
              <w:rPr>
                <w:rFonts w:ascii="Times New Roman" w:cs="Times New Roman" w:eastAsia="Times New Roman" w:hAnsi="Times New Roman"/>
                <w:sz w:val="20"/>
                <w:szCs w:val="20"/>
                <w:color w:val="222222"/>
              </w:rPr>
              <w:t>9</w:t>
            </w:r>
          </w:p>
        </w:tc>
        <w:tc>
          <w:tcPr>
            <w:tcW w:w="1120" w:type="dxa"/>
            <w:vAlign w:val="bottom"/>
            <w:tcBorders>
              <w:right w:val="single" w:sz="8" w:color="auto"/>
            </w:tcBorders>
          </w:tcPr>
          <w:p>
            <w:pPr>
              <w:ind w:left="80"/>
              <w:spacing w:after="0" w:line="221" w:lineRule="exact"/>
              <w:rPr>
                <w:sz w:val="20"/>
                <w:szCs w:val="20"/>
                <w:color w:val="auto"/>
              </w:rPr>
            </w:pPr>
            <w:r>
              <w:rPr>
                <w:rFonts w:ascii="Times New Roman" w:cs="Times New Roman" w:eastAsia="Times New Roman" w:hAnsi="Times New Roman"/>
                <w:sz w:val="20"/>
                <w:szCs w:val="20"/>
                <w:color w:val="222222"/>
              </w:rPr>
              <w:t>4</w:t>
            </w:r>
          </w:p>
        </w:tc>
      </w:tr>
      <w:tr>
        <w:trPr>
          <w:trHeight w:val="426"/>
        </w:trPr>
        <w:tc>
          <w:tcPr>
            <w:tcW w:w="1580" w:type="dxa"/>
            <w:vAlign w:val="bottom"/>
            <w:tcBorders>
              <w:left w:val="single" w:sz="8" w:color="auto"/>
              <w:right w:val="single" w:sz="8" w:color="auto"/>
            </w:tcBorders>
            <w:gridSpan w:val="3"/>
          </w:tcPr>
          <w:p>
            <w:pPr>
              <w:ind w:left="100"/>
              <w:spacing w:after="0" w:line="288" w:lineRule="exact"/>
              <w:rPr>
                <w:sz w:val="20"/>
                <w:szCs w:val="20"/>
                <w:color w:val="auto"/>
              </w:rPr>
            </w:pPr>
            <w:r>
              <w:rPr>
                <w:rFonts w:ascii="Times New Roman" w:cs="Times New Roman" w:eastAsia="Times New Roman" w:hAnsi="Times New Roman"/>
                <w:sz w:val="22"/>
                <w:szCs w:val="22"/>
                <w:color w:val="222222"/>
              </w:rPr>
              <w:t>ve bulguları</w:t>
            </w:r>
            <w:r>
              <w:rPr>
                <w:rFonts w:ascii="MS PGothic" w:cs="MS PGothic" w:eastAsia="MS PGothic" w:hAnsi="MS PGothic"/>
                <w:sz w:val="25"/>
                <w:szCs w:val="25"/>
                <w:color w:val="000000"/>
              </w:rPr>
              <w:t>⁴</w:t>
            </w:r>
          </w:p>
        </w:tc>
        <w:tc>
          <w:tcPr>
            <w:tcW w:w="18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14(%51,9)</w:t>
            </w:r>
          </w:p>
        </w:tc>
        <w:tc>
          <w:tcPr>
            <w:tcW w:w="15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4(%30,8)</w:t>
            </w:r>
          </w:p>
        </w:tc>
        <w:tc>
          <w:tcPr>
            <w:tcW w:w="12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1(%100)</w:t>
            </w:r>
          </w:p>
        </w:tc>
        <w:tc>
          <w:tcPr>
            <w:tcW w:w="15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222222"/>
              </w:rPr>
              <w:t>6(%66,7)</w:t>
            </w:r>
          </w:p>
        </w:tc>
        <w:tc>
          <w:tcPr>
            <w:tcW w:w="11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3(%75)</w:t>
            </w:r>
          </w:p>
        </w:tc>
      </w:tr>
      <w:tr>
        <w:trPr>
          <w:trHeight w:val="150"/>
        </w:trPr>
        <w:tc>
          <w:tcPr>
            <w:tcW w:w="1180" w:type="dxa"/>
            <w:vAlign w:val="bottom"/>
            <w:tcBorders>
              <w:left w:val="single" w:sz="8" w:color="auto"/>
              <w:bottom w:val="single" w:sz="8" w:color="auto"/>
            </w:tcBorders>
            <w:gridSpan w:val="2"/>
          </w:tcPr>
          <w:p>
            <w:pPr>
              <w:spacing w:after="0"/>
              <w:rPr>
                <w:sz w:val="13"/>
                <w:szCs w:val="13"/>
                <w:color w:val="auto"/>
              </w:rPr>
            </w:pPr>
          </w:p>
        </w:tc>
        <w:tc>
          <w:tcPr>
            <w:tcW w:w="400" w:type="dxa"/>
            <w:vAlign w:val="bottom"/>
            <w:tcBorders>
              <w:bottom w:val="single" w:sz="8" w:color="auto"/>
              <w:right w:val="single" w:sz="8" w:color="auto"/>
            </w:tcBorders>
          </w:tcPr>
          <w:p>
            <w:pPr>
              <w:spacing w:after="0"/>
              <w:rPr>
                <w:sz w:val="13"/>
                <w:szCs w:val="13"/>
                <w:color w:val="auto"/>
              </w:rPr>
            </w:pPr>
          </w:p>
        </w:tc>
        <w:tc>
          <w:tcPr>
            <w:tcW w:w="1840" w:type="dxa"/>
            <w:vAlign w:val="bottom"/>
            <w:tcBorders>
              <w:bottom w:val="single" w:sz="8" w:color="auto"/>
              <w:right w:val="single" w:sz="8" w:color="auto"/>
            </w:tcBorders>
          </w:tcPr>
          <w:p>
            <w:pPr>
              <w:spacing w:after="0"/>
              <w:rPr>
                <w:sz w:val="13"/>
                <w:szCs w:val="13"/>
                <w:color w:val="auto"/>
              </w:rPr>
            </w:pPr>
          </w:p>
        </w:tc>
        <w:tc>
          <w:tcPr>
            <w:tcW w:w="1560" w:type="dxa"/>
            <w:vAlign w:val="bottom"/>
            <w:tcBorders>
              <w:bottom w:val="single" w:sz="8" w:color="auto"/>
              <w:right w:val="single" w:sz="8" w:color="auto"/>
            </w:tcBorders>
          </w:tcPr>
          <w:p>
            <w:pPr>
              <w:spacing w:after="0"/>
              <w:rPr>
                <w:sz w:val="13"/>
                <w:szCs w:val="13"/>
                <w:color w:val="auto"/>
              </w:rPr>
            </w:pPr>
          </w:p>
        </w:tc>
        <w:tc>
          <w:tcPr>
            <w:tcW w:w="1260" w:type="dxa"/>
            <w:vAlign w:val="bottom"/>
            <w:tcBorders>
              <w:bottom w:val="single" w:sz="8" w:color="auto"/>
              <w:right w:val="single" w:sz="8" w:color="auto"/>
            </w:tcBorders>
          </w:tcPr>
          <w:p>
            <w:pPr>
              <w:spacing w:after="0"/>
              <w:rPr>
                <w:sz w:val="13"/>
                <w:szCs w:val="13"/>
                <w:color w:val="auto"/>
              </w:rPr>
            </w:pPr>
          </w:p>
        </w:tc>
        <w:tc>
          <w:tcPr>
            <w:tcW w:w="1580" w:type="dxa"/>
            <w:vAlign w:val="bottom"/>
            <w:tcBorders>
              <w:bottom w:val="single" w:sz="8" w:color="auto"/>
              <w:right w:val="single" w:sz="8" w:color="auto"/>
            </w:tcBorders>
          </w:tcPr>
          <w:p>
            <w:pPr>
              <w:spacing w:after="0"/>
              <w:rPr>
                <w:sz w:val="13"/>
                <w:szCs w:val="13"/>
                <w:color w:val="auto"/>
              </w:rPr>
            </w:pPr>
          </w:p>
        </w:tc>
        <w:tc>
          <w:tcPr>
            <w:tcW w:w="1120" w:type="dxa"/>
            <w:vAlign w:val="bottom"/>
            <w:tcBorders>
              <w:bottom w:val="single" w:sz="8" w:color="auto"/>
              <w:right w:val="single" w:sz="8" w:color="auto"/>
            </w:tcBorders>
          </w:tcPr>
          <w:p>
            <w:pPr>
              <w:spacing w:after="0"/>
              <w:rPr>
                <w:sz w:val="13"/>
                <w:szCs w:val="13"/>
                <w:color w:val="auto"/>
              </w:rPr>
            </w:pPr>
          </w:p>
        </w:tc>
      </w:tr>
      <w:tr>
        <w:trPr>
          <w:trHeight w:val="242"/>
        </w:trPr>
        <w:tc>
          <w:tcPr>
            <w:tcW w:w="1180" w:type="dxa"/>
            <w:vAlign w:val="bottom"/>
            <w:tcBorders>
              <w:left w:val="single" w:sz="8" w:color="auto"/>
            </w:tcBorders>
            <w:gridSpan w:val="2"/>
          </w:tcPr>
          <w:p>
            <w:pPr>
              <w:ind w:left="100"/>
              <w:spacing w:after="0" w:line="242" w:lineRule="exact"/>
              <w:rPr>
                <w:sz w:val="20"/>
                <w:szCs w:val="20"/>
                <w:color w:val="auto"/>
              </w:rPr>
            </w:pPr>
            <w:r>
              <w:rPr>
                <w:rFonts w:ascii="Times New Roman" w:cs="Times New Roman" w:eastAsia="Times New Roman" w:hAnsi="Times New Roman"/>
                <w:sz w:val="22"/>
                <w:szCs w:val="22"/>
                <w:color w:val="222222"/>
              </w:rPr>
              <w:t>Nörolojik</w:t>
            </w:r>
          </w:p>
        </w:tc>
        <w:tc>
          <w:tcPr>
            <w:tcW w:w="400" w:type="dxa"/>
            <w:vAlign w:val="bottom"/>
            <w:tcBorders>
              <w:right w:val="single" w:sz="8" w:color="auto"/>
            </w:tcBorders>
          </w:tcPr>
          <w:p>
            <w:pPr>
              <w:spacing w:after="0"/>
              <w:rPr>
                <w:sz w:val="21"/>
                <w:szCs w:val="21"/>
                <w:color w:val="auto"/>
              </w:rPr>
            </w:pPr>
          </w:p>
        </w:tc>
        <w:tc>
          <w:tcPr>
            <w:tcW w:w="184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26(değerlendirilen)</w:t>
            </w:r>
          </w:p>
        </w:tc>
        <w:tc>
          <w:tcPr>
            <w:tcW w:w="156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13</w:t>
            </w:r>
          </w:p>
        </w:tc>
        <w:tc>
          <w:tcPr>
            <w:tcW w:w="126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1</w:t>
            </w:r>
          </w:p>
        </w:tc>
        <w:tc>
          <w:tcPr>
            <w:tcW w:w="1580" w:type="dxa"/>
            <w:vAlign w:val="bottom"/>
            <w:tcBorders>
              <w:right w:val="single" w:sz="8" w:color="auto"/>
            </w:tcBorders>
          </w:tcPr>
          <w:p>
            <w:pPr>
              <w:ind w:left="100"/>
              <w:spacing w:after="0" w:line="219" w:lineRule="exact"/>
              <w:rPr>
                <w:sz w:val="20"/>
                <w:szCs w:val="20"/>
                <w:color w:val="auto"/>
              </w:rPr>
            </w:pPr>
            <w:r>
              <w:rPr>
                <w:rFonts w:ascii="Times New Roman" w:cs="Times New Roman" w:eastAsia="Times New Roman" w:hAnsi="Times New Roman"/>
                <w:sz w:val="20"/>
                <w:szCs w:val="20"/>
                <w:color w:val="222222"/>
              </w:rPr>
              <w:t>8</w:t>
            </w:r>
          </w:p>
        </w:tc>
        <w:tc>
          <w:tcPr>
            <w:tcW w:w="112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4</w:t>
            </w:r>
          </w:p>
        </w:tc>
      </w:tr>
      <w:tr>
        <w:trPr>
          <w:trHeight w:val="379"/>
        </w:trPr>
        <w:tc>
          <w:tcPr>
            <w:tcW w:w="1180" w:type="dxa"/>
            <w:vAlign w:val="bottom"/>
            <w:tcBorders>
              <w:left w:val="single" w:sz="8" w:color="auto"/>
            </w:tcBorders>
            <w:gridSpan w:val="2"/>
          </w:tcPr>
          <w:p>
            <w:pPr>
              <w:ind w:left="100"/>
              <w:spacing w:after="0"/>
              <w:rPr>
                <w:sz w:val="20"/>
                <w:szCs w:val="20"/>
                <w:color w:val="auto"/>
              </w:rPr>
            </w:pPr>
            <w:r>
              <w:rPr>
                <w:rFonts w:ascii="Times New Roman" w:cs="Times New Roman" w:eastAsia="Times New Roman" w:hAnsi="Times New Roman"/>
                <w:sz w:val="22"/>
                <w:szCs w:val="22"/>
                <w:color w:val="222222"/>
              </w:rPr>
              <w:t>semptom</w:t>
            </w:r>
          </w:p>
        </w:tc>
        <w:tc>
          <w:tcPr>
            <w:tcW w:w="400" w:type="dxa"/>
            <w:vAlign w:val="bottom"/>
            <w:tcBorders>
              <w:right w:val="single" w:sz="8" w:color="auto"/>
            </w:tcBorders>
          </w:tcPr>
          <w:p>
            <w:pPr>
              <w:jc w:val="right"/>
              <w:ind w:right="35"/>
              <w:spacing w:after="0"/>
              <w:rPr>
                <w:sz w:val="20"/>
                <w:szCs w:val="20"/>
                <w:color w:val="auto"/>
              </w:rPr>
            </w:pPr>
            <w:r>
              <w:rPr>
                <w:rFonts w:ascii="Times New Roman" w:cs="Times New Roman" w:eastAsia="Times New Roman" w:hAnsi="Times New Roman"/>
                <w:sz w:val="22"/>
                <w:szCs w:val="22"/>
                <w:color w:val="222222"/>
              </w:rPr>
              <w:t>ve</w:t>
            </w:r>
          </w:p>
        </w:tc>
        <w:tc>
          <w:tcPr>
            <w:tcW w:w="18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3(%11,5)</w:t>
            </w:r>
          </w:p>
        </w:tc>
        <w:tc>
          <w:tcPr>
            <w:tcW w:w="15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1(%7,7)</w:t>
            </w:r>
          </w:p>
        </w:tc>
        <w:tc>
          <w:tcPr>
            <w:tcW w:w="12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w:t>
            </w:r>
          </w:p>
        </w:tc>
        <w:tc>
          <w:tcPr>
            <w:tcW w:w="15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222222"/>
              </w:rPr>
              <w:t>2(%25)</w:t>
            </w:r>
          </w:p>
        </w:tc>
        <w:tc>
          <w:tcPr>
            <w:tcW w:w="11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w:t>
            </w:r>
          </w:p>
        </w:tc>
      </w:tr>
      <w:tr>
        <w:trPr>
          <w:trHeight w:val="430"/>
        </w:trPr>
        <w:tc>
          <w:tcPr>
            <w:tcW w:w="1180" w:type="dxa"/>
            <w:vAlign w:val="bottom"/>
            <w:tcBorders>
              <w:left w:val="single" w:sz="8" w:color="auto"/>
            </w:tcBorders>
            <w:gridSpan w:val="2"/>
          </w:tcPr>
          <w:p>
            <w:pPr>
              <w:ind w:left="100"/>
              <w:spacing w:after="0" w:line="428" w:lineRule="exact"/>
              <w:rPr>
                <w:sz w:val="20"/>
                <w:szCs w:val="20"/>
                <w:color w:val="auto"/>
              </w:rPr>
            </w:pPr>
            <w:r>
              <w:rPr>
                <w:rFonts w:ascii="Times New Roman" w:cs="Times New Roman" w:eastAsia="Times New Roman" w:hAnsi="Times New Roman"/>
                <w:sz w:val="9"/>
                <w:szCs w:val="9"/>
                <w:color w:val="222222"/>
              </w:rPr>
              <w:t>bulgular</w:t>
            </w:r>
            <w:r>
              <w:rPr>
                <w:rFonts w:ascii="Cambria Math" w:cs="Cambria Math" w:eastAsia="Cambria Math" w:hAnsi="Cambria Math"/>
                <w:sz w:val="10"/>
                <w:szCs w:val="10"/>
                <w:color w:val="000000"/>
              </w:rPr>
              <w:t>⁵</w:t>
            </w:r>
          </w:p>
        </w:tc>
        <w:tc>
          <w:tcPr>
            <w:tcW w:w="4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r>
      <w:tr>
        <w:trPr>
          <w:trHeight w:val="155"/>
        </w:trPr>
        <w:tc>
          <w:tcPr>
            <w:tcW w:w="560" w:type="dxa"/>
            <w:vAlign w:val="bottom"/>
            <w:tcBorders>
              <w:left w:val="single" w:sz="8" w:color="auto"/>
              <w:bottom w:val="single" w:sz="8" w:color="auto"/>
            </w:tcBorders>
          </w:tcPr>
          <w:p>
            <w:pPr>
              <w:spacing w:after="0"/>
              <w:rPr>
                <w:sz w:val="13"/>
                <w:szCs w:val="13"/>
                <w:color w:val="auto"/>
              </w:rPr>
            </w:pPr>
          </w:p>
        </w:tc>
        <w:tc>
          <w:tcPr>
            <w:tcW w:w="620" w:type="dxa"/>
            <w:vAlign w:val="bottom"/>
            <w:tcBorders>
              <w:bottom w:val="single" w:sz="8" w:color="auto"/>
            </w:tcBorders>
          </w:tcPr>
          <w:p>
            <w:pPr>
              <w:spacing w:after="0"/>
              <w:rPr>
                <w:sz w:val="13"/>
                <w:szCs w:val="13"/>
                <w:color w:val="auto"/>
              </w:rPr>
            </w:pPr>
          </w:p>
        </w:tc>
        <w:tc>
          <w:tcPr>
            <w:tcW w:w="400" w:type="dxa"/>
            <w:vAlign w:val="bottom"/>
            <w:tcBorders>
              <w:bottom w:val="single" w:sz="8" w:color="auto"/>
              <w:right w:val="single" w:sz="8" w:color="auto"/>
            </w:tcBorders>
          </w:tcPr>
          <w:p>
            <w:pPr>
              <w:spacing w:after="0"/>
              <w:rPr>
                <w:sz w:val="13"/>
                <w:szCs w:val="13"/>
                <w:color w:val="auto"/>
              </w:rPr>
            </w:pPr>
          </w:p>
        </w:tc>
        <w:tc>
          <w:tcPr>
            <w:tcW w:w="1840" w:type="dxa"/>
            <w:vAlign w:val="bottom"/>
            <w:tcBorders>
              <w:bottom w:val="single" w:sz="8" w:color="auto"/>
              <w:right w:val="single" w:sz="8" w:color="auto"/>
            </w:tcBorders>
          </w:tcPr>
          <w:p>
            <w:pPr>
              <w:spacing w:after="0"/>
              <w:rPr>
                <w:sz w:val="13"/>
                <w:szCs w:val="13"/>
                <w:color w:val="auto"/>
              </w:rPr>
            </w:pPr>
          </w:p>
        </w:tc>
        <w:tc>
          <w:tcPr>
            <w:tcW w:w="1560" w:type="dxa"/>
            <w:vAlign w:val="bottom"/>
            <w:tcBorders>
              <w:bottom w:val="single" w:sz="8" w:color="auto"/>
              <w:right w:val="single" w:sz="8" w:color="auto"/>
            </w:tcBorders>
          </w:tcPr>
          <w:p>
            <w:pPr>
              <w:spacing w:after="0"/>
              <w:rPr>
                <w:sz w:val="13"/>
                <w:szCs w:val="13"/>
                <w:color w:val="auto"/>
              </w:rPr>
            </w:pPr>
          </w:p>
        </w:tc>
        <w:tc>
          <w:tcPr>
            <w:tcW w:w="1260" w:type="dxa"/>
            <w:vAlign w:val="bottom"/>
            <w:tcBorders>
              <w:bottom w:val="single" w:sz="8" w:color="auto"/>
              <w:right w:val="single" w:sz="8" w:color="auto"/>
            </w:tcBorders>
          </w:tcPr>
          <w:p>
            <w:pPr>
              <w:spacing w:after="0"/>
              <w:rPr>
                <w:sz w:val="13"/>
                <w:szCs w:val="13"/>
                <w:color w:val="auto"/>
              </w:rPr>
            </w:pPr>
          </w:p>
        </w:tc>
        <w:tc>
          <w:tcPr>
            <w:tcW w:w="1580" w:type="dxa"/>
            <w:vAlign w:val="bottom"/>
            <w:tcBorders>
              <w:bottom w:val="single" w:sz="8" w:color="auto"/>
              <w:right w:val="single" w:sz="8" w:color="auto"/>
            </w:tcBorders>
          </w:tcPr>
          <w:p>
            <w:pPr>
              <w:spacing w:after="0"/>
              <w:rPr>
                <w:sz w:val="13"/>
                <w:szCs w:val="13"/>
                <w:color w:val="auto"/>
              </w:rPr>
            </w:pPr>
          </w:p>
        </w:tc>
        <w:tc>
          <w:tcPr>
            <w:tcW w:w="1120" w:type="dxa"/>
            <w:vAlign w:val="bottom"/>
            <w:tcBorders>
              <w:bottom w:val="single" w:sz="8" w:color="auto"/>
              <w:right w:val="single" w:sz="8" w:color="auto"/>
            </w:tcBorders>
          </w:tcPr>
          <w:p>
            <w:pPr>
              <w:spacing w:after="0"/>
              <w:rPr>
                <w:sz w:val="13"/>
                <w:szCs w:val="1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-2475230</wp:posOffset>
            </wp:positionV>
            <wp:extent cx="4699000" cy="18542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ind w:left="820"/>
        <w:spacing w:after="0" w:line="170" w:lineRule="exact"/>
        <w:rPr>
          <w:sz w:val="20"/>
          <w:szCs w:val="20"/>
          <w:color w:val="auto"/>
        </w:rPr>
      </w:pPr>
      <w:r>
        <w:rPr>
          <w:rFonts w:ascii="MS PGothic" w:cs="MS PGothic" w:eastAsia="MS PGothic" w:hAnsi="MS PGothic"/>
          <w:sz w:val="18"/>
          <w:szCs w:val="18"/>
          <w:color w:val="222222"/>
        </w:rPr>
        <w:t>*:UP, Ürtiker, Anjiyoödem, dermatografizm, kaşıntı, yüzde kızarıklık</w:t>
      </w:r>
    </w:p>
    <w:p>
      <w:pPr>
        <w:spacing w:after="0" w:line="177" w:lineRule="exact"/>
        <w:rPr>
          <w:sz w:val="20"/>
          <w:szCs w:val="20"/>
          <w:color w:val="auto"/>
        </w:rPr>
      </w:pPr>
    </w:p>
    <w:p>
      <w:pPr>
        <w:ind w:left="820"/>
        <w:spacing w:after="0" w:line="207" w:lineRule="exact"/>
        <w:rPr>
          <w:sz w:val="20"/>
          <w:szCs w:val="20"/>
          <w:color w:val="auto"/>
        </w:rPr>
      </w:pPr>
      <w:r>
        <w:rPr>
          <w:rFonts w:ascii="Times New Roman" w:cs="Times New Roman" w:eastAsia="Times New Roman" w:hAnsi="Times New Roman"/>
          <w:sz w:val="18"/>
          <w:szCs w:val="18"/>
          <w:color w:val="auto"/>
        </w:rPr>
        <w:t>¹</w:t>
      </w:r>
      <w:r>
        <w:rPr>
          <w:rFonts w:ascii="MS PGothic" w:cs="MS PGothic" w:eastAsia="MS PGothic" w:hAnsi="MS PGothic"/>
          <w:sz w:val="18"/>
          <w:szCs w:val="18"/>
          <w:color w:val="auto"/>
        </w:rPr>
        <w:t>: Osteoporoz, osteopeni, patolojik kırık, kemik ağrısı, kas ağrısı,</w:t>
      </w:r>
      <w:r>
        <w:rPr>
          <w:rFonts w:ascii="Times New Roman" w:cs="Times New Roman" w:eastAsia="Times New Roman" w:hAnsi="Times New Roman"/>
          <w:sz w:val="18"/>
          <w:szCs w:val="18"/>
          <w:color w:val="auto"/>
        </w:rPr>
        <w:t xml:space="preserve"> sklerotik lezyon, litik lezyon</w:t>
      </w:r>
    </w:p>
    <w:p>
      <w:pPr>
        <w:spacing w:after="0" w:line="158" w:lineRule="exact"/>
        <w:rPr>
          <w:sz w:val="20"/>
          <w:szCs w:val="20"/>
          <w:color w:val="auto"/>
        </w:rPr>
      </w:pPr>
    </w:p>
    <w:p>
      <w:pPr>
        <w:ind w:left="820"/>
        <w:spacing w:after="0" w:line="207" w:lineRule="exact"/>
        <w:rPr>
          <w:sz w:val="20"/>
          <w:szCs w:val="20"/>
          <w:color w:val="auto"/>
        </w:rPr>
      </w:pPr>
      <w:r>
        <w:rPr>
          <w:rFonts w:ascii="Times New Roman" w:cs="Times New Roman" w:eastAsia="Times New Roman" w:hAnsi="Times New Roman"/>
          <w:sz w:val="18"/>
          <w:szCs w:val="18"/>
          <w:color w:val="auto"/>
        </w:rPr>
        <w:t xml:space="preserve">²:Presenkop-senkop, tekrarlayan hipotansif ataklar, </w:t>
      </w:r>
      <w:r>
        <w:rPr>
          <w:rFonts w:ascii="MS PGothic" w:cs="MS PGothic" w:eastAsia="MS PGothic" w:hAnsi="MS PGothic"/>
          <w:sz w:val="18"/>
          <w:szCs w:val="18"/>
          <w:color w:val="auto"/>
        </w:rPr>
        <w:t>taşikardi</w:t>
      </w:r>
      <w:r>
        <w:rPr>
          <w:rFonts w:ascii="Times New Roman" w:cs="Times New Roman" w:eastAsia="Times New Roman" w:hAnsi="Times New Roman"/>
          <w:sz w:val="18"/>
          <w:szCs w:val="18"/>
          <w:color w:val="auto"/>
        </w:rPr>
        <w:t>-</w:t>
      </w:r>
      <w:r>
        <w:rPr>
          <w:rFonts w:ascii="MS PGothic" w:cs="MS PGothic" w:eastAsia="MS PGothic" w:hAnsi="MS PGothic"/>
          <w:sz w:val="18"/>
          <w:szCs w:val="18"/>
          <w:color w:val="auto"/>
        </w:rPr>
        <w:t>çarpıntı</w:t>
      </w:r>
    </w:p>
    <w:p>
      <w:pPr>
        <w:spacing w:after="0" w:line="16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18"/>
          <w:szCs w:val="18"/>
          <w:color w:val="auto"/>
        </w:rPr>
        <w:t>³:Tekrarlayan nedeni belli ya da nedeni bilinmeyen anafilaksi</w:t>
      </w:r>
    </w:p>
    <w:p>
      <w:pPr>
        <w:spacing w:after="0" w:line="160" w:lineRule="exact"/>
        <w:rPr>
          <w:sz w:val="20"/>
          <w:szCs w:val="20"/>
          <w:color w:val="auto"/>
        </w:rPr>
      </w:pPr>
    </w:p>
    <w:p>
      <w:pPr>
        <w:ind w:left="820"/>
        <w:spacing w:after="0" w:line="207" w:lineRule="exact"/>
        <w:rPr>
          <w:sz w:val="20"/>
          <w:szCs w:val="20"/>
          <w:color w:val="auto"/>
        </w:rPr>
      </w:pPr>
      <w:r>
        <w:rPr>
          <w:rFonts w:ascii="MS PGothic" w:cs="MS PGothic" w:eastAsia="MS PGothic" w:hAnsi="MS PGothic"/>
          <w:sz w:val="18"/>
          <w:szCs w:val="18"/>
          <w:color w:val="auto"/>
        </w:rPr>
        <w:t>⁴:</w:t>
      </w:r>
      <w:r>
        <w:rPr>
          <w:rFonts w:ascii="Times New Roman" w:cs="Times New Roman" w:eastAsia="Times New Roman" w:hAnsi="Times New Roman"/>
          <w:sz w:val="18"/>
          <w:szCs w:val="18"/>
          <w:color w:val="auto"/>
        </w:rPr>
        <w:t>Hepatomegali, splen</w:t>
      </w:r>
      <w:r>
        <w:rPr>
          <w:rFonts w:ascii="MS PGothic" w:cs="MS PGothic" w:eastAsia="MS PGothic" w:hAnsi="MS PGothic"/>
          <w:sz w:val="18"/>
          <w:szCs w:val="18"/>
          <w:color w:val="auto"/>
        </w:rPr>
        <w:t>omegali, dispepsi, ishal, bulantı</w:t>
      </w:r>
      <w:r>
        <w:rPr>
          <w:rFonts w:ascii="Times New Roman" w:cs="Times New Roman" w:eastAsia="Times New Roman" w:hAnsi="Times New Roman"/>
          <w:sz w:val="18"/>
          <w:szCs w:val="18"/>
          <w:color w:val="auto"/>
        </w:rPr>
        <w:t>-kusma</w:t>
      </w:r>
      <w:r>
        <w:rPr>
          <w:rFonts w:ascii="MS PGothic" w:cs="MS PGothic" w:eastAsia="MS PGothic" w:hAnsi="MS PGothic"/>
          <w:sz w:val="18"/>
          <w:szCs w:val="18"/>
          <w:color w:val="auto"/>
        </w:rPr>
        <w:t>, disfaji,kronik karın kramp tarzı karın ağrısı</w:t>
      </w:r>
    </w:p>
    <w:p>
      <w:pPr>
        <w:spacing w:after="0" w:line="170" w:lineRule="exact"/>
        <w:rPr>
          <w:sz w:val="20"/>
          <w:szCs w:val="20"/>
          <w:color w:val="auto"/>
        </w:rPr>
      </w:pPr>
    </w:p>
    <w:p>
      <w:pPr>
        <w:ind w:left="820"/>
        <w:spacing w:after="0" w:line="181" w:lineRule="exact"/>
        <w:rPr>
          <w:sz w:val="20"/>
          <w:szCs w:val="20"/>
          <w:color w:val="auto"/>
        </w:rPr>
      </w:pPr>
      <w:r>
        <w:rPr>
          <w:rFonts w:ascii="MS PGothic" w:cs="MS PGothic" w:eastAsia="MS PGothic" w:hAnsi="MS PGothic"/>
          <w:sz w:val="18"/>
          <w:szCs w:val="18"/>
          <w:color w:val="auto"/>
        </w:rPr>
        <w:t>⁵: Baş ağrısı, uyku bozukluğu, depresyon, kognitif disfonksiyon</w:t>
      </w: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both"/>
        <w:ind w:left="820" w:right="600" w:firstLine="708"/>
        <w:spacing w:after="0" w:line="358" w:lineRule="auto"/>
        <w:rPr>
          <w:sz w:val="20"/>
          <w:szCs w:val="20"/>
          <w:color w:val="auto"/>
        </w:rPr>
      </w:pPr>
      <w:r>
        <w:rPr>
          <w:rFonts w:ascii="Times New Roman" w:cs="Times New Roman" w:eastAsia="Times New Roman" w:hAnsi="Times New Roman"/>
          <w:sz w:val="24"/>
          <w:szCs w:val="24"/>
          <w:color w:val="auto"/>
        </w:rPr>
        <w:t xml:space="preserve">Değerlendirilebilen hastaların 18(%66,7) tanesinde cilt tutulumuna bağlı </w:t>
      </w:r>
      <w:r>
        <w:rPr>
          <w:rFonts w:ascii="Times New Roman" w:cs="Times New Roman" w:eastAsia="Times New Roman" w:hAnsi="Times New Roman"/>
          <w:sz w:val="24"/>
          <w:szCs w:val="24"/>
          <w:color w:val="auto"/>
        </w:rPr>
        <w:t xml:space="preserve">semptom ve bulgular görüldü. </w:t>
      </w:r>
      <w:r>
        <w:rPr>
          <w:rFonts w:ascii="Times New Roman" w:cs="Times New Roman" w:eastAsia="Times New Roman" w:hAnsi="Times New Roman"/>
          <w:sz w:val="24"/>
          <w:szCs w:val="24"/>
          <w:color w:val="auto"/>
        </w:rPr>
        <w:t>Değerlendirilebilen İSM hastalarının</w:t>
      </w:r>
      <w:r>
        <w:rPr>
          <w:rFonts w:ascii="Times New Roman" w:cs="Times New Roman" w:eastAsia="Times New Roman" w:hAnsi="Times New Roman"/>
          <w:sz w:val="24"/>
          <w:szCs w:val="24"/>
          <w:color w:val="auto"/>
        </w:rPr>
        <w:t xml:space="preserve"> 11(%78,6) </w:t>
      </w:r>
      <w:r>
        <w:rPr>
          <w:rFonts w:ascii="Times New Roman" w:cs="Times New Roman" w:eastAsia="Times New Roman" w:hAnsi="Times New Roman"/>
          <w:sz w:val="24"/>
          <w:szCs w:val="24"/>
          <w:color w:val="auto"/>
        </w:rPr>
        <w:t xml:space="preserve">tanesinde, SSM hastalarının </w:t>
      </w:r>
      <w:r>
        <w:rPr>
          <w:rFonts w:ascii="Times New Roman" w:cs="Times New Roman" w:eastAsia="Times New Roman" w:hAnsi="Times New Roman"/>
          <w:sz w:val="24"/>
          <w:szCs w:val="24"/>
          <w:color w:val="auto"/>
        </w:rPr>
        <w:t>1</w:t>
      </w:r>
      <w:r>
        <w:rPr>
          <w:rFonts w:ascii="Times New Roman" w:cs="Times New Roman" w:eastAsia="Times New Roman" w:hAnsi="Times New Roman"/>
          <w:sz w:val="24"/>
          <w:szCs w:val="24"/>
          <w:color w:val="auto"/>
        </w:rPr>
        <w:t xml:space="preserve">(%100) tanesinde, ASM hastalarının </w:t>
      </w:r>
      <w:r>
        <w:rPr>
          <w:rFonts w:ascii="Times New Roman" w:cs="Times New Roman" w:eastAsia="Times New Roman" w:hAnsi="Times New Roman"/>
          <w:sz w:val="24"/>
          <w:szCs w:val="24"/>
          <w:color w:val="auto"/>
        </w:rPr>
        <w:t>5(%62,5)</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tanesinde ve SM-</w:t>
      </w:r>
      <w:r>
        <w:rPr>
          <w:rFonts w:ascii="Times New Roman" w:cs="Times New Roman" w:eastAsia="Times New Roman" w:hAnsi="Times New Roman"/>
          <w:sz w:val="24"/>
          <w:szCs w:val="24"/>
          <w:color w:val="auto"/>
        </w:rPr>
        <w:t>AHN hastalarının</w:t>
      </w:r>
      <w:r>
        <w:rPr>
          <w:rFonts w:ascii="Times New Roman" w:cs="Times New Roman" w:eastAsia="Times New Roman" w:hAnsi="Times New Roman"/>
          <w:sz w:val="24"/>
          <w:szCs w:val="24"/>
          <w:color w:val="auto"/>
        </w:rPr>
        <w:t xml:space="preserve"> 1</w:t>
      </w:r>
      <w:r>
        <w:rPr>
          <w:rFonts w:ascii="Times New Roman" w:cs="Times New Roman" w:eastAsia="Times New Roman" w:hAnsi="Times New Roman"/>
          <w:sz w:val="24"/>
          <w:szCs w:val="24"/>
          <w:color w:val="auto"/>
        </w:rPr>
        <w:t>(%25) tanesinde cilt tutulumuna bağlı semptom</w:t>
      </w:r>
      <w:r>
        <w:rPr>
          <w:rFonts w:ascii="Times New Roman" w:cs="Times New Roman" w:eastAsia="Times New Roman" w:hAnsi="Times New Roman"/>
          <w:sz w:val="24"/>
          <w:szCs w:val="24"/>
          <w:color w:val="auto"/>
        </w:rPr>
        <w:t xml:space="preserve"> ve bulgu görüldü. </w:t>
      </w:r>
      <w:r>
        <w:rPr>
          <w:rFonts w:ascii="Times New Roman" w:cs="Times New Roman" w:eastAsia="Times New Roman" w:hAnsi="Times New Roman"/>
          <w:sz w:val="24"/>
          <w:szCs w:val="24"/>
          <w:color w:val="auto"/>
        </w:rPr>
        <w:t>Değerlendirilebilen hastaların</w:t>
      </w:r>
      <w:r>
        <w:rPr>
          <w:rFonts w:ascii="Times New Roman" w:cs="Times New Roman" w:eastAsia="Times New Roman" w:hAnsi="Times New Roman"/>
          <w:sz w:val="24"/>
          <w:szCs w:val="24"/>
          <w:color w:val="auto"/>
        </w:rPr>
        <w:t xml:space="preserve"> 10(%56) tanesinde ÜP lezyonu </w:t>
      </w:r>
      <w:r>
        <w:rPr>
          <w:rFonts w:ascii="Times New Roman" w:cs="Times New Roman" w:eastAsia="Times New Roman" w:hAnsi="Times New Roman"/>
          <w:sz w:val="24"/>
          <w:szCs w:val="24"/>
          <w:color w:val="auto"/>
        </w:rPr>
        <w:t xml:space="preserve">olduğu görüldü. Değerlendirilebilen İSM hastalarının 8(%75) tanesinde ÜP lezyonu saptanırken, </w:t>
      </w:r>
      <w:r>
        <w:rPr>
          <w:rFonts w:ascii="Times New Roman" w:cs="Times New Roman" w:eastAsia="Times New Roman" w:hAnsi="Times New Roman"/>
          <w:sz w:val="24"/>
          <w:szCs w:val="24"/>
          <w:color w:val="auto"/>
        </w:rPr>
        <w:t>2(%2</w:t>
      </w:r>
      <w:r>
        <w:rPr>
          <w:rFonts w:ascii="Times New Roman" w:cs="Times New Roman" w:eastAsia="Times New Roman" w:hAnsi="Times New Roman"/>
          <w:sz w:val="24"/>
          <w:szCs w:val="24"/>
          <w:color w:val="auto"/>
        </w:rPr>
        <w:t>0) ASM hastasında ÜP saptandı.</w:t>
      </w:r>
    </w:p>
    <w:p>
      <w:pPr>
        <w:sectPr>
          <w:pgSz w:w="11900" w:h="16838" w:orient="portrait"/>
          <w:cols w:equalWidth="0" w:num="1">
            <w:col w:w="9660"/>
          </w:cols>
          <w:pgMar w:left="1440" w:top="702" w:right="806" w:bottom="906" w:gutter="0" w:footer="0" w:header="0"/>
        </w:sectPr>
      </w:pPr>
    </w:p>
    <w:bookmarkStart w:id="42" w:name="page43"/>
    <w:bookmarkEnd w:id="42"/>
    <w:p>
      <w:pPr>
        <w:jc w:val="right"/>
        <w:spacing w:after="0"/>
        <w:rPr>
          <w:sz w:val="20"/>
          <w:szCs w:val="20"/>
          <w:color w:val="auto"/>
        </w:rPr>
      </w:pPr>
      <w:r>
        <w:rPr>
          <w:rFonts w:ascii="Calibri" w:cs="Calibri" w:eastAsia="Calibri" w:hAnsi="Calibri"/>
          <w:sz w:val="22"/>
          <w:szCs w:val="22"/>
          <w:color w:val="auto"/>
        </w:rPr>
        <w:t>32</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20" w:firstLine="708"/>
        <w:spacing w:after="0" w:line="357" w:lineRule="auto"/>
        <w:rPr>
          <w:sz w:val="20"/>
          <w:szCs w:val="20"/>
          <w:color w:val="auto"/>
        </w:rPr>
      </w:pPr>
      <w:r>
        <w:rPr>
          <w:rFonts w:ascii="Times New Roman" w:cs="Times New Roman" w:eastAsia="Times New Roman" w:hAnsi="Times New Roman"/>
          <w:sz w:val="24"/>
          <w:szCs w:val="24"/>
          <w:color w:val="auto"/>
        </w:rPr>
        <w:t xml:space="preserve">Değerlendirilebilen hastaların 15(%78,9) tanesinde kemik tutulumuna veya mediatör artışı nedeniyle oluşan muskuloskeletal sistem ile ilgili semptom ve bulgular görüldü. Değerlendirilebilen İSM hastalarının </w:t>
      </w:r>
      <w:r>
        <w:rPr>
          <w:rFonts w:ascii="Times New Roman" w:cs="Times New Roman" w:eastAsia="Times New Roman" w:hAnsi="Times New Roman"/>
          <w:sz w:val="24"/>
          <w:szCs w:val="24"/>
          <w:color w:val="auto"/>
        </w:rPr>
        <w:t>9(%81,8) tanesinde, ASM</w:t>
      </w:r>
      <w:r>
        <w:rPr>
          <w:rFonts w:ascii="Times New Roman" w:cs="Times New Roman" w:eastAsia="Times New Roman" w:hAnsi="Times New Roman"/>
          <w:sz w:val="24"/>
          <w:szCs w:val="24"/>
          <w:color w:val="auto"/>
        </w:rPr>
        <w:t xml:space="preserve"> hastalarının </w:t>
      </w:r>
      <w:r>
        <w:rPr>
          <w:rFonts w:ascii="Times New Roman" w:cs="Times New Roman" w:eastAsia="Times New Roman" w:hAnsi="Times New Roman"/>
          <w:sz w:val="24"/>
          <w:szCs w:val="24"/>
          <w:color w:val="auto"/>
        </w:rPr>
        <w:t>5(%50) tanesinde ve SM-</w:t>
      </w:r>
      <w:r>
        <w:rPr>
          <w:rFonts w:ascii="Times New Roman" w:cs="Times New Roman" w:eastAsia="Times New Roman" w:hAnsi="Times New Roman"/>
          <w:sz w:val="24"/>
          <w:szCs w:val="24"/>
          <w:color w:val="auto"/>
        </w:rPr>
        <w:t xml:space="preserve">AHN hastalarının </w:t>
      </w:r>
      <w:r>
        <w:rPr>
          <w:rFonts w:ascii="Times New Roman" w:cs="Times New Roman" w:eastAsia="Times New Roman" w:hAnsi="Times New Roman"/>
          <w:sz w:val="24"/>
          <w:szCs w:val="24"/>
          <w:color w:val="auto"/>
        </w:rPr>
        <w:t>bir(%100) tanesinde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muskuloskeletal sistem ile ilgili semptom ve bulgu görüldü.</w:t>
      </w:r>
    </w:p>
    <w:p>
      <w:pPr>
        <w:spacing w:after="0" w:line="177" w:lineRule="exact"/>
        <w:rPr>
          <w:sz w:val="20"/>
          <w:szCs w:val="20"/>
          <w:color w:val="auto"/>
        </w:rPr>
      </w:pPr>
    </w:p>
    <w:p>
      <w:pPr>
        <w:jc w:val="both"/>
        <w:ind w:left="820" w:firstLine="708"/>
        <w:spacing w:after="0" w:line="356" w:lineRule="auto"/>
        <w:rPr>
          <w:sz w:val="20"/>
          <w:szCs w:val="20"/>
          <w:color w:val="auto"/>
        </w:rPr>
      </w:pPr>
      <w:r>
        <w:rPr>
          <w:rFonts w:ascii="Times New Roman" w:cs="Times New Roman" w:eastAsia="Times New Roman" w:hAnsi="Times New Roman"/>
          <w:sz w:val="24"/>
          <w:szCs w:val="24"/>
          <w:color w:val="auto"/>
        </w:rPr>
        <w:t xml:space="preserve">Değerlendirilebilen hastaların 5(%19,2) tanesinde kardiyovasküler sistem ile ilişkilendirilebilen semptom ve bulgular görüldü. Değerlendirilebilen İSM hastalarının </w:t>
      </w:r>
      <w:r>
        <w:rPr>
          <w:rFonts w:ascii="Times New Roman" w:cs="Times New Roman" w:eastAsia="Times New Roman" w:hAnsi="Times New Roman"/>
          <w:sz w:val="24"/>
          <w:szCs w:val="24"/>
          <w:color w:val="auto"/>
        </w:rPr>
        <w:t>2(%15,4) tanesi,</w:t>
      </w:r>
      <w:r>
        <w:rPr>
          <w:rFonts w:ascii="Times New Roman" w:cs="Times New Roman" w:eastAsia="Times New Roman" w:hAnsi="Times New Roman"/>
          <w:sz w:val="24"/>
          <w:szCs w:val="24"/>
          <w:color w:val="auto"/>
        </w:rPr>
        <w:t xml:space="preserve"> ASM hastalarının </w:t>
      </w:r>
      <w:r>
        <w:rPr>
          <w:rFonts w:ascii="Times New Roman" w:cs="Times New Roman" w:eastAsia="Times New Roman" w:hAnsi="Times New Roman"/>
          <w:sz w:val="24"/>
          <w:szCs w:val="24"/>
          <w:color w:val="auto"/>
        </w:rPr>
        <w:t>3(%37,5) tanesinde kardiyovasküler</w:t>
      </w:r>
      <w:r>
        <w:rPr>
          <w:rFonts w:ascii="Times New Roman" w:cs="Times New Roman" w:eastAsia="Times New Roman" w:hAnsi="Times New Roman"/>
          <w:sz w:val="24"/>
          <w:szCs w:val="24"/>
          <w:color w:val="auto"/>
        </w:rPr>
        <w:t xml:space="preserve"> sistem ile ilişkilendirilebilen semptom ve bulgular görüldü.</w:t>
      </w:r>
    </w:p>
    <w:p>
      <w:pPr>
        <w:spacing w:after="0" w:line="178" w:lineRule="exact"/>
        <w:rPr>
          <w:sz w:val="20"/>
          <w:szCs w:val="20"/>
          <w:color w:val="auto"/>
        </w:rPr>
      </w:pPr>
    </w:p>
    <w:p>
      <w:pPr>
        <w:jc w:val="both"/>
        <w:ind w:left="820" w:firstLine="708"/>
        <w:spacing w:after="0" w:line="358" w:lineRule="auto"/>
        <w:rPr>
          <w:sz w:val="20"/>
          <w:szCs w:val="20"/>
          <w:color w:val="auto"/>
        </w:rPr>
      </w:pPr>
      <w:r>
        <w:rPr>
          <w:rFonts w:ascii="Times New Roman" w:cs="Times New Roman" w:eastAsia="Times New Roman" w:hAnsi="Times New Roman"/>
          <w:sz w:val="24"/>
          <w:szCs w:val="24"/>
          <w:color w:val="auto"/>
        </w:rPr>
        <w:t xml:space="preserve">Değerlendirilebilen hastaların 9(%36) tanesinin anafilaksi geçirdiği görüldü. Değerlendirilebilen İSM hastalarının </w:t>
      </w:r>
      <w:r>
        <w:rPr>
          <w:rFonts w:ascii="Times New Roman" w:cs="Times New Roman" w:eastAsia="Times New Roman" w:hAnsi="Times New Roman"/>
          <w:sz w:val="24"/>
          <w:szCs w:val="24"/>
          <w:color w:val="auto"/>
        </w:rPr>
        <w:t>3(%25</w:t>
      </w:r>
      <w:r>
        <w:rPr>
          <w:rFonts w:ascii="Times New Roman" w:cs="Times New Roman" w:eastAsia="Times New Roman" w:hAnsi="Times New Roman"/>
          <w:sz w:val="24"/>
          <w:szCs w:val="24"/>
          <w:color w:val="auto"/>
        </w:rPr>
        <w:t xml:space="preserve">) tanesinde, SSM hastalarının </w:t>
      </w:r>
      <w:r>
        <w:rPr>
          <w:rFonts w:ascii="Times New Roman" w:cs="Times New Roman" w:eastAsia="Times New Roman" w:hAnsi="Times New Roman"/>
          <w:sz w:val="24"/>
          <w:szCs w:val="24"/>
          <w:color w:val="auto"/>
        </w:rPr>
        <w:t>1(%100)</w:t>
      </w:r>
      <w:r>
        <w:rPr>
          <w:rFonts w:ascii="Times New Roman" w:cs="Times New Roman" w:eastAsia="Times New Roman" w:hAnsi="Times New Roman"/>
          <w:sz w:val="24"/>
          <w:szCs w:val="24"/>
          <w:color w:val="auto"/>
        </w:rPr>
        <w:t xml:space="preserve"> tanesinde ve ASM hastalarının </w:t>
      </w:r>
      <w:r>
        <w:rPr>
          <w:rFonts w:ascii="Times New Roman" w:cs="Times New Roman" w:eastAsia="Times New Roman" w:hAnsi="Times New Roman"/>
          <w:sz w:val="24"/>
          <w:szCs w:val="24"/>
          <w:color w:val="auto"/>
        </w:rPr>
        <w:t>5(%62,5) tanesinde tanesinde anafilaksi öyküsü</w:t>
      </w:r>
      <w:r>
        <w:rPr>
          <w:rFonts w:ascii="Times New Roman" w:cs="Times New Roman" w:eastAsia="Times New Roman" w:hAnsi="Times New Roman"/>
          <w:sz w:val="24"/>
          <w:szCs w:val="24"/>
          <w:color w:val="auto"/>
        </w:rPr>
        <w:t xml:space="preserve"> olduğu görüldü. </w:t>
      </w:r>
      <w:r>
        <w:rPr>
          <w:rFonts w:ascii="Times New Roman" w:cs="Times New Roman" w:eastAsia="Times New Roman" w:hAnsi="Times New Roman"/>
          <w:sz w:val="24"/>
          <w:szCs w:val="24"/>
          <w:color w:val="222222"/>
        </w:rPr>
        <w:t>Anafilaksi ö</w:t>
      </w:r>
      <w:r>
        <w:rPr>
          <w:rFonts w:ascii="Times New Roman" w:cs="Times New Roman" w:eastAsia="Times New Roman" w:hAnsi="Times New Roman"/>
          <w:sz w:val="24"/>
          <w:szCs w:val="24"/>
          <w:color w:val="222222"/>
        </w:rPr>
        <w:t>yküsü olan 9 hastanın anafilaksi nedenleri sırasıyla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hymenoptera zehri (%44,4) ve ilaçlar (%22,2) şeklindeydi. Üç(%33,4) hastada ise nedenin bulunamadığı ve hastalara idiopatik anafilaksi tanısının konulduğu görüldü.</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-1464945</wp:posOffset>
            </wp:positionV>
            <wp:extent cx="4699000" cy="185420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55" w:lineRule="exact"/>
        <w:rPr>
          <w:sz w:val="20"/>
          <w:szCs w:val="20"/>
          <w:color w:val="auto"/>
        </w:rPr>
      </w:pPr>
    </w:p>
    <w:p>
      <w:pPr>
        <w:jc w:val="both"/>
        <w:ind w:left="820" w:firstLine="708"/>
        <w:spacing w:after="0" w:line="356" w:lineRule="auto"/>
        <w:rPr>
          <w:sz w:val="20"/>
          <w:szCs w:val="20"/>
          <w:color w:val="auto"/>
        </w:rPr>
      </w:pPr>
      <w:r>
        <w:rPr>
          <w:rFonts w:ascii="Times New Roman" w:cs="Times New Roman" w:eastAsia="Times New Roman" w:hAnsi="Times New Roman"/>
          <w:sz w:val="24"/>
          <w:szCs w:val="24"/>
          <w:color w:val="auto"/>
        </w:rPr>
        <w:t xml:space="preserve">Değerlendirilebilen hastaların 14(%51,9) tanesinde GİS ile ilişkili semptom ve bulgular görüldü. Değerlendirilebilen İSM hastalarının </w:t>
      </w:r>
      <w:r>
        <w:rPr>
          <w:rFonts w:ascii="Times New Roman" w:cs="Times New Roman" w:eastAsia="Times New Roman" w:hAnsi="Times New Roman"/>
          <w:sz w:val="24"/>
          <w:szCs w:val="24"/>
          <w:color w:val="auto"/>
        </w:rPr>
        <w:t>4(%30,8) tanesinde, SSM</w:t>
      </w:r>
      <w:r>
        <w:rPr>
          <w:rFonts w:ascii="Times New Roman" w:cs="Times New Roman" w:eastAsia="Times New Roman" w:hAnsi="Times New Roman"/>
          <w:sz w:val="24"/>
          <w:szCs w:val="24"/>
          <w:color w:val="auto"/>
        </w:rPr>
        <w:t xml:space="preserve"> hastalarının </w:t>
      </w:r>
      <w:r>
        <w:rPr>
          <w:rFonts w:ascii="Times New Roman" w:cs="Times New Roman" w:eastAsia="Times New Roman" w:hAnsi="Times New Roman"/>
          <w:sz w:val="24"/>
          <w:szCs w:val="24"/>
          <w:color w:val="auto"/>
        </w:rPr>
        <w:t>1</w:t>
      </w:r>
      <w:r>
        <w:rPr>
          <w:rFonts w:ascii="Times New Roman" w:cs="Times New Roman" w:eastAsia="Times New Roman" w:hAnsi="Times New Roman"/>
          <w:sz w:val="24"/>
          <w:szCs w:val="24"/>
          <w:color w:val="auto"/>
        </w:rPr>
        <w:t xml:space="preserve">(%100) tanesinde, ASM hastalarının </w:t>
      </w:r>
      <w:r>
        <w:rPr>
          <w:rFonts w:ascii="Times New Roman" w:cs="Times New Roman" w:eastAsia="Times New Roman" w:hAnsi="Times New Roman"/>
          <w:sz w:val="24"/>
          <w:szCs w:val="24"/>
          <w:color w:val="auto"/>
        </w:rPr>
        <w:t>6(%66,7) tanesinde ve SM-AHN</w:t>
      </w:r>
      <w:r>
        <w:rPr>
          <w:rFonts w:ascii="Times New Roman" w:cs="Times New Roman" w:eastAsia="Times New Roman" w:hAnsi="Times New Roman"/>
          <w:sz w:val="24"/>
          <w:szCs w:val="24"/>
          <w:color w:val="auto"/>
        </w:rPr>
        <w:t xml:space="preserve"> hastalarının </w:t>
      </w:r>
      <w:r>
        <w:rPr>
          <w:rFonts w:ascii="Times New Roman" w:cs="Times New Roman" w:eastAsia="Times New Roman" w:hAnsi="Times New Roman"/>
          <w:sz w:val="24"/>
          <w:szCs w:val="24"/>
          <w:color w:val="auto"/>
        </w:rPr>
        <w:t>3</w:t>
      </w:r>
      <w:r>
        <w:rPr>
          <w:rFonts w:ascii="Times New Roman" w:cs="Times New Roman" w:eastAsia="Times New Roman" w:hAnsi="Times New Roman"/>
          <w:sz w:val="24"/>
          <w:szCs w:val="24"/>
          <w:color w:val="auto"/>
        </w:rPr>
        <w:t xml:space="preserve">(%75) tanesinde GİS ile ilişkili semptom ve </w:t>
      </w:r>
      <w:r>
        <w:rPr>
          <w:rFonts w:ascii="Times New Roman" w:cs="Times New Roman" w:eastAsia="Times New Roman" w:hAnsi="Times New Roman"/>
          <w:sz w:val="24"/>
          <w:szCs w:val="24"/>
          <w:color w:val="auto"/>
        </w:rPr>
        <w:t>bulgu görüldü.</w:t>
      </w:r>
    </w:p>
    <w:p>
      <w:pPr>
        <w:spacing w:after="0" w:line="180" w:lineRule="exact"/>
        <w:rPr>
          <w:sz w:val="20"/>
          <w:szCs w:val="20"/>
          <w:color w:val="auto"/>
        </w:rPr>
      </w:pPr>
    </w:p>
    <w:p>
      <w:pPr>
        <w:jc w:val="both"/>
        <w:ind w:left="820" w:right="20" w:firstLine="708"/>
        <w:spacing w:after="0" w:line="354" w:lineRule="auto"/>
        <w:rPr>
          <w:sz w:val="20"/>
          <w:szCs w:val="20"/>
          <w:color w:val="auto"/>
        </w:rPr>
      </w:pPr>
      <w:r>
        <w:rPr>
          <w:rFonts w:ascii="Times New Roman" w:cs="Times New Roman" w:eastAsia="Times New Roman" w:hAnsi="Times New Roman"/>
          <w:sz w:val="24"/>
          <w:szCs w:val="24"/>
          <w:color w:val="auto"/>
        </w:rPr>
        <w:t xml:space="preserve">Değerlendirilebilen hastaların </w:t>
      </w:r>
      <w:r>
        <w:rPr>
          <w:rFonts w:ascii="Times New Roman" w:cs="Times New Roman" w:eastAsia="Times New Roman" w:hAnsi="Times New Roman"/>
          <w:sz w:val="24"/>
          <w:szCs w:val="24"/>
          <w:color w:val="auto"/>
        </w:rPr>
        <w:t>3(%11,5) tanesinde nörolojik tutuluma</w:t>
      </w:r>
      <w:r>
        <w:rPr>
          <w:rFonts w:ascii="Times New Roman" w:cs="Times New Roman" w:eastAsia="Times New Roman" w:hAnsi="Times New Roman"/>
          <w:sz w:val="24"/>
          <w:szCs w:val="24"/>
          <w:color w:val="auto"/>
        </w:rPr>
        <w:t xml:space="preserve"> bağlı semptom ve bulgular görüldü. Değerlendirilebilen İSM hastalarının </w:t>
      </w:r>
      <w:r>
        <w:rPr>
          <w:rFonts w:ascii="Times New Roman" w:cs="Times New Roman" w:eastAsia="Times New Roman" w:hAnsi="Times New Roman"/>
          <w:sz w:val="24"/>
          <w:szCs w:val="24"/>
          <w:color w:val="auto"/>
        </w:rPr>
        <w:t>1(%7,7) tanesi,</w:t>
      </w:r>
      <w:r>
        <w:rPr>
          <w:rFonts w:ascii="Times New Roman" w:cs="Times New Roman" w:eastAsia="Times New Roman" w:hAnsi="Times New Roman"/>
          <w:sz w:val="24"/>
          <w:szCs w:val="24"/>
          <w:color w:val="auto"/>
        </w:rPr>
        <w:t xml:space="preserve"> ASM hastalarının </w:t>
      </w:r>
      <w:r>
        <w:rPr>
          <w:rFonts w:ascii="Times New Roman" w:cs="Times New Roman" w:eastAsia="Times New Roman" w:hAnsi="Times New Roman"/>
          <w:sz w:val="24"/>
          <w:szCs w:val="24"/>
          <w:color w:val="auto"/>
        </w:rPr>
        <w:t>2(%25) tanesinde nörolojik semptom ve bulgu görüldü.</w:t>
      </w:r>
    </w:p>
    <w:p>
      <w:pPr>
        <w:sectPr>
          <w:pgSz w:w="11900" w:h="16838" w:orient="portrait"/>
          <w:cols w:equalWidth="0" w:num="1">
            <w:col w:w="9060"/>
          </w:cols>
          <w:pgMar w:left="1440" w:top="702" w:right="1406" w:bottom="1440" w:gutter="0" w:footer="0" w:header="0"/>
        </w:sectPr>
      </w:pPr>
    </w:p>
    <w:bookmarkStart w:id="43" w:name="page44"/>
    <w:bookmarkEnd w:id="43"/>
    <w:p>
      <w:pPr>
        <w:ind w:left="8820"/>
        <w:spacing w:after="0"/>
        <w:rPr>
          <w:sz w:val="20"/>
          <w:szCs w:val="20"/>
          <w:color w:val="auto"/>
        </w:rPr>
      </w:pPr>
      <w:r>
        <w:rPr>
          <w:rFonts w:ascii="Calibri" w:cs="Calibri" w:eastAsia="Calibri" w:hAnsi="Calibri"/>
          <w:sz w:val="22"/>
          <w:szCs w:val="22"/>
          <w:color w:val="auto"/>
        </w:rPr>
        <w:t>33</w:t>
      </w: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222222"/>
        </w:rPr>
        <w:t xml:space="preserve">Tablo 4.4. </w:t>
      </w:r>
      <w:r>
        <w:rPr>
          <w:rFonts w:ascii="Times New Roman" w:cs="Times New Roman" w:eastAsia="Times New Roman" w:hAnsi="Times New Roman"/>
          <w:sz w:val="24"/>
          <w:szCs w:val="24"/>
          <w:color w:val="222222"/>
        </w:rPr>
        <w:t>Sistemik mastositoz majör ve minör kriterleri</w:t>
      </w:r>
    </w:p>
    <w:p>
      <w:pPr>
        <w:spacing w:after="0" w:line="280" w:lineRule="exact"/>
        <w:rPr>
          <w:sz w:val="20"/>
          <w:szCs w:val="20"/>
          <w:color w:val="auto"/>
        </w:rPr>
      </w:pPr>
    </w:p>
    <w:tbl>
      <w:tblPr>
        <w:tblLayout w:type="fixed"/>
        <w:tblInd w:w="730" w:type="dxa"/>
        <w:tblCellMar>
          <w:top w:w="0" w:type="dxa"/>
          <w:left w:w="0" w:type="dxa"/>
          <w:bottom w:w="0" w:type="dxa"/>
          <w:right w:w="0" w:type="dxa"/>
        </w:tblCellMar>
      </w:tblPr>
      <w:tr>
        <w:trPr>
          <w:trHeight w:val="283"/>
        </w:trPr>
        <w:tc>
          <w:tcPr>
            <w:tcW w:w="1340" w:type="dxa"/>
            <w:vAlign w:val="bottom"/>
            <w:tcBorders>
              <w:top w:val="single" w:sz="8" w:color="auto"/>
              <w:left w:val="single" w:sz="8" w:color="auto"/>
            </w:tcBorders>
          </w:tcPr>
          <w:p>
            <w:pPr>
              <w:spacing w:after="0"/>
              <w:rPr>
                <w:sz w:val="24"/>
                <w:szCs w:val="24"/>
                <w:color w:val="auto"/>
              </w:rPr>
            </w:pPr>
          </w:p>
        </w:tc>
        <w:tc>
          <w:tcPr>
            <w:tcW w:w="660" w:type="dxa"/>
            <w:vAlign w:val="bottom"/>
            <w:tcBorders>
              <w:top w:val="single" w:sz="8" w:color="auto"/>
              <w:right w:val="single" w:sz="8" w:color="auto"/>
            </w:tcBorders>
          </w:tcPr>
          <w:p>
            <w:pPr>
              <w:spacing w:after="0"/>
              <w:rPr>
                <w:sz w:val="24"/>
                <w:szCs w:val="24"/>
                <w:color w:val="auto"/>
              </w:rPr>
            </w:pPr>
          </w:p>
        </w:tc>
        <w:tc>
          <w:tcPr>
            <w:tcW w:w="142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Toplam</w:t>
            </w:r>
          </w:p>
        </w:tc>
        <w:tc>
          <w:tcPr>
            <w:tcW w:w="156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İSM</w:t>
            </w:r>
          </w:p>
        </w:tc>
        <w:tc>
          <w:tcPr>
            <w:tcW w:w="126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SSM</w:t>
            </w:r>
          </w:p>
        </w:tc>
        <w:tc>
          <w:tcPr>
            <w:tcW w:w="158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ASM</w:t>
            </w:r>
          </w:p>
        </w:tc>
        <w:tc>
          <w:tcPr>
            <w:tcW w:w="112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SM-</w:t>
            </w:r>
          </w:p>
        </w:tc>
      </w:tr>
      <w:tr>
        <w:trPr>
          <w:trHeight w:val="415"/>
        </w:trPr>
        <w:tc>
          <w:tcPr>
            <w:tcW w:w="1340" w:type="dxa"/>
            <w:vAlign w:val="bottom"/>
            <w:tcBorders>
              <w:left w:val="single" w:sz="8" w:color="auto"/>
            </w:tcBorders>
          </w:tcPr>
          <w:p>
            <w:pPr>
              <w:spacing w:after="0"/>
              <w:rPr>
                <w:sz w:val="24"/>
                <w:szCs w:val="24"/>
                <w:color w:val="auto"/>
              </w:rPr>
            </w:pPr>
          </w:p>
        </w:tc>
        <w:tc>
          <w:tcPr>
            <w:tcW w:w="6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n:30</w:t>
            </w:r>
          </w:p>
        </w:tc>
        <w:tc>
          <w:tcPr>
            <w:tcW w:w="15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n:15(%50)</w:t>
            </w:r>
          </w:p>
        </w:tc>
        <w:tc>
          <w:tcPr>
            <w:tcW w:w="12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n:1(%3,3)</w:t>
            </w:r>
          </w:p>
        </w:tc>
        <w:tc>
          <w:tcPr>
            <w:tcW w:w="15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n:10(%33,4)</w:t>
            </w:r>
          </w:p>
        </w:tc>
        <w:tc>
          <w:tcPr>
            <w:tcW w:w="11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AHN</w:t>
            </w:r>
          </w:p>
        </w:tc>
      </w:tr>
      <w:tr>
        <w:trPr>
          <w:trHeight w:val="413"/>
        </w:trPr>
        <w:tc>
          <w:tcPr>
            <w:tcW w:w="1340" w:type="dxa"/>
            <w:vAlign w:val="bottom"/>
            <w:tcBorders>
              <w:left w:val="single" w:sz="8" w:color="auto"/>
            </w:tcBorders>
          </w:tcPr>
          <w:p>
            <w:pPr>
              <w:spacing w:after="0"/>
              <w:rPr>
                <w:sz w:val="24"/>
                <w:szCs w:val="24"/>
                <w:color w:val="auto"/>
              </w:rPr>
            </w:pPr>
          </w:p>
        </w:tc>
        <w:tc>
          <w:tcPr>
            <w:tcW w:w="6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n:4(13,3)</w:t>
            </w:r>
          </w:p>
        </w:tc>
      </w:tr>
      <w:tr>
        <w:trPr>
          <w:trHeight w:val="142"/>
        </w:trPr>
        <w:tc>
          <w:tcPr>
            <w:tcW w:w="1340" w:type="dxa"/>
            <w:vAlign w:val="bottom"/>
            <w:tcBorders>
              <w:left w:val="single" w:sz="8" w:color="auto"/>
              <w:bottom w:val="single" w:sz="8" w:color="auto"/>
            </w:tcBorders>
          </w:tcPr>
          <w:p>
            <w:pPr>
              <w:spacing w:after="0"/>
              <w:rPr>
                <w:sz w:val="12"/>
                <w:szCs w:val="12"/>
                <w:color w:val="auto"/>
              </w:rPr>
            </w:pPr>
          </w:p>
        </w:tc>
        <w:tc>
          <w:tcPr>
            <w:tcW w:w="66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560" w:type="dxa"/>
            <w:vAlign w:val="bottom"/>
            <w:tcBorders>
              <w:bottom w:val="single" w:sz="8" w:color="auto"/>
              <w:right w:val="single" w:sz="8" w:color="auto"/>
            </w:tcBorders>
          </w:tcPr>
          <w:p>
            <w:pPr>
              <w:spacing w:after="0"/>
              <w:rPr>
                <w:sz w:val="12"/>
                <w:szCs w:val="12"/>
                <w:color w:val="auto"/>
              </w:rPr>
            </w:pPr>
          </w:p>
        </w:tc>
        <w:tc>
          <w:tcPr>
            <w:tcW w:w="1260" w:type="dxa"/>
            <w:vAlign w:val="bottom"/>
            <w:tcBorders>
              <w:bottom w:val="single" w:sz="8" w:color="auto"/>
              <w:right w:val="single" w:sz="8" w:color="auto"/>
            </w:tcBorders>
          </w:tcPr>
          <w:p>
            <w:pPr>
              <w:spacing w:after="0"/>
              <w:rPr>
                <w:sz w:val="12"/>
                <w:szCs w:val="12"/>
                <w:color w:val="auto"/>
              </w:rPr>
            </w:pPr>
          </w:p>
        </w:tc>
        <w:tc>
          <w:tcPr>
            <w:tcW w:w="1580" w:type="dxa"/>
            <w:vAlign w:val="bottom"/>
            <w:tcBorders>
              <w:bottom w:val="single" w:sz="8" w:color="auto"/>
              <w:right w:val="single" w:sz="8" w:color="auto"/>
            </w:tcBorders>
          </w:tcPr>
          <w:p>
            <w:pPr>
              <w:spacing w:after="0"/>
              <w:rPr>
                <w:sz w:val="12"/>
                <w:szCs w:val="12"/>
                <w:color w:val="auto"/>
              </w:rPr>
            </w:pPr>
          </w:p>
        </w:tc>
        <w:tc>
          <w:tcPr>
            <w:tcW w:w="1120" w:type="dxa"/>
            <w:vAlign w:val="bottom"/>
            <w:tcBorders>
              <w:bottom w:val="single" w:sz="8" w:color="auto"/>
              <w:right w:val="single" w:sz="8" w:color="auto"/>
            </w:tcBorders>
          </w:tcPr>
          <w:p>
            <w:pPr>
              <w:spacing w:after="0"/>
              <w:rPr>
                <w:sz w:val="12"/>
                <w:szCs w:val="12"/>
                <w:color w:val="auto"/>
              </w:rPr>
            </w:pPr>
          </w:p>
        </w:tc>
      </w:tr>
      <w:tr>
        <w:trPr>
          <w:trHeight w:val="263"/>
        </w:trPr>
        <w:tc>
          <w:tcPr>
            <w:tcW w:w="1340" w:type="dxa"/>
            <w:vAlign w:val="bottom"/>
            <w:tcBorders>
              <w:lef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Dokuda</w:t>
            </w:r>
          </w:p>
        </w:tc>
        <w:tc>
          <w:tcPr>
            <w:tcW w:w="660" w:type="dxa"/>
            <w:vAlign w:val="bottom"/>
            <w:tcBorders>
              <w:right w:val="single" w:sz="8" w:color="auto"/>
            </w:tcBorders>
          </w:tcPr>
          <w:p>
            <w:pPr>
              <w:spacing w:after="0"/>
              <w:rPr>
                <w:sz w:val="22"/>
                <w:szCs w:val="22"/>
                <w:color w:val="auto"/>
              </w:rPr>
            </w:pPr>
          </w:p>
        </w:tc>
        <w:tc>
          <w:tcPr>
            <w:tcW w:w="14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30(%100)</w:t>
            </w:r>
          </w:p>
        </w:tc>
        <w:tc>
          <w:tcPr>
            <w:tcW w:w="156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15(%100)</w:t>
            </w:r>
          </w:p>
        </w:tc>
        <w:tc>
          <w:tcPr>
            <w:tcW w:w="126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1(%100)</w:t>
            </w:r>
          </w:p>
        </w:tc>
        <w:tc>
          <w:tcPr>
            <w:tcW w:w="15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10(%100)</w:t>
            </w:r>
          </w:p>
        </w:tc>
        <w:tc>
          <w:tcPr>
            <w:tcW w:w="11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4(%100)</w:t>
            </w:r>
          </w:p>
        </w:tc>
      </w:tr>
      <w:tr>
        <w:trPr>
          <w:trHeight w:val="413"/>
        </w:trPr>
        <w:tc>
          <w:tcPr>
            <w:tcW w:w="134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Multifokal</w:t>
            </w:r>
          </w:p>
        </w:tc>
        <w:tc>
          <w:tcPr>
            <w:tcW w:w="66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222222"/>
              </w:rPr>
              <w:t>dens</w:t>
            </w:r>
          </w:p>
        </w:tc>
        <w:tc>
          <w:tcPr>
            <w:tcW w:w="142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r>
      <w:tr>
        <w:trPr>
          <w:trHeight w:val="415"/>
        </w:trPr>
        <w:tc>
          <w:tcPr>
            <w:tcW w:w="134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mast  hücre</w:t>
            </w:r>
          </w:p>
        </w:tc>
        <w:tc>
          <w:tcPr>
            <w:tcW w:w="66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222222"/>
              </w:rPr>
              <w:t>agre-</w:t>
            </w:r>
          </w:p>
        </w:tc>
        <w:tc>
          <w:tcPr>
            <w:tcW w:w="142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r>
      <w:tr>
        <w:trPr>
          <w:trHeight w:val="413"/>
        </w:trPr>
        <w:tc>
          <w:tcPr>
            <w:tcW w:w="2000" w:type="dxa"/>
            <w:vAlign w:val="bottom"/>
            <w:tcBorders>
              <w:left w:val="single" w:sz="8" w:color="auto"/>
              <w:right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222222"/>
              </w:rPr>
              <w:t xml:space="preserve">gatları  </w:t>
            </w:r>
            <w:r>
              <w:rPr>
                <w:rFonts w:ascii="Times New Roman" w:cs="Times New Roman" w:eastAsia="Times New Roman" w:hAnsi="Times New Roman"/>
                <w:sz w:val="24"/>
                <w:szCs w:val="24"/>
                <w:color w:val="222222"/>
              </w:rPr>
              <w:t>(&gt;15  mast</w:t>
            </w:r>
          </w:p>
        </w:tc>
        <w:tc>
          <w:tcPr>
            <w:tcW w:w="142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r>
      <w:tr>
        <w:trPr>
          <w:trHeight w:val="416"/>
        </w:trPr>
        <w:tc>
          <w:tcPr>
            <w:tcW w:w="2000" w:type="dxa"/>
            <w:vAlign w:val="bottom"/>
            <w:tcBorders>
              <w:left w:val="single" w:sz="8" w:color="auto"/>
              <w:right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222222"/>
              </w:rPr>
              <w:t>hücresi içermeli)</w:t>
            </w:r>
          </w:p>
        </w:tc>
        <w:tc>
          <w:tcPr>
            <w:tcW w:w="142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r>
      <w:tr>
        <w:trPr>
          <w:trHeight w:val="413"/>
        </w:trPr>
        <w:tc>
          <w:tcPr>
            <w:tcW w:w="134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n:30</w:t>
            </w:r>
          </w:p>
        </w:tc>
        <w:tc>
          <w:tcPr>
            <w:tcW w:w="6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r>
      <w:tr>
        <w:trPr>
          <w:trHeight w:val="142"/>
        </w:trPr>
        <w:tc>
          <w:tcPr>
            <w:tcW w:w="1340" w:type="dxa"/>
            <w:vAlign w:val="bottom"/>
            <w:tcBorders>
              <w:left w:val="single" w:sz="8" w:color="auto"/>
              <w:bottom w:val="single" w:sz="8" w:color="auto"/>
            </w:tcBorders>
          </w:tcPr>
          <w:p>
            <w:pPr>
              <w:spacing w:after="0"/>
              <w:rPr>
                <w:sz w:val="12"/>
                <w:szCs w:val="12"/>
                <w:color w:val="auto"/>
              </w:rPr>
            </w:pPr>
          </w:p>
        </w:tc>
        <w:tc>
          <w:tcPr>
            <w:tcW w:w="66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560" w:type="dxa"/>
            <w:vAlign w:val="bottom"/>
            <w:tcBorders>
              <w:bottom w:val="single" w:sz="8" w:color="auto"/>
              <w:right w:val="single" w:sz="8" w:color="auto"/>
            </w:tcBorders>
          </w:tcPr>
          <w:p>
            <w:pPr>
              <w:spacing w:after="0"/>
              <w:rPr>
                <w:sz w:val="12"/>
                <w:szCs w:val="12"/>
                <w:color w:val="auto"/>
              </w:rPr>
            </w:pPr>
          </w:p>
        </w:tc>
        <w:tc>
          <w:tcPr>
            <w:tcW w:w="1260" w:type="dxa"/>
            <w:vAlign w:val="bottom"/>
            <w:tcBorders>
              <w:bottom w:val="single" w:sz="8" w:color="auto"/>
              <w:right w:val="single" w:sz="8" w:color="auto"/>
            </w:tcBorders>
          </w:tcPr>
          <w:p>
            <w:pPr>
              <w:spacing w:after="0"/>
              <w:rPr>
                <w:sz w:val="12"/>
                <w:szCs w:val="12"/>
                <w:color w:val="auto"/>
              </w:rPr>
            </w:pPr>
          </w:p>
        </w:tc>
        <w:tc>
          <w:tcPr>
            <w:tcW w:w="1580" w:type="dxa"/>
            <w:vAlign w:val="bottom"/>
            <w:tcBorders>
              <w:bottom w:val="single" w:sz="8" w:color="auto"/>
              <w:right w:val="single" w:sz="8" w:color="auto"/>
            </w:tcBorders>
          </w:tcPr>
          <w:p>
            <w:pPr>
              <w:spacing w:after="0"/>
              <w:rPr>
                <w:sz w:val="12"/>
                <w:szCs w:val="12"/>
                <w:color w:val="auto"/>
              </w:rPr>
            </w:pPr>
          </w:p>
        </w:tc>
        <w:tc>
          <w:tcPr>
            <w:tcW w:w="1120" w:type="dxa"/>
            <w:vAlign w:val="bottom"/>
            <w:tcBorders>
              <w:bottom w:val="single" w:sz="8" w:color="auto"/>
              <w:right w:val="single" w:sz="8" w:color="auto"/>
            </w:tcBorders>
          </w:tcPr>
          <w:p>
            <w:pPr>
              <w:spacing w:after="0"/>
              <w:rPr>
                <w:sz w:val="12"/>
                <w:szCs w:val="12"/>
                <w:color w:val="auto"/>
              </w:rPr>
            </w:pPr>
          </w:p>
        </w:tc>
      </w:tr>
      <w:tr>
        <w:trPr>
          <w:trHeight w:val="263"/>
        </w:trPr>
        <w:tc>
          <w:tcPr>
            <w:tcW w:w="1340" w:type="dxa"/>
            <w:vAlign w:val="bottom"/>
            <w:tcBorders>
              <w:lef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Dokudaki</w:t>
            </w:r>
          </w:p>
        </w:tc>
        <w:tc>
          <w:tcPr>
            <w:tcW w:w="66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222222"/>
              </w:rPr>
              <w:t>mast</w:t>
            </w:r>
          </w:p>
        </w:tc>
        <w:tc>
          <w:tcPr>
            <w:tcW w:w="14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28</w:t>
            </w:r>
            <w:r>
              <w:rPr>
                <w:rFonts w:ascii="Times New Roman" w:cs="Times New Roman" w:eastAsia="Times New Roman" w:hAnsi="Times New Roman"/>
                <w:sz w:val="24"/>
                <w:szCs w:val="24"/>
                <w:color w:val="222222"/>
              </w:rPr>
              <w:t>(bakılan)</w:t>
            </w:r>
          </w:p>
        </w:tc>
        <w:tc>
          <w:tcPr>
            <w:tcW w:w="156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15</w:t>
            </w:r>
          </w:p>
        </w:tc>
        <w:tc>
          <w:tcPr>
            <w:tcW w:w="126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w:t>
            </w:r>
          </w:p>
        </w:tc>
        <w:tc>
          <w:tcPr>
            <w:tcW w:w="15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9</w:t>
            </w:r>
          </w:p>
        </w:tc>
        <w:tc>
          <w:tcPr>
            <w:tcW w:w="11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3</w:t>
            </w:r>
          </w:p>
        </w:tc>
      </w:tr>
      <w:tr>
        <w:trPr>
          <w:trHeight w:val="413"/>
        </w:trPr>
        <w:tc>
          <w:tcPr>
            <w:tcW w:w="134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hücrelerinin</w:t>
            </w:r>
          </w:p>
        </w:tc>
        <w:tc>
          <w:tcPr>
            <w:tcW w:w="6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28(pozitif)</w:t>
            </w:r>
          </w:p>
        </w:tc>
        <w:tc>
          <w:tcPr>
            <w:tcW w:w="15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15(%100)</w:t>
            </w:r>
          </w:p>
        </w:tc>
        <w:tc>
          <w:tcPr>
            <w:tcW w:w="12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1(%100)</w:t>
            </w:r>
          </w:p>
        </w:tc>
        <w:tc>
          <w:tcPr>
            <w:tcW w:w="15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9(%100)</w:t>
            </w:r>
          </w:p>
        </w:tc>
        <w:tc>
          <w:tcPr>
            <w:tcW w:w="11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3(%100)</w:t>
            </w:r>
          </w:p>
        </w:tc>
      </w:tr>
      <w:tr>
        <w:trPr>
          <w:trHeight w:val="415"/>
        </w:trPr>
        <w:tc>
          <w:tcPr>
            <w:tcW w:w="2000" w:type="dxa"/>
            <w:vAlign w:val="bottom"/>
            <w:tcBorders>
              <w:left w:val="single" w:sz="8" w:color="auto"/>
              <w:right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222222"/>
              </w:rPr>
              <w:t>&gt;%25</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inde atipi</w:t>
            </w:r>
          </w:p>
        </w:tc>
        <w:tc>
          <w:tcPr>
            <w:tcW w:w="142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r>
      <w:tr>
        <w:trPr>
          <w:trHeight w:val="140"/>
        </w:trPr>
        <w:tc>
          <w:tcPr>
            <w:tcW w:w="1340" w:type="dxa"/>
            <w:vAlign w:val="bottom"/>
            <w:tcBorders>
              <w:left w:val="single" w:sz="8" w:color="auto"/>
              <w:bottom w:val="single" w:sz="8" w:color="auto"/>
            </w:tcBorders>
          </w:tcPr>
          <w:p>
            <w:pPr>
              <w:spacing w:after="0"/>
              <w:rPr>
                <w:sz w:val="12"/>
                <w:szCs w:val="12"/>
                <w:color w:val="auto"/>
              </w:rPr>
            </w:pPr>
          </w:p>
        </w:tc>
        <w:tc>
          <w:tcPr>
            <w:tcW w:w="66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560" w:type="dxa"/>
            <w:vAlign w:val="bottom"/>
            <w:tcBorders>
              <w:bottom w:val="single" w:sz="8" w:color="auto"/>
              <w:right w:val="single" w:sz="8" w:color="auto"/>
            </w:tcBorders>
          </w:tcPr>
          <w:p>
            <w:pPr>
              <w:spacing w:after="0"/>
              <w:rPr>
                <w:sz w:val="12"/>
                <w:szCs w:val="12"/>
                <w:color w:val="auto"/>
              </w:rPr>
            </w:pPr>
          </w:p>
        </w:tc>
        <w:tc>
          <w:tcPr>
            <w:tcW w:w="1260" w:type="dxa"/>
            <w:vAlign w:val="bottom"/>
            <w:tcBorders>
              <w:bottom w:val="single" w:sz="8" w:color="auto"/>
              <w:right w:val="single" w:sz="8" w:color="auto"/>
            </w:tcBorders>
          </w:tcPr>
          <w:p>
            <w:pPr>
              <w:spacing w:after="0"/>
              <w:rPr>
                <w:sz w:val="12"/>
                <w:szCs w:val="12"/>
                <w:color w:val="auto"/>
              </w:rPr>
            </w:pPr>
          </w:p>
        </w:tc>
        <w:tc>
          <w:tcPr>
            <w:tcW w:w="1580" w:type="dxa"/>
            <w:vAlign w:val="bottom"/>
            <w:tcBorders>
              <w:bottom w:val="single" w:sz="8" w:color="auto"/>
              <w:right w:val="single" w:sz="8" w:color="auto"/>
            </w:tcBorders>
          </w:tcPr>
          <w:p>
            <w:pPr>
              <w:spacing w:after="0"/>
              <w:rPr>
                <w:sz w:val="12"/>
                <w:szCs w:val="12"/>
                <w:color w:val="auto"/>
              </w:rPr>
            </w:pPr>
          </w:p>
        </w:tc>
        <w:tc>
          <w:tcPr>
            <w:tcW w:w="1120" w:type="dxa"/>
            <w:vAlign w:val="bottom"/>
            <w:tcBorders>
              <w:bottom w:val="single" w:sz="8" w:color="auto"/>
              <w:right w:val="single" w:sz="8" w:color="auto"/>
            </w:tcBorders>
          </w:tcPr>
          <w:p>
            <w:pPr>
              <w:spacing w:after="0"/>
              <w:rPr>
                <w:sz w:val="12"/>
                <w:szCs w:val="12"/>
                <w:color w:val="auto"/>
              </w:rPr>
            </w:pPr>
          </w:p>
        </w:tc>
      </w:tr>
      <w:tr>
        <w:trPr>
          <w:trHeight w:val="263"/>
        </w:trPr>
        <w:tc>
          <w:tcPr>
            <w:tcW w:w="1340" w:type="dxa"/>
            <w:vAlign w:val="bottom"/>
            <w:tcBorders>
              <w:lef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Aberran</w:t>
            </w:r>
          </w:p>
        </w:tc>
        <w:tc>
          <w:tcPr>
            <w:tcW w:w="660" w:type="dxa"/>
            <w:vAlign w:val="bottom"/>
            <w:tcBorders>
              <w:right w:val="single" w:sz="8" w:color="auto"/>
            </w:tcBorders>
          </w:tcPr>
          <w:p>
            <w:pPr>
              <w:spacing w:after="0"/>
              <w:rPr>
                <w:sz w:val="22"/>
                <w:szCs w:val="22"/>
                <w:color w:val="auto"/>
              </w:rPr>
            </w:pPr>
          </w:p>
        </w:tc>
        <w:tc>
          <w:tcPr>
            <w:tcW w:w="14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5</w:t>
            </w:r>
            <w:r>
              <w:rPr>
                <w:rFonts w:ascii="Times New Roman" w:cs="Times New Roman" w:eastAsia="Times New Roman" w:hAnsi="Times New Roman"/>
                <w:sz w:val="24"/>
                <w:szCs w:val="24"/>
                <w:color w:val="222222"/>
              </w:rPr>
              <w:t>(bakılan)</w:t>
            </w:r>
          </w:p>
        </w:tc>
        <w:tc>
          <w:tcPr>
            <w:tcW w:w="156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3</w:t>
            </w:r>
            <w:r>
              <w:rPr>
                <w:rFonts w:ascii="Times New Roman" w:cs="Times New Roman" w:eastAsia="Times New Roman" w:hAnsi="Times New Roman"/>
                <w:sz w:val="24"/>
                <w:szCs w:val="24"/>
                <w:color w:val="222222"/>
              </w:rPr>
              <w:t>(bakılan)</w:t>
            </w:r>
          </w:p>
        </w:tc>
        <w:tc>
          <w:tcPr>
            <w:tcW w:w="126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5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2</w:t>
            </w:r>
            <w:r>
              <w:rPr>
                <w:rFonts w:ascii="Times New Roman" w:cs="Times New Roman" w:eastAsia="Times New Roman" w:hAnsi="Times New Roman"/>
                <w:sz w:val="24"/>
                <w:szCs w:val="24"/>
                <w:color w:val="222222"/>
              </w:rPr>
              <w:t>(bakılan)</w:t>
            </w:r>
          </w:p>
        </w:tc>
        <w:tc>
          <w:tcPr>
            <w:tcW w:w="11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r>
      <w:tr>
        <w:trPr>
          <w:trHeight w:val="415"/>
        </w:trPr>
        <w:tc>
          <w:tcPr>
            <w:tcW w:w="134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CD25/CD2</w:t>
            </w:r>
          </w:p>
        </w:tc>
        <w:tc>
          <w:tcPr>
            <w:tcW w:w="6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5(pozitif)</w:t>
            </w:r>
          </w:p>
        </w:tc>
        <w:tc>
          <w:tcPr>
            <w:tcW w:w="15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3(pozitif)</w:t>
            </w: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2(pozitif)</w:t>
            </w:r>
          </w:p>
        </w:tc>
        <w:tc>
          <w:tcPr>
            <w:tcW w:w="1120" w:type="dxa"/>
            <w:vAlign w:val="bottom"/>
            <w:tcBorders>
              <w:right w:val="single" w:sz="8" w:color="auto"/>
            </w:tcBorders>
          </w:tcPr>
          <w:p>
            <w:pPr>
              <w:spacing w:after="0"/>
              <w:rPr>
                <w:sz w:val="24"/>
                <w:szCs w:val="24"/>
                <w:color w:val="auto"/>
              </w:rPr>
            </w:pPr>
          </w:p>
        </w:tc>
      </w:tr>
      <w:tr>
        <w:trPr>
          <w:trHeight w:val="413"/>
        </w:trPr>
        <w:tc>
          <w:tcPr>
            <w:tcW w:w="134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ekspresyonu</w:t>
            </w:r>
          </w:p>
        </w:tc>
        <w:tc>
          <w:tcPr>
            <w:tcW w:w="6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r>
      <w:tr>
        <w:trPr>
          <w:trHeight w:val="415"/>
        </w:trPr>
        <w:tc>
          <w:tcPr>
            <w:tcW w:w="1340" w:type="dxa"/>
            <w:vAlign w:val="bottom"/>
            <w:tcBorders>
              <w:left w:val="single" w:sz="8" w:color="auto"/>
            </w:tcBorders>
          </w:tcPr>
          <w:p>
            <w:pPr>
              <w:ind w:left="220"/>
              <w:spacing w:after="0"/>
              <w:rPr>
                <w:sz w:val="20"/>
                <w:szCs w:val="20"/>
                <w:color w:val="auto"/>
              </w:rPr>
            </w:pPr>
            <w:r>
              <w:rPr>
                <w:rFonts w:ascii="Times New Roman" w:cs="Times New Roman" w:eastAsia="Times New Roman" w:hAnsi="Times New Roman"/>
                <w:sz w:val="24"/>
                <w:szCs w:val="24"/>
                <w:color w:val="222222"/>
              </w:rPr>
              <w:t>CD2</w:t>
            </w:r>
          </w:p>
        </w:tc>
        <w:tc>
          <w:tcPr>
            <w:tcW w:w="6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5</w:t>
            </w:r>
          </w:p>
        </w:tc>
        <w:tc>
          <w:tcPr>
            <w:tcW w:w="15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3(%100)</w:t>
            </w:r>
          </w:p>
        </w:tc>
        <w:tc>
          <w:tcPr>
            <w:tcW w:w="12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w:t>
            </w:r>
          </w:p>
        </w:tc>
        <w:tc>
          <w:tcPr>
            <w:tcW w:w="15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2(%100)</w:t>
            </w:r>
          </w:p>
        </w:tc>
        <w:tc>
          <w:tcPr>
            <w:tcW w:w="11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w:t>
            </w:r>
          </w:p>
        </w:tc>
      </w:tr>
      <w:tr>
        <w:trPr>
          <w:trHeight w:val="413"/>
        </w:trPr>
        <w:tc>
          <w:tcPr>
            <w:tcW w:w="1340" w:type="dxa"/>
            <w:vAlign w:val="bottom"/>
            <w:tcBorders>
              <w:left w:val="single" w:sz="8" w:color="auto"/>
            </w:tcBorders>
          </w:tcPr>
          <w:p>
            <w:pPr>
              <w:ind w:left="220"/>
              <w:spacing w:after="0"/>
              <w:rPr>
                <w:sz w:val="20"/>
                <w:szCs w:val="20"/>
                <w:color w:val="auto"/>
              </w:rPr>
            </w:pPr>
            <w:r>
              <w:rPr>
                <w:rFonts w:ascii="Times New Roman" w:cs="Times New Roman" w:eastAsia="Times New Roman" w:hAnsi="Times New Roman"/>
                <w:sz w:val="24"/>
                <w:szCs w:val="24"/>
                <w:color w:val="222222"/>
              </w:rPr>
              <w:t>CD25</w:t>
            </w:r>
          </w:p>
        </w:tc>
        <w:tc>
          <w:tcPr>
            <w:tcW w:w="6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2</w:t>
            </w:r>
          </w:p>
        </w:tc>
        <w:tc>
          <w:tcPr>
            <w:tcW w:w="15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1(%100)</w:t>
            </w:r>
          </w:p>
        </w:tc>
        <w:tc>
          <w:tcPr>
            <w:tcW w:w="12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w:t>
            </w:r>
          </w:p>
        </w:tc>
        <w:tc>
          <w:tcPr>
            <w:tcW w:w="15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1(%100)</w:t>
            </w:r>
          </w:p>
        </w:tc>
        <w:tc>
          <w:tcPr>
            <w:tcW w:w="11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w:t>
            </w:r>
          </w:p>
        </w:tc>
      </w:tr>
      <w:tr>
        <w:trPr>
          <w:trHeight w:val="555"/>
        </w:trPr>
        <w:tc>
          <w:tcPr>
            <w:tcW w:w="2000" w:type="dxa"/>
            <w:vAlign w:val="bottom"/>
            <w:tcBorders>
              <w:left w:val="single" w:sz="8" w:color="auto"/>
              <w:bottom w:val="single" w:sz="8" w:color="auto"/>
              <w:right w:val="single" w:sz="8" w:color="auto"/>
            </w:tcBorders>
            <w:gridSpan w:val="2"/>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c>
          <w:tcPr>
            <w:tcW w:w="1560" w:type="dxa"/>
            <w:vAlign w:val="bottom"/>
            <w:tcBorders>
              <w:bottom w:val="single" w:sz="8" w:color="auto"/>
              <w:right w:val="single" w:sz="8" w:color="auto"/>
            </w:tcBorders>
          </w:tcPr>
          <w:p>
            <w:pPr>
              <w:spacing w:after="0"/>
              <w:rPr>
                <w:sz w:val="24"/>
                <w:szCs w:val="24"/>
                <w:color w:val="auto"/>
              </w:rPr>
            </w:pPr>
          </w:p>
        </w:tc>
        <w:tc>
          <w:tcPr>
            <w:tcW w:w="1260" w:type="dxa"/>
            <w:vAlign w:val="bottom"/>
            <w:tcBorders>
              <w:bottom w:val="single" w:sz="8" w:color="auto"/>
              <w:right w:val="single" w:sz="8" w:color="auto"/>
            </w:tcBorders>
          </w:tcPr>
          <w:p>
            <w:pPr>
              <w:spacing w:after="0"/>
              <w:rPr>
                <w:sz w:val="24"/>
                <w:szCs w:val="24"/>
                <w:color w:val="auto"/>
              </w:rPr>
            </w:pPr>
          </w:p>
        </w:tc>
        <w:tc>
          <w:tcPr>
            <w:tcW w:w="158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spacing w:after="0"/>
              <w:rPr>
                <w:sz w:val="24"/>
                <w:szCs w:val="24"/>
                <w:color w:val="auto"/>
              </w:rPr>
            </w:pPr>
          </w:p>
        </w:tc>
      </w:tr>
      <w:tr>
        <w:trPr>
          <w:trHeight w:val="263"/>
        </w:trPr>
        <w:tc>
          <w:tcPr>
            <w:tcW w:w="2000" w:type="dxa"/>
            <w:vAlign w:val="bottom"/>
            <w:tcBorders>
              <w:left w:val="single" w:sz="8" w:color="auto"/>
              <w:right w:val="single" w:sz="8" w:color="auto"/>
            </w:tcBorders>
            <w:gridSpan w:val="2"/>
          </w:tcPr>
          <w:p>
            <w:pPr>
              <w:ind w:left="100"/>
              <w:spacing w:after="0" w:line="263" w:lineRule="exact"/>
              <w:rPr>
                <w:sz w:val="20"/>
                <w:szCs w:val="20"/>
                <w:color w:val="auto"/>
              </w:rPr>
            </w:pPr>
            <w:r>
              <w:rPr>
                <w:rFonts w:ascii="Times New Roman" w:cs="Times New Roman" w:eastAsia="Times New Roman" w:hAnsi="Times New Roman"/>
                <w:sz w:val="24"/>
                <w:szCs w:val="24"/>
                <w:color w:val="222222"/>
              </w:rPr>
              <w:t>C-</w:t>
            </w:r>
            <w:r>
              <w:rPr>
                <w:rFonts w:ascii="Times New Roman" w:cs="Times New Roman" w:eastAsia="Times New Roman" w:hAnsi="Times New Roman"/>
                <w:sz w:val="24"/>
                <w:szCs w:val="24"/>
                <w:color w:val="222222"/>
              </w:rPr>
              <w:t>KİT D816V</w:t>
            </w:r>
          </w:p>
        </w:tc>
        <w:tc>
          <w:tcPr>
            <w:tcW w:w="14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3(bakılan)</w:t>
            </w:r>
          </w:p>
        </w:tc>
        <w:tc>
          <w:tcPr>
            <w:tcW w:w="156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w:t>
            </w:r>
          </w:p>
        </w:tc>
        <w:tc>
          <w:tcPr>
            <w:tcW w:w="126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5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2</w:t>
            </w:r>
            <w:r>
              <w:rPr>
                <w:rFonts w:ascii="Times New Roman" w:cs="Times New Roman" w:eastAsia="Times New Roman" w:hAnsi="Times New Roman"/>
                <w:sz w:val="24"/>
                <w:szCs w:val="24"/>
                <w:color w:val="222222"/>
              </w:rPr>
              <w:t>(bakılan)</w:t>
            </w:r>
          </w:p>
        </w:tc>
        <w:tc>
          <w:tcPr>
            <w:tcW w:w="11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r>
      <w:tr>
        <w:trPr>
          <w:trHeight w:val="415"/>
        </w:trPr>
        <w:tc>
          <w:tcPr>
            <w:tcW w:w="134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Mutasyon</w:t>
            </w:r>
          </w:p>
        </w:tc>
        <w:tc>
          <w:tcPr>
            <w:tcW w:w="6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1(pozitif)(%</w:t>
            </w:r>
          </w:p>
        </w:tc>
        <w:tc>
          <w:tcPr>
            <w:tcW w:w="15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w:t>
            </w: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1(%50,0)</w:t>
            </w:r>
          </w:p>
        </w:tc>
        <w:tc>
          <w:tcPr>
            <w:tcW w:w="1120" w:type="dxa"/>
            <w:vAlign w:val="bottom"/>
            <w:tcBorders>
              <w:right w:val="single" w:sz="8" w:color="auto"/>
            </w:tcBorders>
          </w:tcPr>
          <w:p>
            <w:pPr>
              <w:spacing w:after="0"/>
              <w:rPr>
                <w:sz w:val="24"/>
                <w:szCs w:val="24"/>
                <w:color w:val="auto"/>
              </w:rPr>
            </w:pPr>
          </w:p>
        </w:tc>
      </w:tr>
      <w:tr>
        <w:trPr>
          <w:trHeight w:val="413"/>
        </w:trPr>
        <w:tc>
          <w:tcPr>
            <w:tcW w:w="134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pozitifliği</w:t>
            </w:r>
          </w:p>
        </w:tc>
        <w:tc>
          <w:tcPr>
            <w:tcW w:w="6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33,3)</w:t>
            </w:r>
          </w:p>
        </w:tc>
        <w:tc>
          <w:tcPr>
            <w:tcW w:w="15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r>
      <w:tr>
        <w:trPr>
          <w:trHeight w:val="415"/>
        </w:trPr>
        <w:tc>
          <w:tcPr>
            <w:tcW w:w="134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n:1</w:t>
            </w:r>
          </w:p>
        </w:tc>
        <w:tc>
          <w:tcPr>
            <w:tcW w:w="6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r>
      <w:tr>
        <w:trPr>
          <w:trHeight w:val="140"/>
        </w:trPr>
        <w:tc>
          <w:tcPr>
            <w:tcW w:w="2000" w:type="dxa"/>
            <w:vAlign w:val="bottom"/>
            <w:tcBorders>
              <w:left w:val="single" w:sz="8" w:color="auto"/>
              <w:bottom w:val="single" w:sz="8" w:color="auto"/>
              <w:right w:val="single" w:sz="8" w:color="auto"/>
            </w:tcBorders>
            <w:gridSpan w:val="2"/>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560" w:type="dxa"/>
            <w:vAlign w:val="bottom"/>
            <w:tcBorders>
              <w:bottom w:val="single" w:sz="8" w:color="auto"/>
              <w:right w:val="single" w:sz="8" w:color="auto"/>
            </w:tcBorders>
          </w:tcPr>
          <w:p>
            <w:pPr>
              <w:spacing w:after="0"/>
              <w:rPr>
                <w:sz w:val="12"/>
                <w:szCs w:val="12"/>
                <w:color w:val="auto"/>
              </w:rPr>
            </w:pPr>
          </w:p>
        </w:tc>
        <w:tc>
          <w:tcPr>
            <w:tcW w:w="1260" w:type="dxa"/>
            <w:vAlign w:val="bottom"/>
            <w:tcBorders>
              <w:bottom w:val="single" w:sz="8" w:color="auto"/>
              <w:right w:val="single" w:sz="8" w:color="auto"/>
            </w:tcBorders>
          </w:tcPr>
          <w:p>
            <w:pPr>
              <w:spacing w:after="0"/>
              <w:rPr>
                <w:sz w:val="12"/>
                <w:szCs w:val="12"/>
                <w:color w:val="auto"/>
              </w:rPr>
            </w:pPr>
          </w:p>
        </w:tc>
        <w:tc>
          <w:tcPr>
            <w:tcW w:w="1580" w:type="dxa"/>
            <w:vAlign w:val="bottom"/>
            <w:tcBorders>
              <w:bottom w:val="single" w:sz="8" w:color="auto"/>
              <w:right w:val="single" w:sz="8" w:color="auto"/>
            </w:tcBorders>
          </w:tcPr>
          <w:p>
            <w:pPr>
              <w:spacing w:after="0"/>
              <w:rPr>
                <w:sz w:val="12"/>
                <w:szCs w:val="12"/>
                <w:color w:val="auto"/>
              </w:rPr>
            </w:pPr>
          </w:p>
        </w:tc>
        <w:tc>
          <w:tcPr>
            <w:tcW w:w="1120" w:type="dxa"/>
            <w:vAlign w:val="bottom"/>
            <w:tcBorders>
              <w:bottom w:val="single" w:sz="8" w:color="auto"/>
              <w:right w:val="single" w:sz="8" w:color="auto"/>
            </w:tcBorders>
          </w:tcPr>
          <w:p>
            <w:pPr>
              <w:spacing w:after="0"/>
              <w:rPr>
                <w:sz w:val="12"/>
                <w:szCs w:val="12"/>
                <w:color w:val="auto"/>
              </w:rPr>
            </w:pPr>
          </w:p>
        </w:tc>
      </w:tr>
      <w:tr>
        <w:trPr>
          <w:trHeight w:val="265"/>
        </w:trPr>
        <w:tc>
          <w:tcPr>
            <w:tcW w:w="2000" w:type="dxa"/>
            <w:vAlign w:val="bottom"/>
            <w:tcBorders>
              <w:left w:val="single" w:sz="8" w:color="auto"/>
              <w:right w:val="single" w:sz="8" w:color="auto"/>
            </w:tcBorders>
            <w:gridSpan w:val="2"/>
          </w:tcPr>
          <w:p>
            <w:pPr>
              <w:ind w:left="100"/>
              <w:spacing w:after="0" w:line="265" w:lineRule="exact"/>
              <w:rPr>
                <w:sz w:val="20"/>
                <w:szCs w:val="20"/>
                <w:color w:val="auto"/>
              </w:rPr>
            </w:pPr>
            <w:r>
              <w:rPr>
                <w:rFonts w:ascii="Times New Roman" w:cs="Times New Roman" w:eastAsia="Times New Roman" w:hAnsi="Times New Roman"/>
                <w:sz w:val="24"/>
                <w:szCs w:val="24"/>
                <w:color w:val="222222"/>
              </w:rPr>
              <w:t>Triptaz &gt;20 ng/ml</w:t>
            </w:r>
          </w:p>
        </w:tc>
        <w:tc>
          <w:tcPr>
            <w:tcW w:w="1420" w:type="dxa"/>
            <w:vAlign w:val="bottom"/>
            <w:tcBorders>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4"/>
                <w:szCs w:val="24"/>
                <w:color w:val="222222"/>
              </w:rPr>
              <w:t>16(bakılan)</w:t>
            </w:r>
          </w:p>
        </w:tc>
        <w:tc>
          <w:tcPr>
            <w:tcW w:w="1560" w:type="dxa"/>
            <w:vAlign w:val="bottom"/>
            <w:tcBorders>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4"/>
                <w:szCs w:val="24"/>
                <w:color w:val="222222"/>
              </w:rPr>
              <w:t>8</w:t>
            </w:r>
          </w:p>
        </w:tc>
        <w:tc>
          <w:tcPr>
            <w:tcW w:w="1260" w:type="dxa"/>
            <w:vAlign w:val="bottom"/>
            <w:tcBorders>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4"/>
                <w:szCs w:val="24"/>
                <w:color w:val="222222"/>
              </w:rPr>
              <w:t>1</w:t>
            </w:r>
          </w:p>
        </w:tc>
        <w:tc>
          <w:tcPr>
            <w:tcW w:w="158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6</w:t>
            </w:r>
          </w:p>
        </w:tc>
        <w:tc>
          <w:tcPr>
            <w:tcW w:w="1120" w:type="dxa"/>
            <w:vAlign w:val="bottom"/>
            <w:tcBorders>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4"/>
                <w:szCs w:val="24"/>
                <w:color w:val="222222"/>
              </w:rPr>
              <w:t>1</w:t>
            </w:r>
          </w:p>
        </w:tc>
      </w:tr>
      <w:tr>
        <w:trPr>
          <w:trHeight w:val="413"/>
        </w:trPr>
        <w:tc>
          <w:tcPr>
            <w:tcW w:w="1340" w:type="dxa"/>
            <w:vAlign w:val="bottom"/>
            <w:tcBorders>
              <w:left w:val="single" w:sz="8" w:color="auto"/>
            </w:tcBorders>
          </w:tcPr>
          <w:p>
            <w:pPr>
              <w:spacing w:after="0"/>
              <w:rPr>
                <w:sz w:val="24"/>
                <w:szCs w:val="24"/>
                <w:color w:val="auto"/>
              </w:rPr>
            </w:pPr>
          </w:p>
        </w:tc>
        <w:tc>
          <w:tcPr>
            <w:tcW w:w="6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13(%81,3)</w:t>
            </w:r>
          </w:p>
        </w:tc>
        <w:tc>
          <w:tcPr>
            <w:tcW w:w="15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6(%75)</w:t>
            </w:r>
          </w:p>
        </w:tc>
        <w:tc>
          <w:tcPr>
            <w:tcW w:w="12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1(%100)</w:t>
            </w:r>
          </w:p>
        </w:tc>
        <w:tc>
          <w:tcPr>
            <w:tcW w:w="15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5(%83,3)</w:t>
            </w:r>
          </w:p>
        </w:tc>
        <w:tc>
          <w:tcPr>
            <w:tcW w:w="11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1(%100)</w:t>
            </w:r>
          </w:p>
        </w:tc>
      </w:tr>
      <w:tr>
        <w:trPr>
          <w:trHeight w:val="142"/>
        </w:trPr>
        <w:tc>
          <w:tcPr>
            <w:tcW w:w="1340" w:type="dxa"/>
            <w:vAlign w:val="bottom"/>
            <w:tcBorders>
              <w:left w:val="single" w:sz="8" w:color="auto"/>
              <w:bottom w:val="single" w:sz="8" w:color="auto"/>
            </w:tcBorders>
          </w:tcPr>
          <w:p>
            <w:pPr>
              <w:spacing w:after="0"/>
              <w:rPr>
                <w:sz w:val="12"/>
                <w:szCs w:val="12"/>
                <w:color w:val="auto"/>
              </w:rPr>
            </w:pPr>
          </w:p>
        </w:tc>
        <w:tc>
          <w:tcPr>
            <w:tcW w:w="66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560" w:type="dxa"/>
            <w:vAlign w:val="bottom"/>
            <w:tcBorders>
              <w:bottom w:val="single" w:sz="8" w:color="auto"/>
              <w:right w:val="single" w:sz="8" w:color="auto"/>
            </w:tcBorders>
          </w:tcPr>
          <w:p>
            <w:pPr>
              <w:spacing w:after="0"/>
              <w:rPr>
                <w:sz w:val="12"/>
                <w:szCs w:val="12"/>
                <w:color w:val="auto"/>
              </w:rPr>
            </w:pPr>
          </w:p>
        </w:tc>
        <w:tc>
          <w:tcPr>
            <w:tcW w:w="1260" w:type="dxa"/>
            <w:vAlign w:val="bottom"/>
            <w:tcBorders>
              <w:bottom w:val="single" w:sz="8" w:color="auto"/>
              <w:right w:val="single" w:sz="8" w:color="auto"/>
            </w:tcBorders>
          </w:tcPr>
          <w:p>
            <w:pPr>
              <w:spacing w:after="0"/>
              <w:rPr>
                <w:sz w:val="12"/>
                <w:szCs w:val="12"/>
                <w:color w:val="auto"/>
              </w:rPr>
            </w:pPr>
          </w:p>
        </w:tc>
        <w:tc>
          <w:tcPr>
            <w:tcW w:w="1580" w:type="dxa"/>
            <w:vAlign w:val="bottom"/>
            <w:tcBorders>
              <w:bottom w:val="single" w:sz="8" w:color="auto"/>
              <w:right w:val="single" w:sz="8" w:color="auto"/>
            </w:tcBorders>
          </w:tcPr>
          <w:p>
            <w:pPr>
              <w:spacing w:after="0"/>
              <w:rPr>
                <w:sz w:val="12"/>
                <w:szCs w:val="12"/>
                <w:color w:val="auto"/>
              </w:rPr>
            </w:pPr>
          </w:p>
        </w:tc>
        <w:tc>
          <w:tcPr>
            <w:tcW w:w="1120" w:type="dxa"/>
            <w:vAlign w:val="bottom"/>
            <w:tcBorders>
              <w:bottom w:val="single" w:sz="8" w:color="auto"/>
              <w:right w:val="single" w:sz="8" w:color="auto"/>
            </w:tcBorders>
          </w:tcPr>
          <w:p>
            <w:pPr>
              <w:spacing w:after="0"/>
              <w:rPr>
                <w:sz w:val="12"/>
                <w:szCs w:val="1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-4040505</wp:posOffset>
            </wp:positionV>
            <wp:extent cx="4699000" cy="18542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364" w:lineRule="exact"/>
        <w:rPr>
          <w:sz w:val="20"/>
          <w:szCs w:val="20"/>
          <w:color w:val="auto"/>
        </w:rPr>
      </w:pPr>
    </w:p>
    <w:p>
      <w:pPr>
        <w:jc w:val="both"/>
        <w:ind w:left="820" w:right="620" w:firstLine="708"/>
        <w:spacing w:after="0" w:line="356" w:lineRule="auto"/>
        <w:rPr>
          <w:sz w:val="20"/>
          <w:szCs w:val="20"/>
          <w:color w:val="auto"/>
        </w:rPr>
      </w:pPr>
      <w:r>
        <w:rPr>
          <w:rFonts w:ascii="Times New Roman" w:cs="Times New Roman" w:eastAsia="Times New Roman" w:hAnsi="Times New Roman"/>
          <w:sz w:val="24"/>
          <w:szCs w:val="24"/>
          <w:color w:val="222222"/>
        </w:rPr>
        <w:t>Major kriter olarak değerlendirilen infiltre edilen dokuda &gt;15 mast hücresi içeren multifokal dens agregat saptanması sistemik mastositoz tanısı alan tüm hastalarda saptandı. Dokuyu infiltre eden mast hücrelerin &gt;%25’inde atipi saptanması ise değerlendiril</w:t>
      </w:r>
      <w:r>
        <w:rPr>
          <w:rFonts w:ascii="Times New Roman" w:cs="Times New Roman" w:eastAsia="Times New Roman" w:hAnsi="Times New Roman"/>
          <w:sz w:val="24"/>
          <w:szCs w:val="24"/>
          <w:color w:val="222222"/>
        </w:rPr>
        <w:t>ebilen 28</w:t>
      </w:r>
      <w:r>
        <w:rPr>
          <w:rFonts w:ascii="Times New Roman" w:cs="Times New Roman" w:eastAsia="Times New Roman" w:hAnsi="Times New Roman"/>
          <w:sz w:val="24"/>
          <w:szCs w:val="24"/>
          <w:color w:val="222222"/>
        </w:rPr>
        <w:t xml:space="preserve"> hastanın tamamında saptandı.</w:t>
      </w:r>
    </w:p>
    <w:p>
      <w:pPr>
        <w:sectPr>
          <w:pgSz w:w="11900" w:h="16838" w:orient="portrait"/>
          <w:cols w:equalWidth="0" w:num="1">
            <w:col w:w="9660"/>
          </w:cols>
          <w:pgMar w:left="1440" w:top="702" w:right="806" w:bottom="1440" w:gutter="0" w:footer="0" w:header="0"/>
        </w:sectPr>
      </w:pPr>
    </w:p>
    <w:bookmarkStart w:id="44" w:name="page45"/>
    <w:bookmarkEnd w:id="44"/>
    <w:p>
      <w:pPr>
        <w:jc w:val="right"/>
        <w:spacing w:after="0"/>
        <w:rPr>
          <w:sz w:val="20"/>
          <w:szCs w:val="20"/>
          <w:color w:val="auto"/>
        </w:rPr>
      </w:pPr>
      <w:r>
        <w:rPr>
          <w:rFonts w:ascii="Calibri" w:cs="Calibri" w:eastAsia="Calibri" w:hAnsi="Calibri"/>
          <w:sz w:val="22"/>
          <w:szCs w:val="22"/>
          <w:color w:val="auto"/>
        </w:rPr>
        <w:t>34</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firstLine="708"/>
        <w:spacing w:after="0" w:line="354" w:lineRule="auto"/>
        <w:rPr>
          <w:sz w:val="20"/>
          <w:szCs w:val="20"/>
          <w:color w:val="auto"/>
        </w:rPr>
      </w:pPr>
      <w:r>
        <w:rPr>
          <w:rFonts w:ascii="Times New Roman" w:cs="Times New Roman" w:eastAsia="Times New Roman" w:hAnsi="Times New Roman"/>
          <w:sz w:val="24"/>
          <w:szCs w:val="24"/>
          <w:color w:val="222222"/>
        </w:rPr>
        <w:t>C-</w:t>
      </w:r>
      <w:r>
        <w:rPr>
          <w:rFonts w:ascii="Times New Roman" w:cs="Times New Roman" w:eastAsia="Times New Roman" w:hAnsi="Times New Roman"/>
          <w:sz w:val="24"/>
          <w:szCs w:val="24"/>
          <w:color w:val="222222"/>
        </w:rPr>
        <w:t>KİT D816V mutasyonunun toplamda üç hastada değerlendirildiği görüldü.</w:t>
      </w:r>
      <w:r>
        <w:rPr>
          <w:rFonts w:ascii="Times New Roman" w:cs="Times New Roman" w:eastAsia="Times New Roman" w:hAnsi="Times New Roman"/>
          <w:sz w:val="24"/>
          <w:szCs w:val="24"/>
          <w:color w:val="222222"/>
        </w:rPr>
        <w:t xml:space="preserve"> C-</w:t>
      </w:r>
      <w:r>
        <w:rPr>
          <w:rFonts w:ascii="Times New Roman" w:cs="Times New Roman" w:eastAsia="Times New Roman" w:hAnsi="Times New Roman"/>
          <w:sz w:val="24"/>
          <w:szCs w:val="24"/>
          <w:color w:val="222222"/>
        </w:rPr>
        <w:t>KİT D816V mutasyonunun</w:t>
      </w:r>
      <w:r>
        <w:rPr>
          <w:rFonts w:ascii="Times New Roman" w:cs="Times New Roman" w:eastAsia="Times New Roman" w:hAnsi="Times New Roman"/>
          <w:sz w:val="24"/>
          <w:szCs w:val="24"/>
          <w:color w:val="222222"/>
        </w:rPr>
        <w:t xml:space="preserve"> 2 ASM ve 1 </w:t>
      </w:r>
      <w:r>
        <w:rPr>
          <w:rFonts w:ascii="Times New Roman" w:cs="Times New Roman" w:eastAsia="Times New Roman" w:hAnsi="Times New Roman"/>
          <w:sz w:val="24"/>
          <w:szCs w:val="24"/>
          <w:color w:val="222222"/>
        </w:rPr>
        <w:t>İSM hastasında bakıldığı görül</w:t>
      </w:r>
      <w:r>
        <w:rPr>
          <w:rFonts w:ascii="Times New Roman" w:cs="Times New Roman" w:eastAsia="Times New Roman" w:hAnsi="Times New Roman"/>
          <w:sz w:val="24"/>
          <w:szCs w:val="24"/>
          <w:color w:val="222222"/>
        </w:rPr>
        <w:t xml:space="preserve">dü. ASM </w:t>
      </w:r>
      <w:r>
        <w:rPr>
          <w:rFonts w:ascii="Times New Roman" w:cs="Times New Roman" w:eastAsia="Times New Roman" w:hAnsi="Times New Roman"/>
          <w:sz w:val="24"/>
          <w:szCs w:val="24"/>
          <w:color w:val="222222"/>
        </w:rPr>
        <w:t xml:space="preserve">tanılı </w:t>
      </w:r>
      <w:r>
        <w:rPr>
          <w:rFonts w:ascii="Times New Roman" w:cs="Times New Roman" w:eastAsia="Times New Roman" w:hAnsi="Times New Roman"/>
          <w:sz w:val="24"/>
          <w:szCs w:val="24"/>
          <w:color w:val="222222"/>
        </w:rPr>
        <w:t>1(%50) hastada</w:t>
      </w:r>
      <w:r>
        <w:rPr>
          <w:rFonts w:ascii="Times New Roman" w:cs="Times New Roman" w:eastAsia="Times New Roman" w:hAnsi="Times New Roman"/>
          <w:sz w:val="24"/>
          <w:szCs w:val="24"/>
          <w:color w:val="222222"/>
        </w:rPr>
        <w:t xml:space="preserve"> pozitif saptandı. İSM tanılı hastada ise pozitiflik görülmedi.</w:t>
      </w:r>
    </w:p>
    <w:p>
      <w:pPr>
        <w:spacing w:after="0" w:line="180" w:lineRule="exact"/>
        <w:rPr>
          <w:sz w:val="20"/>
          <w:szCs w:val="20"/>
          <w:color w:val="auto"/>
        </w:rPr>
      </w:pPr>
    </w:p>
    <w:p>
      <w:pPr>
        <w:jc w:val="both"/>
        <w:ind w:left="820" w:right="20" w:firstLine="708"/>
        <w:spacing w:after="0" w:line="357" w:lineRule="auto"/>
        <w:rPr>
          <w:sz w:val="20"/>
          <w:szCs w:val="20"/>
          <w:color w:val="auto"/>
        </w:rPr>
      </w:pPr>
      <w:r>
        <w:rPr>
          <w:rFonts w:ascii="Times New Roman" w:cs="Times New Roman" w:eastAsia="Times New Roman" w:hAnsi="Times New Roman"/>
          <w:sz w:val="24"/>
          <w:szCs w:val="24"/>
          <w:color w:val="222222"/>
        </w:rPr>
        <w:t xml:space="preserve">Aberran CD25/CD2 ekspresyonunun toplamda 5 hastada değerlendirildiği görüldü. Aberran CD2 ekspresyonunu toplamda 5 hastada bakıldığı ve hepsinde pozitif olduğu görüldü. Bu hastaların </w:t>
      </w:r>
      <w:r>
        <w:rPr>
          <w:rFonts w:ascii="Times New Roman" w:cs="Times New Roman" w:eastAsia="Times New Roman" w:hAnsi="Times New Roman"/>
          <w:sz w:val="24"/>
          <w:szCs w:val="24"/>
          <w:color w:val="222222"/>
        </w:rPr>
        <w:t>3</w:t>
      </w:r>
      <w:r>
        <w:rPr>
          <w:rFonts w:ascii="Times New Roman" w:cs="Times New Roman" w:eastAsia="Times New Roman" w:hAnsi="Times New Roman"/>
          <w:sz w:val="24"/>
          <w:szCs w:val="24"/>
          <w:color w:val="222222"/>
        </w:rPr>
        <w:t xml:space="preserve">(%100) tanesi İSM ve </w:t>
      </w:r>
      <w:r>
        <w:rPr>
          <w:rFonts w:ascii="Times New Roman" w:cs="Times New Roman" w:eastAsia="Times New Roman" w:hAnsi="Times New Roman"/>
          <w:sz w:val="24"/>
          <w:szCs w:val="24"/>
          <w:color w:val="222222"/>
        </w:rPr>
        <w:t>2(%100) tanesi ASM</w:t>
      </w:r>
      <w:r>
        <w:rPr>
          <w:rFonts w:ascii="Times New Roman" w:cs="Times New Roman" w:eastAsia="Times New Roman" w:hAnsi="Times New Roman"/>
          <w:sz w:val="24"/>
          <w:szCs w:val="24"/>
          <w:color w:val="222222"/>
        </w:rPr>
        <w:t xml:space="preserve"> hastasıydı. CD25 ekspresyonunun toplamda iki hastada değerlendirildiği görüldü. Bu hastaların bir tanesi İSM ve bir tanesi de ASM tanılıydı ve iki hastada da pozitifti.</w:t>
      </w:r>
    </w:p>
    <w:p>
      <w:pPr>
        <w:spacing w:after="0" w:line="178" w:lineRule="exact"/>
        <w:rPr>
          <w:sz w:val="20"/>
          <w:szCs w:val="20"/>
          <w:color w:val="auto"/>
        </w:rPr>
      </w:pPr>
    </w:p>
    <w:p>
      <w:pPr>
        <w:jc w:val="both"/>
        <w:ind w:left="820" w:firstLine="708"/>
        <w:spacing w:after="0" w:line="357" w:lineRule="auto"/>
        <w:rPr>
          <w:sz w:val="20"/>
          <w:szCs w:val="20"/>
          <w:color w:val="auto"/>
        </w:rPr>
      </w:pPr>
      <w:r>
        <w:rPr>
          <w:rFonts w:ascii="Times New Roman" w:cs="Times New Roman" w:eastAsia="Times New Roman" w:hAnsi="Times New Roman"/>
          <w:sz w:val="24"/>
          <w:szCs w:val="24"/>
          <w:color w:val="222222"/>
        </w:rPr>
        <w:t xml:space="preserve">Triptaz düzeyinin &gt;20 ng/ml olması diğer bir minör kriterdir. Hastaların toplamda 16 tanesi bu açıdan değerlendirilmişti. Değerlendirilebilen hastaların 13(%81,3) tanesinde triptaz &gt;20 ng/ml olarak saptandı. İSM ile takipli hastaların </w:t>
      </w:r>
      <w:r>
        <w:rPr>
          <w:rFonts w:ascii="Times New Roman" w:cs="Times New Roman" w:eastAsia="Times New Roman" w:hAnsi="Times New Roman"/>
          <w:sz w:val="24"/>
          <w:szCs w:val="24"/>
          <w:color w:val="222222"/>
        </w:rPr>
        <w:t xml:space="preserve">6(%75) </w:t>
      </w:r>
      <w:r>
        <w:rPr>
          <w:rFonts w:ascii="Times New Roman" w:cs="Times New Roman" w:eastAsia="Times New Roman" w:hAnsi="Times New Roman"/>
          <w:sz w:val="24"/>
          <w:szCs w:val="24"/>
          <w:color w:val="222222"/>
        </w:rPr>
        <w:t>tanesi, ASM ile takipli hastaların</w:t>
      </w:r>
      <w:r>
        <w:rPr>
          <w:rFonts w:ascii="Times New Roman" w:cs="Times New Roman" w:eastAsia="Times New Roman" w:hAnsi="Times New Roman"/>
          <w:sz w:val="24"/>
          <w:szCs w:val="24"/>
          <w:color w:val="222222"/>
        </w:rPr>
        <w:t xml:space="preserve"> 5(%83,3) tanesi, SSM ile takipli has</w:t>
      </w:r>
      <w:r>
        <w:rPr>
          <w:rFonts w:ascii="Times New Roman" w:cs="Times New Roman" w:eastAsia="Times New Roman" w:hAnsi="Times New Roman"/>
          <w:sz w:val="24"/>
          <w:szCs w:val="24"/>
          <w:color w:val="222222"/>
        </w:rPr>
        <w:t>taların</w:t>
      </w:r>
      <w:r>
        <w:rPr>
          <w:rFonts w:ascii="Times New Roman" w:cs="Times New Roman" w:eastAsia="Times New Roman" w:hAnsi="Times New Roman"/>
          <w:sz w:val="24"/>
          <w:szCs w:val="24"/>
          <w:color w:val="222222"/>
        </w:rPr>
        <w:t xml:space="preserve"> 1(%100) tanesi ve SM-</w:t>
      </w:r>
      <w:r>
        <w:rPr>
          <w:rFonts w:ascii="Times New Roman" w:cs="Times New Roman" w:eastAsia="Times New Roman" w:hAnsi="Times New Roman"/>
          <w:sz w:val="24"/>
          <w:szCs w:val="24"/>
          <w:color w:val="222222"/>
        </w:rPr>
        <w:t>AHN ile takipli hastaların</w:t>
      </w:r>
      <w:r>
        <w:rPr>
          <w:rFonts w:ascii="Times New Roman" w:cs="Times New Roman" w:eastAsia="Times New Roman" w:hAnsi="Times New Roman"/>
          <w:sz w:val="24"/>
          <w:szCs w:val="24"/>
          <w:color w:val="222222"/>
        </w:rPr>
        <w:t xml:space="preserve"> 1(%100) tanesinde triptaz </w:t>
      </w:r>
      <w:r>
        <w:rPr>
          <w:rFonts w:ascii="Times New Roman" w:cs="Times New Roman" w:eastAsia="Times New Roman" w:hAnsi="Times New Roman"/>
          <w:sz w:val="24"/>
          <w:szCs w:val="24"/>
          <w:color w:val="222222"/>
        </w:rPr>
        <w:t>düzeyinde yükseklik saptandı.</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-1198245</wp:posOffset>
            </wp:positionV>
            <wp:extent cx="4699000" cy="185420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62" w:lineRule="exact"/>
        <w:rPr>
          <w:sz w:val="20"/>
          <w:szCs w:val="20"/>
          <w:color w:val="auto"/>
        </w:rPr>
      </w:pPr>
    </w:p>
    <w:p>
      <w:pPr>
        <w:jc w:val="both"/>
        <w:ind w:left="820" w:right="20"/>
        <w:spacing w:after="0" w:line="348" w:lineRule="auto"/>
        <w:rPr>
          <w:sz w:val="20"/>
          <w:szCs w:val="20"/>
          <w:color w:val="auto"/>
        </w:rPr>
      </w:pPr>
      <w:r>
        <w:rPr>
          <w:rFonts w:ascii="Times New Roman" w:cs="Times New Roman" w:eastAsia="Times New Roman" w:hAnsi="Times New Roman"/>
          <w:sz w:val="24"/>
          <w:szCs w:val="24"/>
          <w:b w:val="1"/>
          <w:bCs w:val="1"/>
          <w:color w:val="222222"/>
        </w:rPr>
        <w:t xml:space="preserve">Tablo 4.5. </w:t>
      </w:r>
      <w:r>
        <w:rPr>
          <w:rFonts w:ascii="Times New Roman" w:cs="Times New Roman" w:eastAsia="Times New Roman" w:hAnsi="Times New Roman"/>
          <w:sz w:val="24"/>
          <w:szCs w:val="24"/>
          <w:color w:val="222222"/>
        </w:rPr>
        <w:t>Hastaların ASM tanısını almasına neden olan organ disfonksiyonunun</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 xml:space="preserve">neden olduğu semptom </w:t>
      </w:r>
      <w:r>
        <w:rPr>
          <w:rFonts w:ascii="Times New Roman" w:cs="Times New Roman" w:eastAsia="Times New Roman" w:hAnsi="Times New Roman"/>
          <w:sz w:val="24"/>
          <w:szCs w:val="24"/>
          <w:color w:val="222222"/>
        </w:rPr>
        <w:t>ve bulgular</w:t>
      </w:r>
      <w:r>
        <w:rPr>
          <w:rFonts w:ascii="Times New Roman" w:cs="Times New Roman" w:eastAsia="Times New Roman" w:hAnsi="Times New Roman"/>
          <w:sz w:val="24"/>
          <w:szCs w:val="24"/>
          <w:color w:val="222222"/>
        </w:rPr>
        <w:t xml:space="preserve"> (C bulguları)</w:t>
      </w:r>
    </w:p>
    <w:p>
      <w:pPr>
        <w:spacing w:after="0" w:line="157" w:lineRule="exact"/>
        <w:rPr>
          <w:sz w:val="20"/>
          <w:szCs w:val="20"/>
          <w:color w:val="auto"/>
        </w:rPr>
      </w:pPr>
    </w:p>
    <w:tbl>
      <w:tblPr>
        <w:tblLayout w:type="fixed"/>
        <w:tblInd w:w="730" w:type="dxa"/>
        <w:tblCellMar>
          <w:top w:w="0" w:type="dxa"/>
          <w:left w:w="0" w:type="dxa"/>
          <w:bottom w:w="0" w:type="dxa"/>
          <w:right w:w="0" w:type="dxa"/>
        </w:tblCellMar>
      </w:tblPr>
      <w:tr>
        <w:trPr>
          <w:trHeight w:val="283"/>
        </w:trPr>
        <w:tc>
          <w:tcPr>
            <w:tcW w:w="880" w:type="dxa"/>
            <w:vAlign w:val="bottom"/>
            <w:tcBorders>
              <w:top w:val="single" w:sz="8" w:color="auto"/>
              <w:left w:val="single" w:sz="8" w:color="auto"/>
            </w:tcBorders>
          </w:tcPr>
          <w:p>
            <w:pPr>
              <w:spacing w:after="0"/>
              <w:rPr>
                <w:sz w:val="24"/>
                <w:szCs w:val="24"/>
                <w:color w:val="auto"/>
              </w:rPr>
            </w:pPr>
          </w:p>
        </w:tc>
        <w:tc>
          <w:tcPr>
            <w:tcW w:w="2100" w:type="dxa"/>
            <w:vAlign w:val="bottom"/>
            <w:tcBorders>
              <w:top w:val="single" w:sz="8" w:color="auto"/>
              <w:right w:val="single" w:sz="8" w:color="auto"/>
            </w:tcBorders>
          </w:tcPr>
          <w:p>
            <w:pPr>
              <w:spacing w:after="0"/>
              <w:rPr>
                <w:sz w:val="24"/>
                <w:szCs w:val="24"/>
                <w:color w:val="auto"/>
              </w:rPr>
            </w:pPr>
          </w:p>
        </w:tc>
        <w:tc>
          <w:tcPr>
            <w:tcW w:w="138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ASM</w:t>
            </w:r>
          </w:p>
        </w:tc>
        <w:tc>
          <w:tcPr>
            <w:tcW w:w="0" w:type="dxa"/>
            <w:vAlign w:val="bottom"/>
          </w:tcPr>
          <w:p>
            <w:pPr>
              <w:spacing w:after="0"/>
              <w:rPr>
                <w:sz w:val="1"/>
                <w:szCs w:val="1"/>
                <w:color w:val="auto"/>
              </w:rPr>
            </w:pPr>
          </w:p>
        </w:tc>
      </w:tr>
      <w:tr>
        <w:trPr>
          <w:trHeight w:val="415"/>
        </w:trPr>
        <w:tc>
          <w:tcPr>
            <w:tcW w:w="880" w:type="dxa"/>
            <w:vAlign w:val="bottom"/>
            <w:tcBorders>
              <w:left w:val="single" w:sz="8" w:color="auto"/>
            </w:tcBorders>
          </w:tcPr>
          <w:p>
            <w:pPr>
              <w:spacing w:after="0"/>
              <w:rPr>
                <w:sz w:val="24"/>
                <w:szCs w:val="24"/>
                <w:color w:val="auto"/>
              </w:rPr>
            </w:pPr>
          </w:p>
        </w:tc>
        <w:tc>
          <w:tcPr>
            <w:tcW w:w="210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n:10(%100)</w:t>
            </w:r>
          </w:p>
        </w:tc>
        <w:tc>
          <w:tcPr>
            <w:tcW w:w="0" w:type="dxa"/>
            <w:vAlign w:val="bottom"/>
          </w:tcPr>
          <w:p>
            <w:pPr>
              <w:spacing w:after="0"/>
              <w:rPr>
                <w:sz w:val="1"/>
                <w:szCs w:val="1"/>
                <w:color w:val="auto"/>
              </w:rPr>
            </w:pPr>
          </w:p>
        </w:tc>
      </w:tr>
      <w:tr>
        <w:trPr>
          <w:trHeight w:val="140"/>
        </w:trPr>
        <w:tc>
          <w:tcPr>
            <w:tcW w:w="2980" w:type="dxa"/>
            <w:vAlign w:val="bottom"/>
            <w:tcBorders>
              <w:left w:val="single" w:sz="8" w:color="auto"/>
              <w:bottom w:val="single" w:sz="8" w:color="auto"/>
              <w:right w:val="single" w:sz="8" w:color="auto"/>
            </w:tcBorders>
            <w:gridSpan w:val="2"/>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2980" w:type="dxa"/>
            <w:vAlign w:val="bottom"/>
            <w:tcBorders>
              <w:left w:val="single" w:sz="8" w:color="auto"/>
              <w:right w:val="single" w:sz="8" w:color="auto"/>
            </w:tcBorders>
            <w:gridSpan w:val="2"/>
          </w:tcPr>
          <w:p>
            <w:pPr>
              <w:ind w:left="100"/>
              <w:spacing w:after="0" w:line="263" w:lineRule="exact"/>
              <w:rPr>
                <w:sz w:val="20"/>
                <w:szCs w:val="20"/>
                <w:color w:val="auto"/>
              </w:rPr>
            </w:pPr>
            <w:r>
              <w:rPr>
                <w:rFonts w:ascii="Times New Roman" w:cs="Times New Roman" w:eastAsia="Times New Roman" w:hAnsi="Times New Roman"/>
                <w:sz w:val="24"/>
                <w:szCs w:val="24"/>
                <w:color w:val="222222"/>
              </w:rPr>
              <w:t>Sitopeni</w:t>
            </w:r>
          </w:p>
        </w:tc>
        <w:tc>
          <w:tcPr>
            <w:tcW w:w="13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6(%60)</w:t>
            </w:r>
          </w:p>
        </w:tc>
        <w:tc>
          <w:tcPr>
            <w:tcW w:w="0" w:type="dxa"/>
            <w:vAlign w:val="bottom"/>
          </w:tcPr>
          <w:p>
            <w:pPr>
              <w:spacing w:after="0"/>
              <w:rPr>
                <w:sz w:val="1"/>
                <w:szCs w:val="1"/>
                <w:color w:val="auto"/>
              </w:rPr>
            </w:pPr>
          </w:p>
        </w:tc>
      </w:tr>
      <w:tr>
        <w:trPr>
          <w:trHeight w:val="415"/>
        </w:trPr>
        <w:tc>
          <w:tcPr>
            <w:tcW w:w="2980" w:type="dxa"/>
            <w:vAlign w:val="bottom"/>
            <w:tcBorders>
              <w:left w:val="single" w:sz="8" w:color="auto"/>
              <w:right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222222"/>
              </w:rPr>
              <w:t>Hb&lt;10 gr/dl</w:t>
            </w:r>
          </w:p>
        </w:tc>
        <w:tc>
          <w:tcPr>
            <w:tcW w:w="13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6(%60)</w:t>
            </w:r>
          </w:p>
        </w:tc>
        <w:tc>
          <w:tcPr>
            <w:tcW w:w="0" w:type="dxa"/>
            <w:vAlign w:val="bottom"/>
          </w:tcPr>
          <w:p>
            <w:pPr>
              <w:spacing w:after="0"/>
              <w:rPr>
                <w:sz w:val="1"/>
                <w:szCs w:val="1"/>
                <w:color w:val="auto"/>
              </w:rPr>
            </w:pPr>
          </w:p>
        </w:tc>
      </w:tr>
      <w:tr>
        <w:trPr>
          <w:trHeight w:val="413"/>
        </w:trPr>
        <w:tc>
          <w:tcPr>
            <w:tcW w:w="2980" w:type="dxa"/>
            <w:vAlign w:val="bottom"/>
            <w:tcBorders>
              <w:left w:val="single" w:sz="8" w:color="auto"/>
              <w:right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222222"/>
              </w:rPr>
              <w:t>Trombosit&lt;100 bin/</w:t>
            </w:r>
            <w:r>
              <w:rPr>
                <w:rFonts w:ascii="Times New Roman" w:cs="Times New Roman" w:eastAsia="Times New Roman" w:hAnsi="Times New Roman"/>
                <w:sz w:val="19"/>
                <w:szCs w:val="19"/>
                <w:color w:val="000000"/>
              </w:rPr>
              <w:t>mm</w:t>
            </w:r>
            <w:r>
              <w:rPr>
                <w:rFonts w:ascii="Times New Roman" w:cs="Times New Roman" w:eastAsia="Times New Roman" w:hAnsi="Times New Roman"/>
                <w:sz w:val="12"/>
                <w:szCs w:val="12"/>
                <w:color w:val="000000"/>
              </w:rPr>
              <w:t>3</w:t>
            </w:r>
          </w:p>
        </w:tc>
        <w:tc>
          <w:tcPr>
            <w:tcW w:w="13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2(%20)</w:t>
            </w:r>
          </w:p>
        </w:tc>
        <w:tc>
          <w:tcPr>
            <w:tcW w:w="0" w:type="dxa"/>
            <w:vAlign w:val="bottom"/>
          </w:tcPr>
          <w:p>
            <w:pPr>
              <w:spacing w:after="0"/>
              <w:rPr>
                <w:sz w:val="1"/>
                <w:szCs w:val="1"/>
                <w:color w:val="auto"/>
              </w:rPr>
            </w:pPr>
          </w:p>
        </w:tc>
      </w:tr>
      <w:tr>
        <w:trPr>
          <w:trHeight w:val="415"/>
        </w:trPr>
        <w:tc>
          <w:tcPr>
            <w:tcW w:w="2980" w:type="dxa"/>
            <w:vAlign w:val="bottom"/>
            <w:tcBorders>
              <w:left w:val="single" w:sz="8" w:color="auto"/>
              <w:right w:val="single" w:sz="8" w:color="auto"/>
            </w:tcBorders>
            <w:gridSpan w:val="2"/>
            <w:vMerge w:val="restart"/>
          </w:tcPr>
          <w:p>
            <w:pPr>
              <w:ind w:left="100"/>
              <w:spacing w:after="0"/>
              <w:rPr>
                <w:sz w:val="20"/>
                <w:szCs w:val="20"/>
                <w:color w:val="auto"/>
              </w:rPr>
            </w:pPr>
            <w:r>
              <w:rPr>
                <w:rFonts w:ascii="Times New Roman" w:cs="Times New Roman" w:eastAsia="Times New Roman" w:hAnsi="Times New Roman"/>
                <w:sz w:val="24"/>
                <w:szCs w:val="24"/>
                <w:color w:val="222222"/>
              </w:rPr>
              <w:t xml:space="preserve">Nötrofil &lt;1000/ </w:t>
            </w:r>
            <w:r>
              <w:rPr>
                <w:rFonts w:ascii="Times New Roman" w:cs="Times New Roman" w:eastAsia="Times New Roman" w:hAnsi="Times New Roman"/>
                <w:sz w:val="19"/>
                <w:szCs w:val="19"/>
                <w:color w:val="000000"/>
              </w:rPr>
              <w:t>mm</w:t>
            </w:r>
            <w:r>
              <w:rPr>
                <w:rFonts w:ascii="Times New Roman" w:cs="Times New Roman" w:eastAsia="Times New Roman" w:hAnsi="Times New Roman"/>
                <w:sz w:val="12"/>
                <w:szCs w:val="12"/>
                <w:color w:val="000000"/>
              </w:rPr>
              <w:t>3</w:t>
            </w:r>
          </w:p>
        </w:tc>
        <w:tc>
          <w:tcPr>
            <w:tcW w:w="13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w:t>
            </w:r>
          </w:p>
        </w:tc>
        <w:tc>
          <w:tcPr>
            <w:tcW w:w="0" w:type="dxa"/>
            <w:vAlign w:val="bottom"/>
          </w:tcPr>
          <w:p>
            <w:pPr>
              <w:spacing w:after="0"/>
              <w:rPr>
                <w:sz w:val="1"/>
                <w:szCs w:val="1"/>
                <w:color w:val="auto"/>
              </w:rPr>
            </w:pPr>
          </w:p>
        </w:tc>
      </w:tr>
      <w:tr>
        <w:trPr>
          <w:trHeight w:val="161"/>
        </w:trPr>
        <w:tc>
          <w:tcPr>
            <w:tcW w:w="2980" w:type="dxa"/>
            <w:vAlign w:val="bottom"/>
            <w:tcBorders>
              <w:left w:val="single" w:sz="8" w:color="auto"/>
              <w:right w:val="single" w:sz="8" w:color="auto"/>
            </w:tcBorders>
            <w:gridSpan w:val="2"/>
            <w:vMerge w:val="continue"/>
          </w:tcPr>
          <w:p>
            <w:pPr>
              <w:spacing w:after="0"/>
              <w:rPr>
                <w:sz w:val="13"/>
                <w:szCs w:val="13"/>
                <w:color w:val="auto"/>
              </w:rPr>
            </w:pPr>
          </w:p>
        </w:tc>
        <w:tc>
          <w:tcPr>
            <w:tcW w:w="13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40"/>
        </w:trPr>
        <w:tc>
          <w:tcPr>
            <w:tcW w:w="880" w:type="dxa"/>
            <w:vAlign w:val="bottom"/>
            <w:tcBorders>
              <w:left w:val="single" w:sz="8" w:color="auto"/>
              <w:bottom w:val="single" w:sz="8" w:color="auto"/>
            </w:tcBorders>
          </w:tcPr>
          <w:p>
            <w:pPr>
              <w:spacing w:after="0"/>
              <w:rPr>
                <w:sz w:val="12"/>
                <w:szCs w:val="12"/>
                <w:color w:val="auto"/>
              </w:rPr>
            </w:pPr>
          </w:p>
        </w:tc>
        <w:tc>
          <w:tcPr>
            <w:tcW w:w="210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880" w:type="dxa"/>
            <w:vAlign w:val="bottom"/>
            <w:tcBorders>
              <w:lef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Kemik</w:t>
            </w:r>
          </w:p>
        </w:tc>
        <w:tc>
          <w:tcPr>
            <w:tcW w:w="210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222222"/>
              </w:rPr>
              <w:t>patolojisi  (patolojik</w:t>
            </w:r>
          </w:p>
        </w:tc>
        <w:tc>
          <w:tcPr>
            <w:tcW w:w="13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4(%40)</w:t>
            </w:r>
          </w:p>
        </w:tc>
        <w:tc>
          <w:tcPr>
            <w:tcW w:w="0" w:type="dxa"/>
            <w:vAlign w:val="bottom"/>
          </w:tcPr>
          <w:p>
            <w:pPr>
              <w:spacing w:after="0"/>
              <w:rPr>
                <w:sz w:val="1"/>
                <w:szCs w:val="1"/>
                <w:color w:val="auto"/>
              </w:rPr>
            </w:pPr>
          </w:p>
        </w:tc>
      </w:tr>
      <w:tr>
        <w:trPr>
          <w:trHeight w:val="415"/>
        </w:trPr>
        <w:tc>
          <w:tcPr>
            <w:tcW w:w="2980" w:type="dxa"/>
            <w:vAlign w:val="bottom"/>
            <w:tcBorders>
              <w:left w:val="single" w:sz="8" w:color="auto"/>
              <w:right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222222"/>
              </w:rPr>
              <w:t xml:space="preserve">kırık, litik </w:t>
            </w:r>
            <w:r>
              <w:rPr>
                <w:rFonts w:ascii="Times New Roman" w:cs="Times New Roman" w:eastAsia="Times New Roman" w:hAnsi="Times New Roman"/>
                <w:sz w:val="24"/>
                <w:szCs w:val="24"/>
                <w:color w:val="222222"/>
              </w:rPr>
              <w:t>lezyon)</w:t>
            </w:r>
          </w:p>
        </w:tc>
        <w:tc>
          <w:tcPr>
            <w:tcW w:w="13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0"/>
        </w:trPr>
        <w:tc>
          <w:tcPr>
            <w:tcW w:w="880" w:type="dxa"/>
            <w:vAlign w:val="bottom"/>
            <w:tcBorders>
              <w:left w:val="single" w:sz="8" w:color="auto"/>
              <w:bottom w:val="single" w:sz="8" w:color="auto"/>
            </w:tcBorders>
          </w:tcPr>
          <w:p>
            <w:pPr>
              <w:spacing w:after="0"/>
              <w:rPr>
                <w:sz w:val="12"/>
                <w:szCs w:val="12"/>
                <w:color w:val="auto"/>
              </w:rPr>
            </w:pPr>
          </w:p>
        </w:tc>
        <w:tc>
          <w:tcPr>
            <w:tcW w:w="210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880" w:type="dxa"/>
            <w:vAlign w:val="bottom"/>
            <w:tcBorders>
              <w:lef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w w:val="99"/>
              </w:rPr>
              <w:t>Hepatik</w:t>
            </w:r>
          </w:p>
        </w:tc>
        <w:tc>
          <w:tcPr>
            <w:tcW w:w="210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222222"/>
              </w:rPr>
              <w:t>Disfonksiyon</w:t>
            </w:r>
          </w:p>
        </w:tc>
        <w:tc>
          <w:tcPr>
            <w:tcW w:w="13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2(%20)</w:t>
            </w:r>
          </w:p>
        </w:tc>
        <w:tc>
          <w:tcPr>
            <w:tcW w:w="0" w:type="dxa"/>
            <w:vAlign w:val="bottom"/>
          </w:tcPr>
          <w:p>
            <w:pPr>
              <w:spacing w:after="0"/>
              <w:rPr>
                <w:sz w:val="1"/>
                <w:szCs w:val="1"/>
                <w:color w:val="auto"/>
              </w:rPr>
            </w:pPr>
          </w:p>
        </w:tc>
      </w:tr>
      <w:tr>
        <w:trPr>
          <w:trHeight w:val="415"/>
        </w:trPr>
        <w:tc>
          <w:tcPr>
            <w:tcW w:w="88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(KCFT</w:t>
            </w:r>
          </w:p>
        </w:tc>
        <w:tc>
          <w:tcPr>
            <w:tcW w:w="210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222222"/>
              </w:rPr>
              <w:t>yüksekliği,   PHT,</w:t>
            </w:r>
          </w:p>
        </w:tc>
        <w:tc>
          <w:tcPr>
            <w:tcW w:w="13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88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Assit)</w:t>
            </w:r>
          </w:p>
        </w:tc>
        <w:tc>
          <w:tcPr>
            <w:tcW w:w="210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2"/>
        </w:trPr>
        <w:tc>
          <w:tcPr>
            <w:tcW w:w="2980" w:type="dxa"/>
            <w:vAlign w:val="bottom"/>
            <w:tcBorders>
              <w:left w:val="single" w:sz="8" w:color="auto"/>
              <w:bottom w:val="single" w:sz="8" w:color="auto"/>
              <w:right w:val="single" w:sz="8" w:color="auto"/>
            </w:tcBorders>
            <w:gridSpan w:val="2"/>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2980" w:type="dxa"/>
            <w:vAlign w:val="bottom"/>
            <w:tcBorders>
              <w:left w:val="single" w:sz="8" w:color="auto"/>
              <w:right w:val="single" w:sz="8" w:color="auto"/>
            </w:tcBorders>
            <w:gridSpan w:val="2"/>
          </w:tcPr>
          <w:p>
            <w:pPr>
              <w:ind w:left="100"/>
              <w:spacing w:after="0" w:line="263" w:lineRule="exact"/>
              <w:rPr>
                <w:sz w:val="20"/>
                <w:szCs w:val="20"/>
                <w:color w:val="auto"/>
              </w:rPr>
            </w:pPr>
            <w:r>
              <w:rPr>
                <w:rFonts w:ascii="Times New Roman" w:cs="Times New Roman" w:eastAsia="Times New Roman" w:hAnsi="Times New Roman"/>
                <w:sz w:val="24"/>
                <w:szCs w:val="24"/>
                <w:color w:val="222222"/>
              </w:rPr>
              <w:t>Hipersplenizm</w:t>
            </w:r>
          </w:p>
        </w:tc>
        <w:tc>
          <w:tcPr>
            <w:tcW w:w="13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1(%10)</w:t>
            </w:r>
          </w:p>
        </w:tc>
        <w:tc>
          <w:tcPr>
            <w:tcW w:w="0" w:type="dxa"/>
            <w:vAlign w:val="bottom"/>
          </w:tcPr>
          <w:p>
            <w:pPr>
              <w:spacing w:after="0"/>
              <w:rPr>
                <w:sz w:val="1"/>
                <w:szCs w:val="1"/>
                <w:color w:val="auto"/>
              </w:rPr>
            </w:pPr>
          </w:p>
        </w:tc>
      </w:tr>
      <w:tr>
        <w:trPr>
          <w:trHeight w:val="142"/>
        </w:trPr>
        <w:tc>
          <w:tcPr>
            <w:tcW w:w="2980" w:type="dxa"/>
            <w:vAlign w:val="bottom"/>
            <w:tcBorders>
              <w:left w:val="single" w:sz="8" w:color="auto"/>
              <w:bottom w:val="single" w:sz="8" w:color="auto"/>
              <w:right w:val="single" w:sz="8" w:color="auto"/>
            </w:tcBorders>
            <w:gridSpan w:val="2"/>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2980" w:type="dxa"/>
            <w:vAlign w:val="bottom"/>
            <w:tcBorders>
              <w:left w:val="single" w:sz="8" w:color="auto"/>
              <w:right w:val="single" w:sz="8" w:color="auto"/>
            </w:tcBorders>
            <w:gridSpan w:val="2"/>
          </w:tcPr>
          <w:p>
            <w:pPr>
              <w:ind w:left="100"/>
              <w:spacing w:after="0" w:line="263" w:lineRule="exact"/>
              <w:rPr>
                <w:sz w:val="20"/>
                <w:szCs w:val="20"/>
                <w:color w:val="auto"/>
              </w:rPr>
            </w:pPr>
            <w:r>
              <w:rPr>
                <w:rFonts w:ascii="Times New Roman" w:cs="Times New Roman" w:eastAsia="Times New Roman" w:hAnsi="Times New Roman"/>
                <w:sz w:val="24"/>
                <w:szCs w:val="24"/>
                <w:color w:val="222222"/>
              </w:rPr>
              <w:t>Malabsorbsiyon</w:t>
            </w:r>
          </w:p>
        </w:tc>
        <w:tc>
          <w:tcPr>
            <w:tcW w:w="13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0" w:type="dxa"/>
            <w:vAlign w:val="bottom"/>
          </w:tcPr>
          <w:p>
            <w:pPr>
              <w:spacing w:after="0"/>
              <w:rPr>
                <w:sz w:val="1"/>
                <w:szCs w:val="1"/>
                <w:color w:val="auto"/>
              </w:rPr>
            </w:pPr>
          </w:p>
        </w:tc>
      </w:tr>
      <w:tr>
        <w:trPr>
          <w:trHeight w:val="140"/>
        </w:trPr>
        <w:tc>
          <w:tcPr>
            <w:tcW w:w="880" w:type="dxa"/>
            <w:vAlign w:val="bottom"/>
            <w:tcBorders>
              <w:left w:val="single" w:sz="8" w:color="auto"/>
              <w:bottom w:val="single" w:sz="8" w:color="auto"/>
            </w:tcBorders>
          </w:tcPr>
          <w:p>
            <w:pPr>
              <w:spacing w:after="0"/>
              <w:rPr>
                <w:sz w:val="12"/>
                <w:szCs w:val="12"/>
                <w:color w:val="auto"/>
              </w:rPr>
            </w:pPr>
          </w:p>
        </w:tc>
        <w:tc>
          <w:tcPr>
            <w:tcW w:w="210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bl>
    <w:p>
      <w:pPr>
        <w:sectPr>
          <w:pgSz w:w="11900" w:h="16838" w:orient="portrait"/>
          <w:cols w:equalWidth="0" w:num="1">
            <w:col w:w="9060"/>
          </w:cols>
          <w:pgMar w:left="1440" w:top="702" w:right="1406" w:bottom="1440" w:gutter="0" w:footer="0" w:header="0"/>
        </w:sectPr>
      </w:pPr>
    </w:p>
    <w:bookmarkStart w:id="45" w:name="page46"/>
    <w:bookmarkEnd w:id="45"/>
    <w:p>
      <w:pPr>
        <w:ind w:left="8820"/>
        <w:spacing w:after="0"/>
        <w:rPr>
          <w:sz w:val="20"/>
          <w:szCs w:val="20"/>
          <w:color w:val="auto"/>
        </w:rPr>
      </w:pPr>
      <w:r>
        <w:rPr>
          <w:rFonts w:ascii="Calibri" w:cs="Calibri" w:eastAsia="Calibri" w:hAnsi="Calibri"/>
          <w:sz w:val="22"/>
          <w:szCs w:val="22"/>
          <w:color w:val="auto"/>
        </w:rPr>
        <w:t>35</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1160" w:firstLine="708"/>
        <w:spacing w:after="0" w:line="357" w:lineRule="auto"/>
        <w:rPr>
          <w:sz w:val="20"/>
          <w:szCs w:val="20"/>
          <w:color w:val="auto"/>
        </w:rPr>
      </w:pPr>
      <w:r>
        <w:rPr>
          <w:rFonts w:ascii="Times New Roman" w:cs="Times New Roman" w:eastAsia="Times New Roman" w:hAnsi="Times New Roman"/>
          <w:sz w:val="24"/>
          <w:szCs w:val="24"/>
          <w:color w:val="222222"/>
        </w:rPr>
        <w:t>ASM tanısı alan toplam 1</w:t>
      </w:r>
      <w:r>
        <w:rPr>
          <w:rFonts w:ascii="Times New Roman" w:cs="Times New Roman" w:eastAsia="Times New Roman" w:hAnsi="Times New Roman"/>
          <w:sz w:val="24"/>
          <w:szCs w:val="24"/>
          <w:color w:val="222222"/>
        </w:rPr>
        <w:t>0 hasta görüldü.</w:t>
      </w:r>
      <w:r>
        <w:rPr>
          <w:rFonts w:ascii="Times New Roman" w:cs="Times New Roman" w:eastAsia="Times New Roman" w:hAnsi="Times New Roman"/>
          <w:sz w:val="24"/>
          <w:szCs w:val="24"/>
          <w:color w:val="222222"/>
        </w:rPr>
        <w:t xml:space="preserve"> Bu hastaların </w:t>
      </w:r>
      <w:r>
        <w:rPr>
          <w:rFonts w:ascii="Times New Roman" w:cs="Times New Roman" w:eastAsia="Times New Roman" w:hAnsi="Times New Roman"/>
          <w:sz w:val="24"/>
          <w:szCs w:val="24"/>
          <w:color w:val="222222"/>
        </w:rPr>
        <w:t>6(%60) tanesinde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sitopeni C bulgusu </w:t>
      </w:r>
      <w:r>
        <w:rPr>
          <w:rFonts w:ascii="Times New Roman" w:cs="Times New Roman" w:eastAsia="Times New Roman" w:hAnsi="Times New Roman"/>
          <w:sz w:val="24"/>
          <w:szCs w:val="24"/>
          <w:color w:val="222222"/>
        </w:rPr>
        <w:t>olarak değerlendirildi. Sitopeni saptanan hastaların</w:t>
      </w:r>
      <w:r>
        <w:rPr>
          <w:rFonts w:ascii="Times New Roman" w:cs="Times New Roman" w:eastAsia="Times New Roman" w:hAnsi="Times New Roman"/>
          <w:sz w:val="24"/>
          <w:szCs w:val="24"/>
          <w:color w:val="222222"/>
        </w:rPr>
        <w:t xml:space="preserve"> iki tanesinde </w:t>
      </w:r>
      <w:r>
        <w:rPr>
          <w:rFonts w:ascii="Times New Roman" w:cs="Times New Roman" w:eastAsia="Times New Roman" w:hAnsi="Times New Roman"/>
          <w:sz w:val="24"/>
          <w:szCs w:val="24"/>
          <w:color w:val="222222"/>
        </w:rPr>
        <w:t xml:space="preserve">hem trombositopeni hem de anemi görüldü. ASM tanısı alan hastaların </w:t>
      </w:r>
      <w:r>
        <w:rPr>
          <w:rFonts w:ascii="Times New Roman" w:cs="Times New Roman" w:eastAsia="Times New Roman" w:hAnsi="Times New Roman"/>
          <w:sz w:val="24"/>
          <w:szCs w:val="24"/>
          <w:color w:val="222222"/>
        </w:rPr>
        <w:t>4 (%40)</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tanesinde kemik patolojisi, iki (%20) tanesinde hepatik disfonksiyon ve bir (%10) </w:t>
      </w:r>
      <w:r>
        <w:rPr>
          <w:rFonts w:ascii="Times New Roman" w:cs="Times New Roman" w:eastAsia="Times New Roman" w:hAnsi="Times New Roman"/>
          <w:sz w:val="24"/>
          <w:szCs w:val="24"/>
          <w:color w:val="222222"/>
        </w:rPr>
        <w:t xml:space="preserve">tanesinde hipersplenizm C bulgusu olarak değerlendirildi. Hastaların hiçbirinde malabsorbsiyon saptanmadı ve </w:t>
      </w:r>
      <w:r>
        <w:rPr>
          <w:rFonts w:ascii="Times New Roman" w:cs="Times New Roman" w:eastAsia="Times New Roman" w:hAnsi="Times New Roman"/>
          <w:sz w:val="24"/>
          <w:szCs w:val="24"/>
          <w:color w:val="222222"/>
        </w:rPr>
        <w:t>C bulgusu olarak</w:t>
      </w:r>
      <w:r>
        <w:rPr>
          <w:rFonts w:ascii="Times New Roman" w:cs="Times New Roman" w:eastAsia="Times New Roman" w:hAnsi="Times New Roman"/>
          <w:sz w:val="24"/>
          <w:szCs w:val="24"/>
          <w:color w:val="222222"/>
        </w:rPr>
        <w:t xml:space="preserve"> değerlendirilmedi.</w:t>
      </w:r>
    </w:p>
    <w:p>
      <w:pPr>
        <w:spacing w:after="0" w:line="16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222222"/>
        </w:rPr>
        <w:t xml:space="preserve">Tablo 4.6 </w:t>
      </w:r>
      <w:r>
        <w:rPr>
          <w:rFonts w:ascii="Times New Roman" w:cs="Times New Roman" w:eastAsia="Times New Roman" w:hAnsi="Times New Roman"/>
          <w:sz w:val="24"/>
          <w:szCs w:val="24"/>
          <w:color w:val="222222"/>
        </w:rPr>
        <w:t>Sistemik mastositozda organ disfonksiyonu</w:t>
      </w:r>
    </w:p>
    <w:p>
      <w:pPr>
        <w:spacing w:after="0" w:line="280" w:lineRule="exact"/>
        <w:rPr>
          <w:sz w:val="20"/>
          <w:szCs w:val="20"/>
          <w:color w:val="auto"/>
        </w:rPr>
      </w:pPr>
    </w:p>
    <w:tbl>
      <w:tblPr>
        <w:tblLayout w:type="fixed"/>
        <w:tblInd w:w="730" w:type="dxa"/>
        <w:tblCellMar>
          <w:top w:w="0" w:type="dxa"/>
          <w:left w:w="0" w:type="dxa"/>
          <w:bottom w:w="0" w:type="dxa"/>
          <w:right w:w="0" w:type="dxa"/>
        </w:tblCellMar>
      </w:tblPr>
      <w:tr>
        <w:trPr>
          <w:trHeight w:val="285"/>
        </w:trPr>
        <w:tc>
          <w:tcPr>
            <w:tcW w:w="1220" w:type="dxa"/>
            <w:vAlign w:val="bottom"/>
            <w:tcBorders>
              <w:top w:val="single" w:sz="8" w:color="auto"/>
              <w:left w:val="single" w:sz="8" w:color="auto"/>
            </w:tcBorders>
          </w:tcPr>
          <w:p>
            <w:pPr>
              <w:spacing w:after="0"/>
              <w:rPr>
                <w:sz w:val="24"/>
                <w:szCs w:val="24"/>
                <w:color w:val="auto"/>
              </w:rPr>
            </w:pPr>
          </w:p>
        </w:tc>
        <w:tc>
          <w:tcPr>
            <w:tcW w:w="600" w:type="dxa"/>
            <w:vAlign w:val="bottom"/>
            <w:tcBorders>
              <w:top w:val="single" w:sz="8" w:color="auto"/>
            </w:tcBorders>
          </w:tcPr>
          <w:p>
            <w:pPr>
              <w:spacing w:after="0"/>
              <w:rPr>
                <w:sz w:val="24"/>
                <w:szCs w:val="24"/>
                <w:color w:val="auto"/>
              </w:rPr>
            </w:pPr>
          </w:p>
        </w:tc>
        <w:tc>
          <w:tcPr>
            <w:tcW w:w="800" w:type="dxa"/>
            <w:vAlign w:val="bottom"/>
            <w:tcBorders>
              <w:top w:val="single" w:sz="8" w:color="auto"/>
              <w:right w:val="single" w:sz="8" w:color="auto"/>
            </w:tcBorders>
          </w:tcPr>
          <w:p>
            <w:pPr>
              <w:spacing w:after="0"/>
              <w:rPr>
                <w:sz w:val="24"/>
                <w:szCs w:val="24"/>
                <w:color w:val="auto"/>
              </w:rPr>
            </w:pPr>
          </w:p>
        </w:tc>
        <w:tc>
          <w:tcPr>
            <w:tcW w:w="176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Toplam</w:t>
            </w:r>
          </w:p>
        </w:tc>
        <w:tc>
          <w:tcPr>
            <w:tcW w:w="142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İSM</w:t>
            </w:r>
          </w:p>
        </w:tc>
        <w:tc>
          <w:tcPr>
            <w:tcW w:w="118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SSM</w:t>
            </w:r>
          </w:p>
        </w:tc>
        <w:tc>
          <w:tcPr>
            <w:tcW w:w="14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ASM</w:t>
            </w:r>
          </w:p>
        </w:tc>
        <w:tc>
          <w:tcPr>
            <w:tcW w:w="110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SM-</w:t>
            </w:r>
          </w:p>
        </w:tc>
        <w:tc>
          <w:tcPr>
            <w:tcW w:w="0" w:type="dxa"/>
            <w:vAlign w:val="bottom"/>
          </w:tcPr>
          <w:p>
            <w:pPr>
              <w:spacing w:after="0"/>
              <w:rPr>
                <w:sz w:val="1"/>
                <w:szCs w:val="1"/>
                <w:color w:val="auto"/>
              </w:rPr>
            </w:pPr>
          </w:p>
        </w:tc>
      </w:tr>
      <w:tr>
        <w:trPr>
          <w:trHeight w:val="413"/>
        </w:trPr>
        <w:tc>
          <w:tcPr>
            <w:tcW w:w="1220" w:type="dxa"/>
            <w:vAlign w:val="bottom"/>
            <w:tcBorders>
              <w:left w:val="single" w:sz="8" w:color="auto"/>
            </w:tcBorders>
          </w:tcPr>
          <w:p>
            <w:pPr>
              <w:spacing w:after="0"/>
              <w:rPr>
                <w:sz w:val="24"/>
                <w:szCs w:val="24"/>
                <w:color w:val="auto"/>
              </w:rPr>
            </w:pPr>
          </w:p>
        </w:tc>
        <w:tc>
          <w:tcPr>
            <w:tcW w:w="600" w:type="dxa"/>
            <w:vAlign w:val="bottom"/>
          </w:tcPr>
          <w:p>
            <w:pPr>
              <w:spacing w:after="0"/>
              <w:rPr>
                <w:sz w:val="24"/>
                <w:szCs w:val="24"/>
                <w:color w:val="auto"/>
              </w:rPr>
            </w:pPr>
          </w:p>
        </w:tc>
        <w:tc>
          <w:tcPr>
            <w:tcW w:w="800" w:type="dxa"/>
            <w:vAlign w:val="bottom"/>
            <w:tcBorders>
              <w:right w:val="single" w:sz="8" w:color="auto"/>
            </w:tcBorders>
          </w:tcPr>
          <w:p>
            <w:pPr>
              <w:spacing w:after="0"/>
              <w:rPr>
                <w:sz w:val="24"/>
                <w:szCs w:val="24"/>
                <w:color w:val="auto"/>
              </w:rPr>
            </w:pPr>
          </w:p>
        </w:tc>
        <w:tc>
          <w:tcPr>
            <w:tcW w:w="17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n:30</w:t>
            </w:r>
          </w:p>
        </w:tc>
        <w:tc>
          <w:tcPr>
            <w:tcW w:w="14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n:15(%50)</w:t>
            </w:r>
          </w:p>
        </w:tc>
        <w:tc>
          <w:tcPr>
            <w:tcW w:w="11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n:1(%3,3)</w:t>
            </w:r>
          </w:p>
        </w:tc>
        <w:tc>
          <w:tcPr>
            <w:tcW w:w="14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n:10(%33,4)</w:t>
            </w:r>
          </w:p>
        </w:tc>
        <w:tc>
          <w:tcPr>
            <w:tcW w:w="11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AHN</w:t>
            </w:r>
          </w:p>
        </w:tc>
        <w:tc>
          <w:tcPr>
            <w:tcW w:w="0" w:type="dxa"/>
            <w:vAlign w:val="bottom"/>
          </w:tcPr>
          <w:p>
            <w:pPr>
              <w:spacing w:after="0"/>
              <w:rPr>
                <w:sz w:val="1"/>
                <w:szCs w:val="1"/>
                <w:color w:val="auto"/>
              </w:rPr>
            </w:pPr>
          </w:p>
        </w:tc>
      </w:tr>
      <w:tr>
        <w:trPr>
          <w:trHeight w:val="415"/>
        </w:trPr>
        <w:tc>
          <w:tcPr>
            <w:tcW w:w="1220" w:type="dxa"/>
            <w:vAlign w:val="bottom"/>
            <w:tcBorders>
              <w:left w:val="single" w:sz="8" w:color="auto"/>
            </w:tcBorders>
          </w:tcPr>
          <w:p>
            <w:pPr>
              <w:spacing w:after="0"/>
              <w:rPr>
                <w:sz w:val="24"/>
                <w:szCs w:val="24"/>
                <w:color w:val="auto"/>
              </w:rPr>
            </w:pPr>
          </w:p>
        </w:tc>
        <w:tc>
          <w:tcPr>
            <w:tcW w:w="600" w:type="dxa"/>
            <w:vAlign w:val="bottom"/>
          </w:tcPr>
          <w:p>
            <w:pPr>
              <w:spacing w:after="0"/>
              <w:rPr>
                <w:sz w:val="24"/>
                <w:szCs w:val="24"/>
                <w:color w:val="auto"/>
              </w:rPr>
            </w:pPr>
          </w:p>
        </w:tc>
        <w:tc>
          <w:tcPr>
            <w:tcW w:w="800" w:type="dxa"/>
            <w:vAlign w:val="bottom"/>
            <w:tcBorders>
              <w:right w:val="single" w:sz="8" w:color="auto"/>
            </w:tcBorders>
          </w:tcPr>
          <w:p>
            <w:pPr>
              <w:spacing w:after="0"/>
              <w:rPr>
                <w:sz w:val="24"/>
                <w:szCs w:val="24"/>
                <w:color w:val="auto"/>
              </w:rPr>
            </w:pPr>
          </w:p>
        </w:tc>
        <w:tc>
          <w:tcPr>
            <w:tcW w:w="17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n:4(13,3)</w:t>
            </w:r>
          </w:p>
        </w:tc>
        <w:tc>
          <w:tcPr>
            <w:tcW w:w="0" w:type="dxa"/>
            <w:vAlign w:val="bottom"/>
          </w:tcPr>
          <w:p>
            <w:pPr>
              <w:spacing w:after="0"/>
              <w:rPr>
                <w:sz w:val="1"/>
                <w:szCs w:val="1"/>
                <w:color w:val="auto"/>
              </w:rPr>
            </w:pPr>
          </w:p>
        </w:tc>
      </w:tr>
      <w:tr>
        <w:trPr>
          <w:trHeight w:val="140"/>
        </w:trPr>
        <w:tc>
          <w:tcPr>
            <w:tcW w:w="1220" w:type="dxa"/>
            <w:vAlign w:val="bottom"/>
            <w:tcBorders>
              <w:left w:val="single" w:sz="8" w:color="auto"/>
              <w:bottom w:val="single" w:sz="8" w:color="auto"/>
            </w:tcBorders>
          </w:tcPr>
          <w:p>
            <w:pPr>
              <w:spacing w:after="0"/>
              <w:rPr>
                <w:sz w:val="12"/>
                <w:szCs w:val="12"/>
                <w:color w:val="auto"/>
              </w:rPr>
            </w:pPr>
          </w:p>
        </w:tc>
        <w:tc>
          <w:tcPr>
            <w:tcW w:w="600" w:type="dxa"/>
            <w:vAlign w:val="bottom"/>
            <w:tcBorders>
              <w:bottom w:val="single" w:sz="8" w:color="auto"/>
            </w:tcBorders>
          </w:tcPr>
          <w:p>
            <w:pPr>
              <w:spacing w:after="0"/>
              <w:rPr>
                <w:sz w:val="12"/>
                <w:szCs w:val="12"/>
                <w:color w:val="auto"/>
              </w:rPr>
            </w:pPr>
          </w:p>
        </w:tc>
        <w:tc>
          <w:tcPr>
            <w:tcW w:w="800" w:type="dxa"/>
            <w:vAlign w:val="bottom"/>
            <w:tcBorders>
              <w:bottom w:val="single" w:sz="8" w:color="auto"/>
              <w:right w:val="single" w:sz="8" w:color="auto"/>
            </w:tcBorders>
          </w:tcPr>
          <w:p>
            <w:pPr>
              <w:spacing w:after="0"/>
              <w:rPr>
                <w:sz w:val="12"/>
                <w:szCs w:val="12"/>
                <w:color w:val="auto"/>
              </w:rPr>
            </w:pPr>
          </w:p>
        </w:tc>
        <w:tc>
          <w:tcPr>
            <w:tcW w:w="176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0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1220" w:type="dxa"/>
            <w:vAlign w:val="bottom"/>
            <w:tcBorders>
              <w:lef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Sitopeni</w:t>
            </w:r>
          </w:p>
        </w:tc>
        <w:tc>
          <w:tcPr>
            <w:tcW w:w="600" w:type="dxa"/>
            <w:vAlign w:val="bottom"/>
          </w:tcPr>
          <w:p>
            <w:pPr>
              <w:spacing w:after="0"/>
              <w:rPr>
                <w:sz w:val="22"/>
                <w:szCs w:val="22"/>
                <w:color w:val="auto"/>
              </w:rPr>
            </w:pPr>
          </w:p>
        </w:tc>
        <w:tc>
          <w:tcPr>
            <w:tcW w:w="800" w:type="dxa"/>
            <w:vAlign w:val="bottom"/>
            <w:tcBorders>
              <w:right w:val="single" w:sz="8" w:color="auto"/>
            </w:tcBorders>
          </w:tcPr>
          <w:p>
            <w:pPr>
              <w:spacing w:after="0"/>
              <w:rPr>
                <w:sz w:val="22"/>
                <w:szCs w:val="22"/>
                <w:color w:val="auto"/>
              </w:rPr>
            </w:pPr>
          </w:p>
        </w:tc>
        <w:tc>
          <w:tcPr>
            <w:tcW w:w="176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10(%33,3)</w:t>
            </w:r>
          </w:p>
        </w:tc>
        <w:tc>
          <w:tcPr>
            <w:tcW w:w="14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1(%6,7)</w:t>
            </w:r>
          </w:p>
        </w:tc>
        <w:tc>
          <w:tcPr>
            <w:tcW w:w="118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6(%60)</w:t>
            </w:r>
          </w:p>
        </w:tc>
        <w:tc>
          <w:tcPr>
            <w:tcW w:w="11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3(%75)</w:t>
            </w:r>
          </w:p>
        </w:tc>
        <w:tc>
          <w:tcPr>
            <w:tcW w:w="0" w:type="dxa"/>
            <w:vAlign w:val="bottom"/>
          </w:tcPr>
          <w:p>
            <w:pPr>
              <w:spacing w:after="0"/>
              <w:rPr>
                <w:sz w:val="1"/>
                <w:szCs w:val="1"/>
                <w:color w:val="auto"/>
              </w:rPr>
            </w:pPr>
          </w:p>
        </w:tc>
      </w:tr>
      <w:tr>
        <w:trPr>
          <w:trHeight w:val="415"/>
        </w:trPr>
        <w:tc>
          <w:tcPr>
            <w:tcW w:w="1820" w:type="dxa"/>
            <w:vAlign w:val="bottom"/>
            <w:tcBorders>
              <w:left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222222"/>
              </w:rPr>
              <w:t>(Hb &lt;10 gr/dl,</w:t>
            </w:r>
          </w:p>
        </w:tc>
        <w:tc>
          <w:tcPr>
            <w:tcW w:w="800" w:type="dxa"/>
            <w:vAlign w:val="bottom"/>
            <w:tcBorders>
              <w:right w:val="single" w:sz="8" w:color="auto"/>
            </w:tcBorders>
          </w:tcPr>
          <w:p>
            <w:pPr>
              <w:spacing w:after="0"/>
              <w:rPr>
                <w:sz w:val="24"/>
                <w:szCs w:val="24"/>
                <w:color w:val="auto"/>
              </w:rPr>
            </w:pPr>
          </w:p>
        </w:tc>
        <w:tc>
          <w:tcPr>
            <w:tcW w:w="17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15"/>
        </w:trPr>
        <w:tc>
          <w:tcPr>
            <w:tcW w:w="2620" w:type="dxa"/>
            <w:vAlign w:val="bottom"/>
            <w:tcBorders>
              <w:left w:val="single" w:sz="8" w:color="auto"/>
              <w:right w:val="single" w:sz="8" w:color="auto"/>
            </w:tcBorders>
            <w:gridSpan w:val="3"/>
          </w:tcPr>
          <w:p>
            <w:pPr>
              <w:ind w:left="100"/>
              <w:spacing w:after="0"/>
              <w:rPr>
                <w:sz w:val="20"/>
                <w:szCs w:val="20"/>
                <w:color w:val="auto"/>
              </w:rPr>
            </w:pPr>
            <w:r>
              <w:rPr>
                <w:rFonts w:ascii="Times New Roman" w:cs="Times New Roman" w:eastAsia="Times New Roman" w:hAnsi="Times New Roman"/>
                <w:sz w:val="24"/>
                <w:szCs w:val="24"/>
                <w:color w:val="222222"/>
              </w:rPr>
              <w:t>Trombosit&lt;100 bin/</w:t>
            </w:r>
            <w:r>
              <w:rPr>
                <w:rFonts w:ascii="Calibri" w:cs="Calibri" w:eastAsia="Calibri" w:hAnsi="Calibri"/>
                <w:sz w:val="19"/>
                <w:szCs w:val="19"/>
                <w:color w:val="000000"/>
              </w:rPr>
              <w:t>mm</w:t>
            </w:r>
            <w:r>
              <w:rPr>
                <w:rFonts w:ascii="Calibri" w:cs="Calibri" w:eastAsia="Calibri" w:hAnsi="Calibri"/>
                <w:sz w:val="12"/>
                <w:szCs w:val="12"/>
                <w:color w:val="000000"/>
              </w:rPr>
              <w:t>3</w:t>
            </w:r>
            <w:r>
              <w:rPr>
                <w:rFonts w:ascii="Calibri" w:cs="Calibri" w:eastAsia="Calibri" w:hAnsi="Calibri"/>
                <w:sz w:val="19"/>
                <w:szCs w:val="19"/>
                <w:color w:val="000000"/>
              </w:rPr>
              <w:t>,</w:t>
            </w:r>
          </w:p>
        </w:tc>
        <w:tc>
          <w:tcPr>
            <w:tcW w:w="17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2620" w:type="dxa"/>
            <w:vAlign w:val="bottom"/>
            <w:tcBorders>
              <w:left w:val="single" w:sz="8" w:color="auto"/>
              <w:right w:val="single" w:sz="8" w:color="auto"/>
            </w:tcBorders>
            <w:gridSpan w:val="3"/>
          </w:tcPr>
          <w:p>
            <w:pPr>
              <w:ind w:left="100"/>
              <w:spacing w:after="0"/>
              <w:rPr>
                <w:sz w:val="20"/>
                <w:szCs w:val="20"/>
                <w:color w:val="auto"/>
              </w:rPr>
            </w:pPr>
            <w:r>
              <w:rPr>
                <w:rFonts w:ascii="Times New Roman" w:cs="Times New Roman" w:eastAsia="Times New Roman" w:hAnsi="Times New Roman"/>
                <w:sz w:val="24"/>
                <w:szCs w:val="24"/>
                <w:color w:val="222222"/>
              </w:rPr>
              <w:t>Nötrofil &lt;1000/</w:t>
            </w:r>
            <w:r>
              <w:rPr>
                <w:rFonts w:ascii="Times New Roman" w:cs="Times New Roman" w:eastAsia="Times New Roman" w:hAnsi="Times New Roman"/>
                <w:sz w:val="19"/>
                <w:szCs w:val="19"/>
                <w:color w:val="000000"/>
              </w:rPr>
              <w:t>mm</w:t>
            </w:r>
            <w:r>
              <w:rPr>
                <w:rFonts w:ascii="Times New Roman" w:cs="Times New Roman" w:eastAsia="Times New Roman" w:hAnsi="Times New Roman"/>
                <w:sz w:val="12"/>
                <w:szCs w:val="12"/>
                <w:color w:val="000000"/>
              </w:rPr>
              <w:t>3</w:t>
            </w:r>
            <w:r>
              <w:rPr>
                <w:rFonts w:ascii="Times New Roman" w:cs="Times New Roman" w:eastAsia="Times New Roman" w:hAnsi="Times New Roman"/>
                <w:sz w:val="24"/>
                <w:szCs w:val="24"/>
                <w:color w:val="222222"/>
              </w:rPr>
              <w:t>)</w:t>
            </w:r>
          </w:p>
        </w:tc>
        <w:tc>
          <w:tcPr>
            <w:tcW w:w="17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2"/>
        </w:trPr>
        <w:tc>
          <w:tcPr>
            <w:tcW w:w="1220" w:type="dxa"/>
            <w:vAlign w:val="bottom"/>
            <w:tcBorders>
              <w:left w:val="single" w:sz="8" w:color="auto"/>
              <w:bottom w:val="single" w:sz="8" w:color="auto"/>
            </w:tcBorders>
          </w:tcPr>
          <w:p>
            <w:pPr>
              <w:spacing w:after="0"/>
              <w:rPr>
                <w:sz w:val="12"/>
                <w:szCs w:val="12"/>
                <w:color w:val="auto"/>
              </w:rPr>
            </w:pPr>
          </w:p>
        </w:tc>
        <w:tc>
          <w:tcPr>
            <w:tcW w:w="1400" w:type="dxa"/>
            <w:vAlign w:val="bottom"/>
            <w:tcBorders>
              <w:bottom w:val="single" w:sz="8" w:color="auto"/>
              <w:right w:val="single" w:sz="8" w:color="auto"/>
            </w:tcBorders>
            <w:gridSpan w:val="2"/>
          </w:tcPr>
          <w:p>
            <w:pPr>
              <w:spacing w:after="0"/>
              <w:rPr>
                <w:sz w:val="12"/>
                <w:szCs w:val="12"/>
                <w:color w:val="auto"/>
              </w:rPr>
            </w:pPr>
          </w:p>
        </w:tc>
        <w:tc>
          <w:tcPr>
            <w:tcW w:w="176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0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1220" w:type="dxa"/>
            <w:vAlign w:val="bottom"/>
            <w:tcBorders>
              <w:lef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Hepatik</w:t>
            </w:r>
          </w:p>
        </w:tc>
        <w:tc>
          <w:tcPr>
            <w:tcW w:w="1400" w:type="dxa"/>
            <w:vAlign w:val="bottom"/>
            <w:tcBorders>
              <w:right w:val="single" w:sz="8" w:color="auto"/>
            </w:tcBorders>
            <w:gridSpan w:val="2"/>
          </w:tcPr>
          <w:p>
            <w:pPr>
              <w:jc w:val="right"/>
              <w:ind w:right="25"/>
              <w:spacing w:after="0" w:line="263" w:lineRule="exact"/>
              <w:rPr>
                <w:sz w:val="20"/>
                <w:szCs w:val="20"/>
                <w:color w:val="auto"/>
              </w:rPr>
            </w:pPr>
            <w:r>
              <w:rPr>
                <w:rFonts w:ascii="Times New Roman" w:cs="Times New Roman" w:eastAsia="Times New Roman" w:hAnsi="Times New Roman"/>
                <w:sz w:val="24"/>
                <w:szCs w:val="24"/>
                <w:color w:val="222222"/>
                <w:w w:val="99"/>
              </w:rPr>
              <w:t>disfonksiyon</w:t>
            </w:r>
          </w:p>
        </w:tc>
        <w:tc>
          <w:tcPr>
            <w:tcW w:w="176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27(değerlendirilen)</w:t>
            </w:r>
          </w:p>
        </w:tc>
        <w:tc>
          <w:tcPr>
            <w:tcW w:w="14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18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9</w:t>
            </w:r>
          </w:p>
        </w:tc>
        <w:tc>
          <w:tcPr>
            <w:tcW w:w="11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4</w:t>
            </w:r>
          </w:p>
        </w:tc>
        <w:tc>
          <w:tcPr>
            <w:tcW w:w="0" w:type="dxa"/>
            <w:vAlign w:val="bottom"/>
          </w:tcPr>
          <w:p>
            <w:pPr>
              <w:spacing w:after="0"/>
              <w:rPr>
                <w:sz w:val="1"/>
                <w:szCs w:val="1"/>
                <w:color w:val="auto"/>
              </w:rPr>
            </w:pPr>
          </w:p>
        </w:tc>
      </w:tr>
      <w:tr>
        <w:trPr>
          <w:trHeight w:val="302"/>
        </w:trPr>
        <w:tc>
          <w:tcPr>
            <w:tcW w:w="1820" w:type="dxa"/>
            <w:vAlign w:val="bottom"/>
            <w:tcBorders>
              <w:left w:val="single" w:sz="8" w:color="auto"/>
            </w:tcBorders>
            <w:gridSpan w:val="2"/>
            <w:vMerge w:val="restart"/>
          </w:tcPr>
          <w:p>
            <w:pPr>
              <w:ind w:left="100"/>
              <w:spacing w:after="0"/>
              <w:rPr>
                <w:sz w:val="20"/>
                <w:szCs w:val="20"/>
                <w:color w:val="auto"/>
              </w:rPr>
            </w:pPr>
            <w:r>
              <w:rPr>
                <w:rFonts w:ascii="Times New Roman" w:cs="Times New Roman" w:eastAsia="Times New Roman" w:hAnsi="Times New Roman"/>
                <w:sz w:val="24"/>
                <w:szCs w:val="24"/>
                <w:color w:val="222222"/>
              </w:rPr>
              <w:t>(Assit,  PHT  ve</w:t>
            </w:r>
          </w:p>
        </w:tc>
        <w:tc>
          <w:tcPr>
            <w:tcW w:w="800" w:type="dxa"/>
            <w:vAlign w:val="bottom"/>
            <w:tcBorders>
              <w:right w:val="single" w:sz="8" w:color="auto"/>
            </w:tcBorders>
            <w:vMerge w:val="restart"/>
          </w:tcPr>
          <w:p>
            <w:pPr>
              <w:jc w:val="right"/>
              <w:ind w:right="25"/>
              <w:spacing w:after="0"/>
              <w:rPr>
                <w:sz w:val="20"/>
                <w:szCs w:val="20"/>
                <w:color w:val="auto"/>
              </w:rPr>
            </w:pPr>
            <w:r>
              <w:rPr>
                <w:rFonts w:ascii="Times New Roman" w:cs="Times New Roman" w:eastAsia="Times New Roman" w:hAnsi="Times New Roman"/>
                <w:sz w:val="24"/>
                <w:szCs w:val="24"/>
                <w:color w:val="222222"/>
              </w:rPr>
              <w:t>KCFT</w:t>
            </w:r>
          </w:p>
        </w:tc>
        <w:tc>
          <w:tcPr>
            <w:tcW w:w="17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3(%11,1)</w:t>
            </w:r>
          </w:p>
        </w:tc>
        <w:tc>
          <w:tcPr>
            <w:tcW w:w="142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222222"/>
              </w:rPr>
              <w:t>2(%22,2)</w:t>
            </w:r>
          </w:p>
        </w:tc>
        <w:tc>
          <w:tcPr>
            <w:tcW w:w="110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222222"/>
              </w:rPr>
              <w:t>1(%25)</w:t>
            </w:r>
          </w:p>
        </w:tc>
        <w:tc>
          <w:tcPr>
            <w:tcW w:w="0" w:type="dxa"/>
            <w:vAlign w:val="bottom"/>
          </w:tcPr>
          <w:p>
            <w:pPr>
              <w:spacing w:after="0"/>
              <w:rPr>
                <w:sz w:val="1"/>
                <w:szCs w:val="1"/>
                <w:color w:val="auto"/>
              </w:rPr>
            </w:pPr>
          </w:p>
        </w:tc>
      </w:tr>
      <w:tr>
        <w:trPr>
          <w:trHeight w:val="114"/>
        </w:trPr>
        <w:tc>
          <w:tcPr>
            <w:tcW w:w="1820" w:type="dxa"/>
            <w:vAlign w:val="bottom"/>
            <w:tcBorders>
              <w:left w:val="single" w:sz="8" w:color="auto"/>
            </w:tcBorders>
            <w:gridSpan w:val="2"/>
            <w:vMerge w:val="continue"/>
          </w:tcPr>
          <w:p>
            <w:pPr>
              <w:spacing w:after="0"/>
              <w:rPr>
                <w:sz w:val="9"/>
                <w:szCs w:val="9"/>
                <w:color w:val="auto"/>
              </w:rPr>
            </w:pPr>
          </w:p>
        </w:tc>
        <w:tc>
          <w:tcPr>
            <w:tcW w:w="800" w:type="dxa"/>
            <w:vAlign w:val="bottom"/>
            <w:tcBorders>
              <w:right w:val="single" w:sz="8" w:color="auto"/>
            </w:tcBorders>
            <w:vMerge w:val="continue"/>
          </w:tcPr>
          <w:p>
            <w:pPr>
              <w:spacing w:after="0"/>
              <w:rPr>
                <w:sz w:val="9"/>
                <w:szCs w:val="9"/>
                <w:color w:val="auto"/>
              </w:rPr>
            </w:pPr>
          </w:p>
        </w:tc>
        <w:tc>
          <w:tcPr>
            <w:tcW w:w="1760" w:type="dxa"/>
            <w:vAlign w:val="bottom"/>
            <w:tcBorders>
              <w:right w:val="single" w:sz="8" w:color="auto"/>
            </w:tcBorders>
          </w:tcPr>
          <w:p>
            <w:pPr>
              <w:spacing w:after="0"/>
              <w:rPr>
                <w:sz w:val="9"/>
                <w:szCs w:val="9"/>
                <w:color w:val="auto"/>
              </w:rPr>
            </w:pPr>
          </w:p>
        </w:tc>
        <w:tc>
          <w:tcPr>
            <w:tcW w:w="1420" w:type="dxa"/>
            <w:vAlign w:val="bottom"/>
            <w:tcBorders>
              <w:right w:val="single" w:sz="8" w:color="auto"/>
            </w:tcBorders>
          </w:tcPr>
          <w:p>
            <w:pPr>
              <w:spacing w:after="0"/>
              <w:rPr>
                <w:sz w:val="9"/>
                <w:szCs w:val="9"/>
                <w:color w:val="auto"/>
              </w:rPr>
            </w:pPr>
          </w:p>
        </w:tc>
        <w:tc>
          <w:tcPr>
            <w:tcW w:w="1180" w:type="dxa"/>
            <w:vAlign w:val="bottom"/>
            <w:tcBorders>
              <w:right w:val="single" w:sz="8" w:color="auto"/>
            </w:tcBorders>
          </w:tcPr>
          <w:p>
            <w:pPr>
              <w:spacing w:after="0"/>
              <w:rPr>
                <w:sz w:val="9"/>
                <w:szCs w:val="9"/>
                <w:color w:val="auto"/>
              </w:rPr>
            </w:pPr>
          </w:p>
        </w:tc>
        <w:tc>
          <w:tcPr>
            <w:tcW w:w="1420" w:type="dxa"/>
            <w:vAlign w:val="bottom"/>
            <w:tcBorders>
              <w:right w:val="single" w:sz="8" w:color="auto"/>
            </w:tcBorders>
            <w:vMerge w:val="continue"/>
          </w:tcPr>
          <w:p>
            <w:pPr>
              <w:spacing w:after="0"/>
              <w:rPr>
                <w:sz w:val="9"/>
                <w:szCs w:val="9"/>
                <w:color w:val="auto"/>
              </w:rPr>
            </w:pPr>
          </w:p>
        </w:tc>
        <w:tc>
          <w:tcPr>
            <w:tcW w:w="110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413"/>
        </w:trPr>
        <w:tc>
          <w:tcPr>
            <w:tcW w:w="122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bozukluğu)</w:t>
            </w:r>
          </w:p>
        </w:tc>
        <w:tc>
          <w:tcPr>
            <w:tcW w:w="600" w:type="dxa"/>
            <w:vAlign w:val="bottom"/>
          </w:tcPr>
          <w:p>
            <w:pPr>
              <w:spacing w:after="0"/>
              <w:rPr>
                <w:sz w:val="24"/>
                <w:szCs w:val="24"/>
                <w:color w:val="auto"/>
              </w:rPr>
            </w:pPr>
          </w:p>
        </w:tc>
        <w:tc>
          <w:tcPr>
            <w:tcW w:w="800" w:type="dxa"/>
            <w:vAlign w:val="bottom"/>
            <w:tcBorders>
              <w:right w:val="single" w:sz="8" w:color="auto"/>
            </w:tcBorders>
          </w:tcPr>
          <w:p>
            <w:pPr>
              <w:spacing w:after="0"/>
              <w:rPr>
                <w:sz w:val="24"/>
                <w:szCs w:val="24"/>
                <w:color w:val="auto"/>
              </w:rPr>
            </w:pPr>
          </w:p>
        </w:tc>
        <w:tc>
          <w:tcPr>
            <w:tcW w:w="17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2"/>
        </w:trPr>
        <w:tc>
          <w:tcPr>
            <w:tcW w:w="1820" w:type="dxa"/>
            <w:vAlign w:val="bottom"/>
            <w:tcBorders>
              <w:left w:val="single" w:sz="8" w:color="auto"/>
              <w:bottom w:val="single" w:sz="8" w:color="auto"/>
            </w:tcBorders>
            <w:gridSpan w:val="2"/>
          </w:tcPr>
          <w:p>
            <w:pPr>
              <w:spacing w:after="0"/>
              <w:rPr>
                <w:sz w:val="12"/>
                <w:szCs w:val="12"/>
                <w:color w:val="auto"/>
              </w:rPr>
            </w:pPr>
          </w:p>
        </w:tc>
        <w:tc>
          <w:tcPr>
            <w:tcW w:w="800" w:type="dxa"/>
            <w:vAlign w:val="bottom"/>
            <w:tcBorders>
              <w:bottom w:val="single" w:sz="8" w:color="auto"/>
              <w:right w:val="single" w:sz="8" w:color="auto"/>
            </w:tcBorders>
          </w:tcPr>
          <w:p>
            <w:pPr>
              <w:spacing w:after="0"/>
              <w:rPr>
                <w:sz w:val="12"/>
                <w:szCs w:val="12"/>
                <w:color w:val="auto"/>
              </w:rPr>
            </w:pPr>
          </w:p>
        </w:tc>
        <w:tc>
          <w:tcPr>
            <w:tcW w:w="176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0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1820" w:type="dxa"/>
            <w:vAlign w:val="bottom"/>
            <w:tcBorders>
              <w:left w:val="single" w:sz="8" w:color="auto"/>
            </w:tcBorders>
            <w:gridSpan w:val="2"/>
          </w:tcPr>
          <w:p>
            <w:pPr>
              <w:ind w:left="100"/>
              <w:spacing w:after="0" w:line="263" w:lineRule="exact"/>
              <w:rPr>
                <w:sz w:val="20"/>
                <w:szCs w:val="20"/>
                <w:color w:val="auto"/>
              </w:rPr>
            </w:pPr>
            <w:r>
              <w:rPr>
                <w:rFonts w:ascii="Times New Roman" w:cs="Times New Roman" w:eastAsia="Times New Roman" w:hAnsi="Times New Roman"/>
                <w:sz w:val="24"/>
                <w:szCs w:val="24"/>
                <w:color w:val="222222"/>
              </w:rPr>
              <w:t>Hipersplenizm</w:t>
            </w:r>
          </w:p>
        </w:tc>
        <w:tc>
          <w:tcPr>
            <w:tcW w:w="800" w:type="dxa"/>
            <w:vAlign w:val="bottom"/>
            <w:tcBorders>
              <w:right w:val="single" w:sz="8" w:color="auto"/>
            </w:tcBorders>
          </w:tcPr>
          <w:p>
            <w:pPr>
              <w:spacing w:after="0"/>
              <w:rPr>
                <w:sz w:val="22"/>
                <w:szCs w:val="22"/>
                <w:color w:val="auto"/>
              </w:rPr>
            </w:pPr>
          </w:p>
        </w:tc>
        <w:tc>
          <w:tcPr>
            <w:tcW w:w="176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29(değerlendirilen)</w:t>
            </w:r>
          </w:p>
        </w:tc>
        <w:tc>
          <w:tcPr>
            <w:tcW w:w="14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18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10</w:t>
            </w:r>
          </w:p>
        </w:tc>
        <w:tc>
          <w:tcPr>
            <w:tcW w:w="11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4</w:t>
            </w:r>
          </w:p>
        </w:tc>
        <w:tc>
          <w:tcPr>
            <w:tcW w:w="0" w:type="dxa"/>
            <w:vAlign w:val="bottom"/>
          </w:tcPr>
          <w:p>
            <w:pPr>
              <w:spacing w:after="0"/>
              <w:rPr>
                <w:sz w:val="1"/>
                <w:szCs w:val="1"/>
                <w:color w:val="auto"/>
              </w:rPr>
            </w:pPr>
          </w:p>
        </w:tc>
      </w:tr>
      <w:tr>
        <w:trPr>
          <w:trHeight w:val="299"/>
        </w:trPr>
        <w:tc>
          <w:tcPr>
            <w:tcW w:w="1220" w:type="dxa"/>
            <w:vAlign w:val="bottom"/>
            <w:tcBorders>
              <w:left w:val="single" w:sz="8" w:color="auto"/>
            </w:tcBorders>
          </w:tcPr>
          <w:p>
            <w:pPr>
              <w:spacing w:after="0"/>
              <w:rPr>
                <w:sz w:val="24"/>
                <w:szCs w:val="24"/>
                <w:color w:val="auto"/>
              </w:rPr>
            </w:pPr>
          </w:p>
        </w:tc>
        <w:tc>
          <w:tcPr>
            <w:tcW w:w="600" w:type="dxa"/>
            <w:vAlign w:val="bottom"/>
          </w:tcPr>
          <w:p>
            <w:pPr>
              <w:spacing w:after="0"/>
              <w:rPr>
                <w:sz w:val="24"/>
                <w:szCs w:val="24"/>
                <w:color w:val="auto"/>
              </w:rPr>
            </w:pPr>
          </w:p>
        </w:tc>
        <w:tc>
          <w:tcPr>
            <w:tcW w:w="800" w:type="dxa"/>
            <w:vAlign w:val="bottom"/>
            <w:tcBorders>
              <w:right w:val="single" w:sz="8" w:color="auto"/>
            </w:tcBorders>
          </w:tcPr>
          <w:p>
            <w:pPr>
              <w:spacing w:after="0"/>
              <w:rPr>
                <w:sz w:val="24"/>
                <w:szCs w:val="24"/>
                <w:color w:val="auto"/>
              </w:rPr>
            </w:pPr>
          </w:p>
        </w:tc>
        <w:tc>
          <w:tcPr>
            <w:tcW w:w="17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2(%6,9)</w:t>
            </w:r>
          </w:p>
        </w:tc>
        <w:tc>
          <w:tcPr>
            <w:tcW w:w="142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222222"/>
              </w:rPr>
              <w:t>1(%10)</w:t>
            </w:r>
          </w:p>
        </w:tc>
        <w:tc>
          <w:tcPr>
            <w:tcW w:w="110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222222"/>
              </w:rPr>
              <w:t>1(%25)</w:t>
            </w:r>
          </w:p>
        </w:tc>
        <w:tc>
          <w:tcPr>
            <w:tcW w:w="0" w:type="dxa"/>
            <w:vAlign w:val="bottom"/>
          </w:tcPr>
          <w:p>
            <w:pPr>
              <w:spacing w:after="0"/>
              <w:rPr>
                <w:sz w:val="1"/>
                <w:szCs w:val="1"/>
                <w:color w:val="auto"/>
              </w:rPr>
            </w:pPr>
          </w:p>
        </w:tc>
      </w:tr>
      <w:tr>
        <w:trPr>
          <w:trHeight w:val="114"/>
        </w:trPr>
        <w:tc>
          <w:tcPr>
            <w:tcW w:w="1220" w:type="dxa"/>
            <w:vAlign w:val="bottom"/>
            <w:tcBorders>
              <w:left w:val="single" w:sz="8" w:color="auto"/>
            </w:tcBorders>
          </w:tcPr>
          <w:p>
            <w:pPr>
              <w:spacing w:after="0"/>
              <w:rPr>
                <w:sz w:val="9"/>
                <w:szCs w:val="9"/>
                <w:color w:val="auto"/>
              </w:rPr>
            </w:pPr>
          </w:p>
        </w:tc>
        <w:tc>
          <w:tcPr>
            <w:tcW w:w="600" w:type="dxa"/>
            <w:vAlign w:val="bottom"/>
          </w:tcPr>
          <w:p>
            <w:pPr>
              <w:spacing w:after="0"/>
              <w:rPr>
                <w:sz w:val="9"/>
                <w:szCs w:val="9"/>
                <w:color w:val="auto"/>
              </w:rPr>
            </w:pPr>
          </w:p>
        </w:tc>
        <w:tc>
          <w:tcPr>
            <w:tcW w:w="800" w:type="dxa"/>
            <w:vAlign w:val="bottom"/>
            <w:tcBorders>
              <w:right w:val="single" w:sz="8" w:color="auto"/>
            </w:tcBorders>
          </w:tcPr>
          <w:p>
            <w:pPr>
              <w:spacing w:after="0"/>
              <w:rPr>
                <w:sz w:val="9"/>
                <w:szCs w:val="9"/>
                <w:color w:val="auto"/>
              </w:rPr>
            </w:pPr>
          </w:p>
        </w:tc>
        <w:tc>
          <w:tcPr>
            <w:tcW w:w="1760" w:type="dxa"/>
            <w:vAlign w:val="bottom"/>
            <w:tcBorders>
              <w:right w:val="single" w:sz="8" w:color="auto"/>
            </w:tcBorders>
          </w:tcPr>
          <w:p>
            <w:pPr>
              <w:spacing w:after="0"/>
              <w:rPr>
                <w:sz w:val="9"/>
                <w:szCs w:val="9"/>
                <w:color w:val="auto"/>
              </w:rPr>
            </w:pPr>
          </w:p>
        </w:tc>
        <w:tc>
          <w:tcPr>
            <w:tcW w:w="1420" w:type="dxa"/>
            <w:vAlign w:val="bottom"/>
            <w:tcBorders>
              <w:right w:val="single" w:sz="8" w:color="auto"/>
            </w:tcBorders>
          </w:tcPr>
          <w:p>
            <w:pPr>
              <w:spacing w:after="0"/>
              <w:rPr>
                <w:sz w:val="9"/>
                <w:szCs w:val="9"/>
                <w:color w:val="auto"/>
              </w:rPr>
            </w:pPr>
          </w:p>
        </w:tc>
        <w:tc>
          <w:tcPr>
            <w:tcW w:w="1180" w:type="dxa"/>
            <w:vAlign w:val="bottom"/>
            <w:tcBorders>
              <w:right w:val="single" w:sz="8" w:color="auto"/>
            </w:tcBorders>
          </w:tcPr>
          <w:p>
            <w:pPr>
              <w:spacing w:after="0"/>
              <w:rPr>
                <w:sz w:val="9"/>
                <w:szCs w:val="9"/>
                <w:color w:val="auto"/>
              </w:rPr>
            </w:pPr>
          </w:p>
        </w:tc>
        <w:tc>
          <w:tcPr>
            <w:tcW w:w="1420" w:type="dxa"/>
            <w:vAlign w:val="bottom"/>
            <w:tcBorders>
              <w:right w:val="single" w:sz="8" w:color="auto"/>
            </w:tcBorders>
            <w:vMerge w:val="continue"/>
          </w:tcPr>
          <w:p>
            <w:pPr>
              <w:spacing w:after="0"/>
              <w:rPr>
                <w:sz w:val="9"/>
                <w:szCs w:val="9"/>
                <w:color w:val="auto"/>
              </w:rPr>
            </w:pPr>
          </w:p>
        </w:tc>
        <w:tc>
          <w:tcPr>
            <w:tcW w:w="110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42"/>
        </w:trPr>
        <w:tc>
          <w:tcPr>
            <w:tcW w:w="1820" w:type="dxa"/>
            <w:vAlign w:val="bottom"/>
            <w:tcBorders>
              <w:left w:val="single" w:sz="8" w:color="auto"/>
              <w:bottom w:val="single" w:sz="8" w:color="auto"/>
            </w:tcBorders>
            <w:gridSpan w:val="2"/>
          </w:tcPr>
          <w:p>
            <w:pPr>
              <w:spacing w:after="0"/>
              <w:rPr>
                <w:sz w:val="12"/>
                <w:szCs w:val="12"/>
                <w:color w:val="auto"/>
              </w:rPr>
            </w:pPr>
          </w:p>
        </w:tc>
        <w:tc>
          <w:tcPr>
            <w:tcW w:w="800" w:type="dxa"/>
            <w:vAlign w:val="bottom"/>
            <w:tcBorders>
              <w:bottom w:val="single" w:sz="8" w:color="auto"/>
              <w:right w:val="single" w:sz="8" w:color="auto"/>
            </w:tcBorders>
          </w:tcPr>
          <w:p>
            <w:pPr>
              <w:spacing w:after="0"/>
              <w:rPr>
                <w:sz w:val="12"/>
                <w:szCs w:val="12"/>
                <w:color w:val="auto"/>
              </w:rPr>
            </w:pPr>
          </w:p>
        </w:tc>
        <w:tc>
          <w:tcPr>
            <w:tcW w:w="176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0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1820" w:type="dxa"/>
            <w:vAlign w:val="bottom"/>
            <w:tcBorders>
              <w:left w:val="single" w:sz="8" w:color="auto"/>
            </w:tcBorders>
            <w:gridSpan w:val="2"/>
          </w:tcPr>
          <w:p>
            <w:pPr>
              <w:ind w:left="100"/>
              <w:spacing w:after="0" w:line="263" w:lineRule="exact"/>
              <w:rPr>
                <w:sz w:val="20"/>
                <w:szCs w:val="20"/>
                <w:color w:val="auto"/>
              </w:rPr>
            </w:pPr>
            <w:r>
              <w:rPr>
                <w:rFonts w:ascii="Times New Roman" w:cs="Times New Roman" w:eastAsia="Times New Roman" w:hAnsi="Times New Roman"/>
                <w:sz w:val="24"/>
                <w:szCs w:val="24"/>
                <w:color w:val="222222"/>
              </w:rPr>
              <w:t>Malabsorbsiyon</w:t>
            </w:r>
          </w:p>
        </w:tc>
        <w:tc>
          <w:tcPr>
            <w:tcW w:w="800" w:type="dxa"/>
            <w:vAlign w:val="bottom"/>
            <w:tcBorders>
              <w:right w:val="single" w:sz="8" w:color="auto"/>
            </w:tcBorders>
          </w:tcPr>
          <w:p>
            <w:pPr>
              <w:spacing w:after="0"/>
              <w:rPr>
                <w:sz w:val="22"/>
                <w:szCs w:val="22"/>
                <w:color w:val="auto"/>
              </w:rPr>
            </w:pPr>
          </w:p>
        </w:tc>
        <w:tc>
          <w:tcPr>
            <w:tcW w:w="176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27(değerlendirilen)</w:t>
            </w:r>
          </w:p>
        </w:tc>
        <w:tc>
          <w:tcPr>
            <w:tcW w:w="14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18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1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0" w:type="dxa"/>
            <w:vAlign w:val="bottom"/>
          </w:tcPr>
          <w:p>
            <w:pPr>
              <w:spacing w:after="0"/>
              <w:rPr>
                <w:sz w:val="1"/>
                <w:szCs w:val="1"/>
                <w:color w:val="auto"/>
              </w:rPr>
            </w:pPr>
          </w:p>
        </w:tc>
      </w:tr>
      <w:tr>
        <w:trPr>
          <w:trHeight w:val="302"/>
        </w:trPr>
        <w:tc>
          <w:tcPr>
            <w:tcW w:w="1220" w:type="dxa"/>
            <w:vAlign w:val="bottom"/>
            <w:tcBorders>
              <w:left w:val="single" w:sz="8" w:color="auto"/>
            </w:tcBorders>
          </w:tcPr>
          <w:p>
            <w:pPr>
              <w:spacing w:after="0"/>
              <w:rPr>
                <w:sz w:val="24"/>
                <w:szCs w:val="24"/>
                <w:color w:val="auto"/>
              </w:rPr>
            </w:pPr>
          </w:p>
        </w:tc>
        <w:tc>
          <w:tcPr>
            <w:tcW w:w="600" w:type="dxa"/>
            <w:vAlign w:val="bottom"/>
          </w:tcPr>
          <w:p>
            <w:pPr>
              <w:spacing w:after="0"/>
              <w:rPr>
                <w:sz w:val="24"/>
                <w:szCs w:val="24"/>
                <w:color w:val="auto"/>
              </w:rPr>
            </w:pPr>
          </w:p>
        </w:tc>
        <w:tc>
          <w:tcPr>
            <w:tcW w:w="800" w:type="dxa"/>
            <w:vAlign w:val="bottom"/>
            <w:tcBorders>
              <w:right w:val="single" w:sz="8" w:color="auto"/>
            </w:tcBorders>
          </w:tcPr>
          <w:p>
            <w:pPr>
              <w:spacing w:after="0"/>
              <w:rPr>
                <w:sz w:val="24"/>
                <w:szCs w:val="24"/>
                <w:color w:val="auto"/>
              </w:rPr>
            </w:pPr>
          </w:p>
        </w:tc>
        <w:tc>
          <w:tcPr>
            <w:tcW w:w="17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0</w:t>
            </w:r>
          </w:p>
        </w:tc>
        <w:tc>
          <w:tcPr>
            <w:tcW w:w="142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14"/>
        </w:trPr>
        <w:tc>
          <w:tcPr>
            <w:tcW w:w="1220" w:type="dxa"/>
            <w:vAlign w:val="bottom"/>
            <w:tcBorders>
              <w:left w:val="single" w:sz="8" w:color="auto"/>
              <w:bottom w:val="single" w:sz="8" w:color="auto"/>
            </w:tcBorders>
          </w:tcPr>
          <w:p>
            <w:pPr>
              <w:spacing w:after="0"/>
              <w:rPr>
                <w:sz w:val="9"/>
                <w:szCs w:val="9"/>
                <w:color w:val="auto"/>
              </w:rPr>
            </w:pPr>
          </w:p>
        </w:tc>
        <w:tc>
          <w:tcPr>
            <w:tcW w:w="1400" w:type="dxa"/>
            <w:vAlign w:val="bottom"/>
            <w:tcBorders>
              <w:bottom w:val="single" w:sz="8" w:color="auto"/>
              <w:right w:val="single" w:sz="8" w:color="auto"/>
            </w:tcBorders>
            <w:gridSpan w:val="2"/>
          </w:tcPr>
          <w:p>
            <w:pPr>
              <w:spacing w:after="0"/>
              <w:rPr>
                <w:sz w:val="9"/>
                <w:szCs w:val="9"/>
                <w:color w:val="auto"/>
              </w:rPr>
            </w:pPr>
          </w:p>
        </w:tc>
        <w:tc>
          <w:tcPr>
            <w:tcW w:w="1760" w:type="dxa"/>
            <w:vAlign w:val="bottom"/>
            <w:tcBorders>
              <w:bottom w:val="single" w:sz="8" w:color="auto"/>
              <w:right w:val="single" w:sz="8" w:color="auto"/>
            </w:tcBorders>
          </w:tcPr>
          <w:p>
            <w:pPr>
              <w:spacing w:after="0"/>
              <w:rPr>
                <w:sz w:val="9"/>
                <w:szCs w:val="9"/>
                <w:color w:val="auto"/>
              </w:rPr>
            </w:pPr>
          </w:p>
        </w:tc>
        <w:tc>
          <w:tcPr>
            <w:tcW w:w="1420" w:type="dxa"/>
            <w:vAlign w:val="bottom"/>
            <w:tcBorders>
              <w:bottom w:val="single" w:sz="8" w:color="auto"/>
              <w:right w:val="single" w:sz="8" w:color="auto"/>
            </w:tcBorders>
          </w:tcPr>
          <w:p>
            <w:pPr>
              <w:spacing w:after="0"/>
              <w:rPr>
                <w:sz w:val="9"/>
                <w:szCs w:val="9"/>
                <w:color w:val="auto"/>
              </w:rPr>
            </w:pPr>
          </w:p>
        </w:tc>
        <w:tc>
          <w:tcPr>
            <w:tcW w:w="1180" w:type="dxa"/>
            <w:vAlign w:val="bottom"/>
            <w:tcBorders>
              <w:bottom w:val="single" w:sz="8" w:color="auto"/>
              <w:right w:val="single" w:sz="8" w:color="auto"/>
            </w:tcBorders>
          </w:tcPr>
          <w:p>
            <w:pPr>
              <w:spacing w:after="0"/>
              <w:rPr>
                <w:sz w:val="9"/>
                <w:szCs w:val="9"/>
                <w:color w:val="auto"/>
              </w:rPr>
            </w:pPr>
          </w:p>
        </w:tc>
        <w:tc>
          <w:tcPr>
            <w:tcW w:w="1420" w:type="dxa"/>
            <w:vAlign w:val="bottom"/>
            <w:tcBorders>
              <w:bottom w:val="single" w:sz="8" w:color="auto"/>
              <w:right w:val="single" w:sz="8" w:color="auto"/>
            </w:tcBorders>
          </w:tcPr>
          <w:p>
            <w:pPr>
              <w:spacing w:after="0"/>
              <w:rPr>
                <w:sz w:val="9"/>
                <w:szCs w:val="9"/>
                <w:color w:val="auto"/>
              </w:rPr>
            </w:pPr>
          </w:p>
        </w:tc>
        <w:tc>
          <w:tcPr>
            <w:tcW w:w="110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65"/>
        </w:trPr>
        <w:tc>
          <w:tcPr>
            <w:tcW w:w="1220" w:type="dxa"/>
            <w:vAlign w:val="bottom"/>
            <w:tcBorders>
              <w:left w:val="single" w:sz="8" w:color="auto"/>
            </w:tcBorders>
          </w:tcPr>
          <w:p>
            <w:pPr>
              <w:ind w:left="100"/>
              <w:spacing w:after="0" w:line="244" w:lineRule="exact"/>
              <w:rPr>
                <w:sz w:val="20"/>
                <w:szCs w:val="20"/>
                <w:color w:val="auto"/>
              </w:rPr>
            </w:pPr>
            <w:r>
              <w:rPr>
                <w:rFonts w:ascii="Times New Roman" w:cs="Times New Roman" w:eastAsia="Times New Roman" w:hAnsi="Times New Roman"/>
                <w:sz w:val="22"/>
                <w:szCs w:val="22"/>
                <w:color w:val="222222"/>
              </w:rPr>
              <w:t>Kemik</w:t>
            </w:r>
          </w:p>
        </w:tc>
        <w:tc>
          <w:tcPr>
            <w:tcW w:w="1400" w:type="dxa"/>
            <w:vAlign w:val="bottom"/>
            <w:tcBorders>
              <w:right w:val="single" w:sz="8" w:color="auto"/>
            </w:tcBorders>
            <w:gridSpan w:val="2"/>
          </w:tcPr>
          <w:p>
            <w:pPr>
              <w:jc w:val="right"/>
              <w:ind w:right="5"/>
              <w:spacing w:after="0" w:line="244" w:lineRule="exact"/>
              <w:rPr>
                <w:sz w:val="20"/>
                <w:szCs w:val="20"/>
                <w:color w:val="auto"/>
              </w:rPr>
            </w:pPr>
            <w:r>
              <w:rPr>
                <w:rFonts w:ascii="Times New Roman" w:cs="Times New Roman" w:eastAsia="Times New Roman" w:hAnsi="Times New Roman"/>
                <w:sz w:val="22"/>
                <w:szCs w:val="22"/>
                <w:color w:val="222222"/>
              </w:rPr>
              <w:t>patolojisi</w:t>
            </w:r>
          </w:p>
        </w:tc>
        <w:tc>
          <w:tcPr>
            <w:tcW w:w="1760" w:type="dxa"/>
            <w:vAlign w:val="bottom"/>
            <w:tcBorders>
              <w:right w:val="single" w:sz="8" w:color="auto"/>
            </w:tcBorders>
          </w:tcPr>
          <w:p>
            <w:pPr>
              <w:ind w:left="80"/>
              <w:spacing w:after="0" w:line="221" w:lineRule="exact"/>
              <w:rPr>
                <w:sz w:val="20"/>
                <w:szCs w:val="20"/>
                <w:color w:val="auto"/>
              </w:rPr>
            </w:pPr>
            <w:r>
              <w:rPr>
                <w:rFonts w:ascii="Times New Roman" w:cs="Times New Roman" w:eastAsia="Times New Roman" w:hAnsi="Times New Roman"/>
                <w:sz w:val="20"/>
                <w:szCs w:val="20"/>
                <w:color w:val="222222"/>
              </w:rPr>
              <w:t>19(değerlendirilen)</w:t>
            </w:r>
          </w:p>
        </w:tc>
        <w:tc>
          <w:tcPr>
            <w:tcW w:w="1420" w:type="dxa"/>
            <w:vAlign w:val="bottom"/>
            <w:tcBorders>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4"/>
                <w:szCs w:val="24"/>
                <w:color w:val="222222"/>
              </w:rPr>
              <w:t>-</w:t>
            </w:r>
          </w:p>
        </w:tc>
        <w:tc>
          <w:tcPr>
            <w:tcW w:w="1180" w:type="dxa"/>
            <w:vAlign w:val="bottom"/>
            <w:tcBorders>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6</w:t>
            </w:r>
          </w:p>
        </w:tc>
        <w:tc>
          <w:tcPr>
            <w:tcW w:w="110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1</w:t>
            </w:r>
          </w:p>
        </w:tc>
        <w:tc>
          <w:tcPr>
            <w:tcW w:w="0" w:type="dxa"/>
            <w:vAlign w:val="bottom"/>
          </w:tcPr>
          <w:p>
            <w:pPr>
              <w:spacing w:after="0"/>
              <w:rPr>
                <w:sz w:val="1"/>
                <w:szCs w:val="1"/>
                <w:color w:val="auto"/>
              </w:rPr>
            </w:pPr>
          </w:p>
        </w:tc>
      </w:tr>
      <w:tr>
        <w:trPr>
          <w:trHeight w:val="299"/>
        </w:trPr>
        <w:tc>
          <w:tcPr>
            <w:tcW w:w="1220" w:type="dxa"/>
            <w:vAlign w:val="bottom"/>
            <w:tcBorders>
              <w:left w:val="single" w:sz="8" w:color="auto"/>
            </w:tcBorders>
            <w:vMerge w:val="restart"/>
          </w:tcPr>
          <w:p>
            <w:pPr>
              <w:ind w:left="100"/>
              <w:spacing w:after="0"/>
              <w:rPr>
                <w:sz w:val="20"/>
                <w:szCs w:val="20"/>
                <w:color w:val="auto"/>
              </w:rPr>
            </w:pPr>
            <w:r>
              <w:rPr>
                <w:rFonts w:ascii="Times New Roman" w:cs="Times New Roman" w:eastAsia="Times New Roman" w:hAnsi="Times New Roman"/>
                <w:sz w:val="22"/>
                <w:szCs w:val="22"/>
                <w:color w:val="222222"/>
              </w:rPr>
              <w:t>(patolojik</w:t>
            </w:r>
          </w:p>
        </w:tc>
        <w:tc>
          <w:tcPr>
            <w:tcW w:w="600" w:type="dxa"/>
            <w:vAlign w:val="bottom"/>
            <w:vMerge w:val="restart"/>
          </w:tcPr>
          <w:p>
            <w:pPr>
              <w:ind w:left="100"/>
              <w:spacing w:after="0"/>
              <w:rPr>
                <w:sz w:val="20"/>
                <w:szCs w:val="20"/>
                <w:color w:val="auto"/>
              </w:rPr>
            </w:pPr>
            <w:r>
              <w:rPr>
                <w:rFonts w:ascii="Times New Roman" w:cs="Times New Roman" w:eastAsia="Times New Roman" w:hAnsi="Times New Roman"/>
                <w:sz w:val="22"/>
                <w:szCs w:val="22"/>
                <w:color w:val="222222"/>
              </w:rPr>
              <w:t>kırık,</w:t>
            </w:r>
          </w:p>
        </w:tc>
        <w:tc>
          <w:tcPr>
            <w:tcW w:w="800" w:type="dxa"/>
            <w:vAlign w:val="bottom"/>
            <w:tcBorders>
              <w:right w:val="single" w:sz="8" w:color="auto"/>
            </w:tcBorders>
            <w:vMerge w:val="restart"/>
          </w:tcPr>
          <w:p>
            <w:pPr>
              <w:jc w:val="right"/>
              <w:ind w:right="5"/>
              <w:spacing w:after="0"/>
              <w:rPr>
                <w:sz w:val="20"/>
                <w:szCs w:val="20"/>
                <w:color w:val="auto"/>
              </w:rPr>
            </w:pPr>
            <w:r>
              <w:rPr>
                <w:rFonts w:ascii="Times New Roman" w:cs="Times New Roman" w:eastAsia="Times New Roman" w:hAnsi="Times New Roman"/>
                <w:sz w:val="22"/>
                <w:szCs w:val="22"/>
                <w:color w:val="222222"/>
              </w:rPr>
              <w:t>litik</w:t>
            </w:r>
          </w:p>
        </w:tc>
        <w:tc>
          <w:tcPr>
            <w:tcW w:w="17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5(%26,3)</w:t>
            </w:r>
          </w:p>
        </w:tc>
        <w:tc>
          <w:tcPr>
            <w:tcW w:w="142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222222"/>
              </w:rPr>
              <w:t>4(%66,7)</w:t>
            </w:r>
          </w:p>
        </w:tc>
        <w:tc>
          <w:tcPr>
            <w:tcW w:w="110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222222"/>
              </w:rPr>
              <w:t>1(%100)</w:t>
            </w:r>
          </w:p>
        </w:tc>
        <w:tc>
          <w:tcPr>
            <w:tcW w:w="0" w:type="dxa"/>
            <w:vAlign w:val="bottom"/>
          </w:tcPr>
          <w:p>
            <w:pPr>
              <w:spacing w:after="0"/>
              <w:rPr>
                <w:sz w:val="1"/>
                <w:szCs w:val="1"/>
                <w:color w:val="auto"/>
              </w:rPr>
            </w:pPr>
          </w:p>
        </w:tc>
      </w:tr>
      <w:tr>
        <w:trPr>
          <w:trHeight w:val="114"/>
        </w:trPr>
        <w:tc>
          <w:tcPr>
            <w:tcW w:w="1220" w:type="dxa"/>
            <w:vAlign w:val="bottom"/>
            <w:tcBorders>
              <w:left w:val="single" w:sz="8" w:color="auto"/>
            </w:tcBorders>
            <w:vMerge w:val="continue"/>
          </w:tcPr>
          <w:p>
            <w:pPr>
              <w:spacing w:after="0"/>
              <w:rPr>
                <w:sz w:val="9"/>
                <w:szCs w:val="9"/>
                <w:color w:val="auto"/>
              </w:rPr>
            </w:pPr>
          </w:p>
        </w:tc>
        <w:tc>
          <w:tcPr>
            <w:tcW w:w="600" w:type="dxa"/>
            <w:vAlign w:val="bottom"/>
            <w:vMerge w:val="continue"/>
          </w:tcPr>
          <w:p>
            <w:pPr>
              <w:spacing w:after="0"/>
              <w:rPr>
                <w:sz w:val="9"/>
                <w:szCs w:val="9"/>
                <w:color w:val="auto"/>
              </w:rPr>
            </w:pPr>
          </w:p>
        </w:tc>
        <w:tc>
          <w:tcPr>
            <w:tcW w:w="800" w:type="dxa"/>
            <w:vAlign w:val="bottom"/>
            <w:tcBorders>
              <w:right w:val="single" w:sz="8" w:color="auto"/>
            </w:tcBorders>
            <w:vMerge w:val="continue"/>
          </w:tcPr>
          <w:p>
            <w:pPr>
              <w:spacing w:after="0"/>
              <w:rPr>
                <w:sz w:val="9"/>
                <w:szCs w:val="9"/>
                <w:color w:val="auto"/>
              </w:rPr>
            </w:pPr>
          </w:p>
        </w:tc>
        <w:tc>
          <w:tcPr>
            <w:tcW w:w="1760" w:type="dxa"/>
            <w:vAlign w:val="bottom"/>
            <w:tcBorders>
              <w:right w:val="single" w:sz="8" w:color="auto"/>
            </w:tcBorders>
          </w:tcPr>
          <w:p>
            <w:pPr>
              <w:spacing w:after="0"/>
              <w:rPr>
                <w:sz w:val="9"/>
                <w:szCs w:val="9"/>
                <w:color w:val="auto"/>
              </w:rPr>
            </w:pPr>
          </w:p>
        </w:tc>
        <w:tc>
          <w:tcPr>
            <w:tcW w:w="1420" w:type="dxa"/>
            <w:vAlign w:val="bottom"/>
            <w:tcBorders>
              <w:right w:val="single" w:sz="8" w:color="auto"/>
            </w:tcBorders>
          </w:tcPr>
          <w:p>
            <w:pPr>
              <w:spacing w:after="0"/>
              <w:rPr>
                <w:sz w:val="9"/>
                <w:szCs w:val="9"/>
                <w:color w:val="auto"/>
              </w:rPr>
            </w:pPr>
          </w:p>
        </w:tc>
        <w:tc>
          <w:tcPr>
            <w:tcW w:w="1180" w:type="dxa"/>
            <w:vAlign w:val="bottom"/>
            <w:tcBorders>
              <w:right w:val="single" w:sz="8" w:color="auto"/>
            </w:tcBorders>
          </w:tcPr>
          <w:p>
            <w:pPr>
              <w:spacing w:after="0"/>
              <w:rPr>
                <w:sz w:val="9"/>
                <w:szCs w:val="9"/>
                <w:color w:val="auto"/>
              </w:rPr>
            </w:pPr>
          </w:p>
        </w:tc>
        <w:tc>
          <w:tcPr>
            <w:tcW w:w="1420" w:type="dxa"/>
            <w:vAlign w:val="bottom"/>
            <w:tcBorders>
              <w:right w:val="single" w:sz="8" w:color="auto"/>
            </w:tcBorders>
            <w:vMerge w:val="continue"/>
          </w:tcPr>
          <w:p>
            <w:pPr>
              <w:spacing w:after="0"/>
              <w:rPr>
                <w:sz w:val="9"/>
                <w:szCs w:val="9"/>
                <w:color w:val="auto"/>
              </w:rPr>
            </w:pPr>
          </w:p>
        </w:tc>
        <w:tc>
          <w:tcPr>
            <w:tcW w:w="110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325"/>
        </w:trPr>
        <w:tc>
          <w:tcPr>
            <w:tcW w:w="122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2"/>
                <w:szCs w:val="22"/>
                <w:color w:val="222222"/>
              </w:rPr>
              <w:t>lezyon)</w:t>
            </w:r>
          </w:p>
        </w:tc>
        <w:tc>
          <w:tcPr>
            <w:tcW w:w="600" w:type="dxa"/>
            <w:vAlign w:val="bottom"/>
          </w:tcPr>
          <w:p>
            <w:pPr>
              <w:spacing w:after="0"/>
              <w:rPr>
                <w:sz w:val="24"/>
                <w:szCs w:val="24"/>
                <w:color w:val="auto"/>
              </w:rPr>
            </w:pPr>
          </w:p>
        </w:tc>
        <w:tc>
          <w:tcPr>
            <w:tcW w:w="800" w:type="dxa"/>
            <w:vAlign w:val="bottom"/>
            <w:tcBorders>
              <w:right w:val="single" w:sz="8" w:color="auto"/>
            </w:tcBorders>
          </w:tcPr>
          <w:p>
            <w:pPr>
              <w:spacing w:after="0"/>
              <w:rPr>
                <w:sz w:val="24"/>
                <w:szCs w:val="24"/>
                <w:color w:val="auto"/>
              </w:rPr>
            </w:pPr>
          </w:p>
        </w:tc>
        <w:tc>
          <w:tcPr>
            <w:tcW w:w="176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7"/>
        </w:trPr>
        <w:tc>
          <w:tcPr>
            <w:tcW w:w="1220" w:type="dxa"/>
            <w:vAlign w:val="bottom"/>
            <w:tcBorders>
              <w:left w:val="single" w:sz="8" w:color="auto"/>
              <w:bottom w:val="single" w:sz="8" w:color="auto"/>
            </w:tcBorders>
          </w:tcPr>
          <w:p>
            <w:pPr>
              <w:spacing w:after="0"/>
              <w:rPr>
                <w:sz w:val="11"/>
                <w:szCs w:val="11"/>
                <w:color w:val="auto"/>
              </w:rPr>
            </w:pPr>
          </w:p>
        </w:tc>
        <w:tc>
          <w:tcPr>
            <w:tcW w:w="600" w:type="dxa"/>
            <w:vAlign w:val="bottom"/>
            <w:tcBorders>
              <w:bottom w:val="single" w:sz="8" w:color="auto"/>
            </w:tcBorders>
          </w:tcPr>
          <w:p>
            <w:pPr>
              <w:spacing w:after="0"/>
              <w:rPr>
                <w:sz w:val="11"/>
                <w:szCs w:val="11"/>
                <w:color w:val="auto"/>
              </w:rPr>
            </w:pPr>
          </w:p>
        </w:tc>
        <w:tc>
          <w:tcPr>
            <w:tcW w:w="800" w:type="dxa"/>
            <w:vAlign w:val="bottom"/>
            <w:tcBorders>
              <w:bottom w:val="single" w:sz="8" w:color="auto"/>
              <w:right w:val="single" w:sz="8" w:color="auto"/>
            </w:tcBorders>
          </w:tcPr>
          <w:p>
            <w:pPr>
              <w:spacing w:after="0"/>
              <w:rPr>
                <w:sz w:val="11"/>
                <w:szCs w:val="11"/>
                <w:color w:val="auto"/>
              </w:rPr>
            </w:pPr>
          </w:p>
        </w:tc>
        <w:tc>
          <w:tcPr>
            <w:tcW w:w="1760" w:type="dxa"/>
            <w:vAlign w:val="bottom"/>
            <w:tcBorders>
              <w:bottom w:val="single" w:sz="8" w:color="auto"/>
              <w:right w:val="single" w:sz="8" w:color="auto"/>
            </w:tcBorders>
          </w:tcPr>
          <w:p>
            <w:pPr>
              <w:spacing w:after="0"/>
              <w:rPr>
                <w:sz w:val="11"/>
                <w:szCs w:val="11"/>
                <w:color w:val="auto"/>
              </w:rPr>
            </w:pPr>
          </w:p>
        </w:tc>
        <w:tc>
          <w:tcPr>
            <w:tcW w:w="1420" w:type="dxa"/>
            <w:vAlign w:val="bottom"/>
            <w:tcBorders>
              <w:bottom w:val="single" w:sz="8" w:color="auto"/>
              <w:right w:val="single" w:sz="8" w:color="auto"/>
            </w:tcBorders>
          </w:tcPr>
          <w:p>
            <w:pPr>
              <w:spacing w:after="0"/>
              <w:rPr>
                <w:sz w:val="11"/>
                <w:szCs w:val="11"/>
                <w:color w:val="auto"/>
              </w:rPr>
            </w:pPr>
          </w:p>
        </w:tc>
        <w:tc>
          <w:tcPr>
            <w:tcW w:w="1180" w:type="dxa"/>
            <w:vAlign w:val="bottom"/>
            <w:tcBorders>
              <w:bottom w:val="single" w:sz="8" w:color="auto"/>
              <w:right w:val="single" w:sz="8" w:color="auto"/>
            </w:tcBorders>
          </w:tcPr>
          <w:p>
            <w:pPr>
              <w:spacing w:after="0"/>
              <w:rPr>
                <w:sz w:val="11"/>
                <w:szCs w:val="11"/>
                <w:color w:val="auto"/>
              </w:rPr>
            </w:pPr>
          </w:p>
        </w:tc>
        <w:tc>
          <w:tcPr>
            <w:tcW w:w="1420" w:type="dxa"/>
            <w:vAlign w:val="bottom"/>
            <w:tcBorders>
              <w:bottom w:val="single" w:sz="8" w:color="auto"/>
              <w:right w:val="single" w:sz="8" w:color="auto"/>
            </w:tcBorders>
          </w:tcPr>
          <w:p>
            <w:pPr>
              <w:spacing w:after="0"/>
              <w:rPr>
                <w:sz w:val="11"/>
                <w:szCs w:val="11"/>
                <w:color w:val="auto"/>
              </w:rPr>
            </w:pPr>
          </w:p>
        </w:tc>
        <w:tc>
          <w:tcPr>
            <w:tcW w:w="110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-3726180</wp:posOffset>
            </wp:positionV>
            <wp:extent cx="4699000" cy="18542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jc w:val="both"/>
        <w:ind w:left="820" w:right="1160" w:firstLine="917"/>
        <w:spacing w:after="0" w:line="358" w:lineRule="auto"/>
        <w:rPr>
          <w:sz w:val="20"/>
          <w:szCs w:val="20"/>
          <w:color w:val="auto"/>
        </w:rPr>
      </w:pPr>
      <w:r>
        <w:rPr>
          <w:rFonts w:ascii="Times New Roman" w:cs="Times New Roman" w:eastAsia="Times New Roman" w:hAnsi="Times New Roman"/>
          <w:sz w:val="24"/>
          <w:szCs w:val="24"/>
          <w:color w:val="222222"/>
        </w:rPr>
        <w:t>Hastaların toplamda 1</w:t>
      </w:r>
      <w:r>
        <w:rPr>
          <w:rFonts w:ascii="Times New Roman" w:cs="Times New Roman" w:eastAsia="Times New Roman" w:hAnsi="Times New Roman"/>
          <w:sz w:val="24"/>
          <w:szCs w:val="24"/>
          <w:color w:val="222222"/>
        </w:rPr>
        <w:t>0(%33,3</w:t>
      </w:r>
      <w:r>
        <w:rPr>
          <w:rFonts w:ascii="Times New Roman" w:cs="Times New Roman" w:eastAsia="Times New Roman" w:hAnsi="Times New Roman"/>
          <w:sz w:val="24"/>
          <w:szCs w:val="24"/>
          <w:color w:val="222222"/>
        </w:rPr>
        <w:t xml:space="preserve">) tanesinde sitopeni saptandı. Bu hastaların </w:t>
      </w:r>
      <w:r>
        <w:rPr>
          <w:rFonts w:ascii="Times New Roman" w:cs="Times New Roman" w:eastAsia="Times New Roman" w:hAnsi="Times New Roman"/>
          <w:sz w:val="24"/>
          <w:szCs w:val="24"/>
          <w:color w:val="222222"/>
        </w:rPr>
        <w:t xml:space="preserve">6(%60,0) tanesi ASM ile takipliyken 3(%75) tanesinin de SM-AHN ile takipli </w:t>
      </w:r>
      <w:r>
        <w:rPr>
          <w:rFonts w:ascii="Times New Roman" w:cs="Times New Roman" w:eastAsia="Times New Roman" w:hAnsi="Times New Roman"/>
          <w:sz w:val="24"/>
          <w:szCs w:val="24"/>
          <w:color w:val="222222"/>
        </w:rPr>
        <w:t xml:space="preserve">olduğu görüldü. İSM ile takipli bir hastada anemi görüldü ancak o aneminin de izlemde demir eksikliği anemisi olduğu saptandı. Değerlendirilebilen hastalar arasından iki hastada hepatik disfonksiyon olduğu görüldü. Bu hastaların </w:t>
      </w:r>
      <w:r>
        <w:rPr>
          <w:rFonts w:ascii="Times New Roman" w:cs="Times New Roman" w:eastAsia="Times New Roman" w:hAnsi="Times New Roman"/>
          <w:sz w:val="24"/>
          <w:szCs w:val="24"/>
          <w:color w:val="222222"/>
        </w:rPr>
        <w:t>2(%22,2)</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tanesi ASM ile takipliyken 1(%25) tanesinin de SM-</w:t>
      </w:r>
      <w:r>
        <w:rPr>
          <w:rFonts w:ascii="Times New Roman" w:cs="Times New Roman" w:eastAsia="Times New Roman" w:hAnsi="Times New Roman"/>
          <w:sz w:val="24"/>
          <w:szCs w:val="24"/>
          <w:color w:val="222222"/>
        </w:rPr>
        <w:t>AHN ile takipli olduğu görüldü.</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Değerlendirilebilen hastalar arasından </w:t>
      </w:r>
      <w:r>
        <w:rPr>
          <w:rFonts w:ascii="Times New Roman" w:cs="Times New Roman" w:eastAsia="Times New Roman" w:hAnsi="Times New Roman"/>
          <w:sz w:val="24"/>
          <w:szCs w:val="24"/>
          <w:color w:val="222222"/>
        </w:rPr>
        <w:t>2 hastada hipersplenizm</w:t>
      </w:r>
      <w:r>
        <w:rPr>
          <w:rFonts w:ascii="Times New Roman" w:cs="Times New Roman" w:eastAsia="Times New Roman" w:hAnsi="Times New Roman"/>
          <w:sz w:val="24"/>
          <w:szCs w:val="24"/>
          <w:color w:val="222222"/>
        </w:rPr>
        <w:t xml:space="preserve"> olduğu görüldü. Bu hastaların </w:t>
      </w:r>
      <w:r>
        <w:rPr>
          <w:rFonts w:ascii="Times New Roman" w:cs="Times New Roman" w:eastAsia="Times New Roman" w:hAnsi="Times New Roman"/>
          <w:sz w:val="24"/>
          <w:szCs w:val="24"/>
          <w:color w:val="222222"/>
        </w:rPr>
        <w:t>1(%10) tanesi ASM ile takipliyken 1(%25) tanesinin de SM-AHN ile</w:t>
      </w:r>
    </w:p>
    <w:p>
      <w:pPr>
        <w:sectPr>
          <w:pgSz w:w="11900" w:h="16838" w:orient="portrait"/>
          <w:cols w:equalWidth="0" w:num="1">
            <w:col w:w="10220"/>
          </w:cols>
          <w:pgMar w:left="1440" w:top="702" w:right="246" w:bottom="768" w:gutter="0" w:footer="0" w:header="0"/>
        </w:sectPr>
      </w:pPr>
    </w:p>
    <w:bookmarkStart w:id="46" w:name="page47"/>
    <w:bookmarkEnd w:id="46"/>
    <w:p>
      <w:pPr>
        <w:ind w:left="8820"/>
        <w:spacing w:after="0"/>
        <w:rPr>
          <w:sz w:val="20"/>
          <w:szCs w:val="20"/>
          <w:color w:val="auto"/>
        </w:rPr>
      </w:pPr>
      <w:r>
        <w:rPr>
          <w:rFonts w:ascii="Calibri" w:cs="Calibri" w:eastAsia="Calibri" w:hAnsi="Calibri"/>
          <w:sz w:val="22"/>
          <w:szCs w:val="22"/>
          <w:color w:val="auto"/>
        </w:rPr>
        <w:t>36</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600"/>
        <w:spacing w:after="0" w:line="357" w:lineRule="auto"/>
        <w:rPr>
          <w:sz w:val="20"/>
          <w:szCs w:val="20"/>
          <w:color w:val="auto"/>
        </w:rPr>
      </w:pPr>
      <w:r>
        <w:rPr>
          <w:rFonts w:ascii="Times New Roman" w:cs="Times New Roman" w:eastAsia="Times New Roman" w:hAnsi="Times New Roman"/>
          <w:sz w:val="24"/>
          <w:szCs w:val="24"/>
          <w:color w:val="222222"/>
        </w:rPr>
        <w:t>takipli olduğu görüldü. Malabsorbsiyon değerlendi</w:t>
      </w:r>
      <w:r>
        <w:rPr>
          <w:rFonts w:ascii="Times New Roman" w:cs="Times New Roman" w:eastAsia="Times New Roman" w:hAnsi="Times New Roman"/>
          <w:sz w:val="24"/>
          <w:szCs w:val="24"/>
          <w:color w:val="222222"/>
        </w:rPr>
        <w:t>rilebilen</w:t>
      </w:r>
      <w:r>
        <w:rPr>
          <w:rFonts w:ascii="Times New Roman" w:cs="Times New Roman" w:eastAsia="Times New Roman" w:hAnsi="Times New Roman"/>
          <w:sz w:val="24"/>
          <w:szCs w:val="24"/>
          <w:color w:val="222222"/>
        </w:rPr>
        <w:t xml:space="preserve"> hastaların hiçbirinde saptanmadı. Değerlendirilebilen hastalar arasından </w:t>
      </w:r>
      <w:r>
        <w:rPr>
          <w:rFonts w:ascii="Times New Roman" w:cs="Times New Roman" w:eastAsia="Times New Roman" w:hAnsi="Times New Roman"/>
          <w:sz w:val="24"/>
          <w:szCs w:val="24"/>
          <w:color w:val="222222"/>
        </w:rPr>
        <w:t>5(%26,3) tanesinde organ</w:t>
      </w:r>
      <w:r>
        <w:rPr>
          <w:rFonts w:ascii="Times New Roman" w:cs="Times New Roman" w:eastAsia="Times New Roman" w:hAnsi="Times New Roman"/>
          <w:sz w:val="24"/>
          <w:szCs w:val="24"/>
          <w:color w:val="222222"/>
        </w:rPr>
        <w:t xml:space="preserve"> disfonksiyonu olarak değerlendirilen kemik patolojisi olduğu görüldü. Bu hastaların </w:t>
      </w:r>
      <w:r>
        <w:rPr>
          <w:rFonts w:ascii="Times New Roman" w:cs="Times New Roman" w:eastAsia="Times New Roman" w:hAnsi="Times New Roman"/>
          <w:sz w:val="24"/>
          <w:szCs w:val="24"/>
          <w:color w:val="222222"/>
        </w:rPr>
        <w:t xml:space="preserve">4(%66,7) tanesi ASM ile takipliyken 1(%100) tanesinin SM-AHN(MM) ile takipli </w:t>
      </w:r>
      <w:r>
        <w:rPr>
          <w:rFonts w:ascii="Times New Roman" w:cs="Times New Roman" w:eastAsia="Times New Roman" w:hAnsi="Times New Roman"/>
          <w:sz w:val="24"/>
          <w:szCs w:val="24"/>
          <w:color w:val="222222"/>
        </w:rPr>
        <w:t>olduğu görüldü.</w:t>
      </w:r>
    </w:p>
    <w:p>
      <w:pPr>
        <w:spacing w:after="0" w:line="200" w:lineRule="exact"/>
        <w:rPr>
          <w:sz w:val="20"/>
          <w:szCs w:val="20"/>
          <w:color w:val="auto"/>
        </w:rPr>
      </w:pPr>
    </w:p>
    <w:p>
      <w:pPr>
        <w:spacing w:after="0" w:line="37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222222"/>
        </w:rPr>
        <w:t xml:space="preserve">Tablo 4.7. </w:t>
      </w:r>
      <w:r>
        <w:rPr>
          <w:rFonts w:ascii="Times New Roman" w:cs="Times New Roman" w:eastAsia="Times New Roman" w:hAnsi="Times New Roman"/>
          <w:sz w:val="24"/>
          <w:szCs w:val="24"/>
          <w:color w:val="222222"/>
        </w:rPr>
        <w:t>Laboratuvar</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sonuçları</w:t>
      </w:r>
    </w:p>
    <w:p>
      <w:pPr>
        <w:spacing w:after="0" w:line="280" w:lineRule="exact"/>
        <w:rPr>
          <w:sz w:val="20"/>
          <w:szCs w:val="20"/>
          <w:color w:val="auto"/>
        </w:rPr>
      </w:pPr>
    </w:p>
    <w:tbl>
      <w:tblPr>
        <w:tblLayout w:type="fixed"/>
        <w:tblInd w:w="730" w:type="dxa"/>
        <w:tblCellMar>
          <w:top w:w="0" w:type="dxa"/>
          <w:left w:w="0" w:type="dxa"/>
          <w:bottom w:w="0" w:type="dxa"/>
          <w:right w:w="0" w:type="dxa"/>
        </w:tblCellMar>
      </w:tblPr>
      <w:tr>
        <w:trPr>
          <w:trHeight w:val="285"/>
        </w:trPr>
        <w:tc>
          <w:tcPr>
            <w:tcW w:w="1200" w:type="dxa"/>
            <w:vAlign w:val="bottom"/>
            <w:tcBorders>
              <w:top w:val="single" w:sz="8" w:color="auto"/>
              <w:left w:val="single" w:sz="8" w:color="auto"/>
            </w:tcBorders>
          </w:tcPr>
          <w:p>
            <w:pPr>
              <w:spacing w:after="0"/>
              <w:rPr>
                <w:sz w:val="24"/>
                <w:szCs w:val="24"/>
                <w:color w:val="auto"/>
              </w:rPr>
            </w:pPr>
          </w:p>
        </w:tc>
        <w:tc>
          <w:tcPr>
            <w:tcW w:w="880" w:type="dxa"/>
            <w:vAlign w:val="bottom"/>
            <w:tcBorders>
              <w:top w:val="single" w:sz="8" w:color="auto"/>
              <w:right w:val="single" w:sz="8" w:color="auto"/>
            </w:tcBorders>
          </w:tcPr>
          <w:p>
            <w:pPr>
              <w:spacing w:after="0"/>
              <w:rPr>
                <w:sz w:val="24"/>
                <w:szCs w:val="24"/>
                <w:color w:val="auto"/>
              </w:rPr>
            </w:pPr>
          </w:p>
        </w:tc>
        <w:tc>
          <w:tcPr>
            <w:tcW w:w="14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Toplam</w:t>
            </w:r>
          </w:p>
        </w:tc>
        <w:tc>
          <w:tcPr>
            <w:tcW w:w="142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İSM</w:t>
            </w:r>
          </w:p>
        </w:tc>
        <w:tc>
          <w:tcPr>
            <w:tcW w:w="118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SSM</w:t>
            </w:r>
          </w:p>
        </w:tc>
        <w:tc>
          <w:tcPr>
            <w:tcW w:w="14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ASM</w:t>
            </w:r>
          </w:p>
        </w:tc>
        <w:tc>
          <w:tcPr>
            <w:tcW w:w="14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SM- AHN</w:t>
            </w:r>
          </w:p>
        </w:tc>
        <w:tc>
          <w:tcPr>
            <w:tcW w:w="0" w:type="dxa"/>
            <w:vAlign w:val="bottom"/>
          </w:tcPr>
          <w:p>
            <w:pPr>
              <w:spacing w:after="0"/>
              <w:rPr>
                <w:sz w:val="1"/>
                <w:szCs w:val="1"/>
                <w:color w:val="auto"/>
              </w:rPr>
            </w:pPr>
          </w:p>
        </w:tc>
      </w:tr>
      <w:tr>
        <w:trPr>
          <w:trHeight w:val="413"/>
        </w:trPr>
        <w:tc>
          <w:tcPr>
            <w:tcW w:w="1200" w:type="dxa"/>
            <w:vAlign w:val="bottom"/>
            <w:tcBorders>
              <w:left w:val="single" w:sz="8" w:color="auto"/>
            </w:tcBorders>
          </w:tcPr>
          <w:p>
            <w:pPr>
              <w:spacing w:after="0"/>
              <w:rPr>
                <w:sz w:val="24"/>
                <w:szCs w:val="24"/>
                <w:color w:val="auto"/>
              </w:rPr>
            </w:pPr>
          </w:p>
        </w:tc>
        <w:tc>
          <w:tcPr>
            <w:tcW w:w="8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n:30</w:t>
            </w:r>
          </w:p>
        </w:tc>
        <w:tc>
          <w:tcPr>
            <w:tcW w:w="14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n:15(%50)</w:t>
            </w:r>
          </w:p>
        </w:tc>
        <w:tc>
          <w:tcPr>
            <w:tcW w:w="11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n:1(%3,3)</w:t>
            </w:r>
          </w:p>
        </w:tc>
        <w:tc>
          <w:tcPr>
            <w:tcW w:w="14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n:10(%33,4)</w:t>
            </w:r>
          </w:p>
        </w:tc>
        <w:tc>
          <w:tcPr>
            <w:tcW w:w="14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n:4(13,3)</w:t>
            </w:r>
          </w:p>
        </w:tc>
        <w:tc>
          <w:tcPr>
            <w:tcW w:w="0" w:type="dxa"/>
            <w:vAlign w:val="bottom"/>
          </w:tcPr>
          <w:p>
            <w:pPr>
              <w:spacing w:after="0"/>
              <w:rPr>
                <w:sz w:val="1"/>
                <w:szCs w:val="1"/>
                <w:color w:val="auto"/>
              </w:rPr>
            </w:pPr>
          </w:p>
        </w:tc>
      </w:tr>
      <w:tr>
        <w:trPr>
          <w:trHeight w:val="142"/>
        </w:trPr>
        <w:tc>
          <w:tcPr>
            <w:tcW w:w="2080" w:type="dxa"/>
            <w:vAlign w:val="bottom"/>
            <w:tcBorders>
              <w:left w:val="single" w:sz="8" w:color="auto"/>
              <w:bottom w:val="single" w:sz="8" w:color="auto"/>
              <w:right w:val="single" w:sz="8" w:color="auto"/>
            </w:tcBorders>
            <w:gridSpan w:val="2"/>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2080" w:type="dxa"/>
            <w:vAlign w:val="bottom"/>
            <w:tcBorders>
              <w:left w:val="single" w:sz="8" w:color="auto"/>
              <w:right w:val="single" w:sz="8" w:color="auto"/>
            </w:tcBorders>
            <w:gridSpan w:val="2"/>
          </w:tcPr>
          <w:p>
            <w:pPr>
              <w:ind w:left="100"/>
              <w:spacing w:after="0" w:line="263" w:lineRule="exact"/>
              <w:rPr>
                <w:sz w:val="20"/>
                <w:szCs w:val="20"/>
                <w:color w:val="auto"/>
              </w:rPr>
            </w:pPr>
            <w:r>
              <w:rPr>
                <w:rFonts w:ascii="Times New Roman" w:cs="Times New Roman" w:eastAsia="Times New Roman" w:hAnsi="Times New Roman"/>
                <w:sz w:val="24"/>
                <w:szCs w:val="24"/>
                <w:color w:val="222222"/>
              </w:rPr>
              <w:t>Hemoglobin(gr/dl)</w:t>
            </w:r>
          </w:p>
        </w:tc>
        <w:tc>
          <w:tcPr>
            <w:tcW w:w="1420" w:type="dxa"/>
            <w:vAlign w:val="bottom"/>
            <w:tcBorders>
              <w:right w:val="single" w:sz="8" w:color="auto"/>
            </w:tcBorders>
          </w:tcPr>
          <w:p>
            <w:pPr>
              <w:ind w:left="100"/>
              <w:spacing w:after="0" w:line="219" w:lineRule="exact"/>
              <w:rPr>
                <w:sz w:val="20"/>
                <w:szCs w:val="20"/>
                <w:color w:val="auto"/>
              </w:rPr>
            </w:pPr>
            <w:r>
              <w:rPr>
                <w:rFonts w:ascii="Times New Roman" w:cs="Times New Roman" w:eastAsia="Times New Roman" w:hAnsi="Times New Roman"/>
                <w:sz w:val="20"/>
                <w:szCs w:val="20"/>
                <w:color w:val="222222"/>
              </w:rPr>
              <w:t>13,25(7,4-</w:t>
            </w:r>
          </w:p>
        </w:tc>
        <w:tc>
          <w:tcPr>
            <w:tcW w:w="142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14,4(8,8-16,7)</w:t>
            </w:r>
          </w:p>
        </w:tc>
        <w:tc>
          <w:tcPr>
            <w:tcW w:w="11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14,2</w:t>
            </w:r>
          </w:p>
        </w:tc>
        <w:tc>
          <w:tcPr>
            <w:tcW w:w="1420" w:type="dxa"/>
            <w:vAlign w:val="bottom"/>
            <w:tcBorders>
              <w:right w:val="single" w:sz="8" w:color="auto"/>
            </w:tcBorders>
          </w:tcPr>
          <w:p>
            <w:pPr>
              <w:ind w:left="100"/>
              <w:spacing w:after="0" w:line="219" w:lineRule="exact"/>
              <w:rPr>
                <w:sz w:val="20"/>
                <w:szCs w:val="20"/>
                <w:color w:val="auto"/>
              </w:rPr>
            </w:pPr>
            <w:r>
              <w:rPr>
                <w:rFonts w:ascii="Times New Roman" w:cs="Times New Roman" w:eastAsia="Times New Roman" w:hAnsi="Times New Roman"/>
                <w:sz w:val="20"/>
                <w:szCs w:val="20"/>
                <w:color w:val="222222"/>
              </w:rPr>
              <w:t>10,4(7,8-15)</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8,35(7,4-</w:t>
            </w:r>
          </w:p>
        </w:tc>
        <w:tc>
          <w:tcPr>
            <w:tcW w:w="0" w:type="dxa"/>
            <w:vAlign w:val="bottom"/>
          </w:tcPr>
          <w:p>
            <w:pPr>
              <w:spacing w:after="0"/>
              <w:rPr>
                <w:sz w:val="1"/>
                <w:szCs w:val="1"/>
                <w:color w:val="auto"/>
              </w:rPr>
            </w:pPr>
          </w:p>
        </w:tc>
      </w:tr>
      <w:tr>
        <w:trPr>
          <w:trHeight w:val="302"/>
        </w:trPr>
        <w:tc>
          <w:tcPr>
            <w:tcW w:w="1200" w:type="dxa"/>
            <w:vAlign w:val="bottom"/>
            <w:tcBorders>
              <w:left w:val="single" w:sz="8" w:color="auto"/>
            </w:tcBorders>
          </w:tcPr>
          <w:p>
            <w:pPr>
              <w:spacing w:after="0"/>
              <w:rPr>
                <w:sz w:val="24"/>
                <w:szCs w:val="24"/>
                <w:color w:val="auto"/>
              </w:rPr>
            </w:pPr>
          </w:p>
        </w:tc>
        <w:tc>
          <w:tcPr>
            <w:tcW w:w="8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222222"/>
              </w:rPr>
              <w:t>16,7)</w:t>
            </w:r>
          </w:p>
        </w:tc>
        <w:tc>
          <w:tcPr>
            <w:tcW w:w="142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222222"/>
              </w:rPr>
              <w:t>14,0)</w:t>
            </w:r>
          </w:p>
        </w:tc>
        <w:tc>
          <w:tcPr>
            <w:tcW w:w="0" w:type="dxa"/>
            <w:vAlign w:val="bottom"/>
          </w:tcPr>
          <w:p>
            <w:pPr>
              <w:spacing w:after="0"/>
              <w:rPr>
                <w:sz w:val="1"/>
                <w:szCs w:val="1"/>
                <w:color w:val="auto"/>
              </w:rPr>
            </w:pPr>
          </w:p>
        </w:tc>
      </w:tr>
      <w:tr>
        <w:trPr>
          <w:trHeight w:val="111"/>
        </w:trPr>
        <w:tc>
          <w:tcPr>
            <w:tcW w:w="1200" w:type="dxa"/>
            <w:vAlign w:val="bottom"/>
            <w:tcBorders>
              <w:left w:val="single" w:sz="8" w:color="auto"/>
            </w:tcBorders>
          </w:tcPr>
          <w:p>
            <w:pPr>
              <w:spacing w:after="0"/>
              <w:rPr>
                <w:sz w:val="9"/>
                <w:szCs w:val="9"/>
                <w:color w:val="auto"/>
              </w:rPr>
            </w:pPr>
          </w:p>
        </w:tc>
        <w:tc>
          <w:tcPr>
            <w:tcW w:w="880" w:type="dxa"/>
            <w:vAlign w:val="bottom"/>
            <w:tcBorders>
              <w:right w:val="single" w:sz="8" w:color="auto"/>
            </w:tcBorders>
          </w:tcPr>
          <w:p>
            <w:pPr>
              <w:spacing w:after="0"/>
              <w:rPr>
                <w:sz w:val="9"/>
                <w:szCs w:val="9"/>
                <w:color w:val="auto"/>
              </w:rPr>
            </w:pPr>
          </w:p>
        </w:tc>
        <w:tc>
          <w:tcPr>
            <w:tcW w:w="1420" w:type="dxa"/>
            <w:vAlign w:val="bottom"/>
            <w:tcBorders>
              <w:right w:val="single" w:sz="8" w:color="auto"/>
            </w:tcBorders>
          </w:tcPr>
          <w:p>
            <w:pPr>
              <w:spacing w:after="0"/>
              <w:rPr>
                <w:sz w:val="9"/>
                <w:szCs w:val="9"/>
                <w:color w:val="auto"/>
              </w:rPr>
            </w:pPr>
          </w:p>
        </w:tc>
        <w:tc>
          <w:tcPr>
            <w:tcW w:w="1420" w:type="dxa"/>
            <w:vAlign w:val="bottom"/>
            <w:tcBorders>
              <w:right w:val="single" w:sz="8" w:color="auto"/>
            </w:tcBorders>
          </w:tcPr>
          <w:p>
            <w:pPr>
              <w:spacing w:after="0"/>
              <w:rPr>
                <w:sz w:val="9"/>
                <w:szCs w:val="9"/>
                <w:color w:val="auto"/>
              </w:rPr>
            </w:pPr>
          </w:p>
        </w:tc>
        <w:tc>
          <w:tcPr>
            <w:tcW w:w="1180" w:type="dxa"/>
            <w:vAlign w:val="bottom"/>
            <w:tcBorders>
              <w:right w:val="single" w:sz="8" w:color="auto"/>
            </w:tcBorders>
          </w:tcPr>
          <w:p>
            <w:pPr>
              <w:spacing w:after="0"/>
              <w:rPr>
                <w:sz w:val="9"/>
                <w:szCs w:val="9"/>
                <w:color w:val="auto"/>
              </w:rPr>
            </w:pPr>
          </w:p>
        </w:tc>
        <w:tc>
          <w:tcPr>
            <w:tcW w:w="1420" w:type="dxa"/>
            <w:vAlign w:val="bottom"/>
            <w:tcBorders>
              <w:right w:val="single" w:sz="8" w:color="auto"/>
            </w:tcBorders>
          </w:tcPr>
          <w:p>
            <w:pPr>
              <w:spacing w:after="0"/>
              <w:rPr>
                <w:sz w:val="9"/>
                <w:szCs w:val="9"/>
                <w:color w:val="auto"/>
              </w:rPr>
            </w:pPr>
          </w:p>
        </w:tc>
        <w:tc>
          <w:tcPr>
            <w:tcW w:w="142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42"/>
        </w:trPr>
        <w:tc>
          <w:tcPr>
            <w:tcW w:w="1200" w:type="dxa"/>
            <w:vAlign w:val="bottom"/>
            <w:tcBorders>
              <w:left w:val="single" w:sz="8" w:color="auto"/>
              <w:bottom w:val="single" w:sz="8" w:color="auto"/>
            </w:tcBorders>
          </w:tcPr>
          <w:p>
            <w:pPr>
              <w:spacing w:after="0"/>
              <w:rPr>
                <w:sz w:val="12"/>
                <w:szCs w:val="12"/>
                <w:color w:val="auto"/>
              </w:rPr>
            </w:pPr>
          </w:p>
        </w:tc>
        <w:tc>
          <w:tcPr>
            <w:tcW w:w="8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1200" w:type="dxa"/>
            <w:vAlign w:val="bottom"/>
            <w:tcBorders>
              <w:lef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Trombosit</w:t>
            </w:r>
          </w:p>
        </w:tc>
        <w:tc>
          <w:tcPr>
            <w:tcW w:w="880" w:type="dxa"/>
            <w:vAlign w:val="bottom"/>
            <w:tcBorders>
              <w:right w:val="single" w:sz="8" w:color="auto"/>
            </w:tcBorders>
          </w:tcPr>
          <w:p>
            <w:pPr>
              <w:spacing w:after="0"/>
              <w:rPr>
                <w:sz w:val="22"/>
                <w:szCs w:val="22"/>
                <w:color w:val="auto"/>
              </w:rPr>
            </w:pP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245(13-</w:t>
            </w:r>
          </w:p>
        </w:tc>
        <w:tc>
          <w:tcPr>
            <w:tcW w:w="142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270(204-516)</w:t>
            </w:r>
          </w:p>
        </w:tc>
        <w:tc>
          <w:tcPr>
            <w:tcW w:w="11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217</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224(43-286)</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39(13-200)</w:t>
            </w:r>
          </w:p>
        </w:tc>
        <w:tc>
          <w:tcPr>
            <w:tcW w:w="0" w:type="dxa"/>
            <w:vAlign w:val="bottom"/>
          </w:tcPr>
          <w:p>
            <w:pPr>
              <w:spacing w:after="0"/>
              <w:rPr>
                <w:sz w:val="1"/>
                <w:szCs w:val="1"/>
                <w:color w:val="auto"/>
              </w:rPr>
            </w:pPr>
          </w:p>
        </w:tc>
      </w:tr>
      <w:tr>
        <w:trPr>
          <w:trHeight w:val="510"/>
        </w:trPr>
        <w:tc>
          <w:tcPr>
            <w:tcW w:w="120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2"/>
                <w:szCs w:val="22"/>
                <w:color w:val="222222"/>
              </w:rPr>
              <w:t>(</w:t>
            </w:r>
            <w:r>
              <w:rPr>
                <w:rFonts w:ascii="Times New Roman" w:cs="Times New Roman" w:eastAsia="Times New Roman" w:hAnsi="Times New Roman"/>
                <w:sz w:val="24"/>
                <w:szCs w:val="24"/>
                <w:color w:val="000000"/>
              </w:rPr>
              <w:t>10³/mm</w:t>
            </w:r>
            <w:r>
              <w:rPr>
                <w:rFonts w:ascii="Times New Roman" w:cs="Times New Roman" w:eastAsia="Times New Roman" w:hAnsi="Times New Roman"/>
                <w:sz w:val="32"/>
                <w:szCs w:val="32"/>
                <w:color w:val="000000"/>
                <w:vertAlign w:val="superscript"/>
              </w:rPr>
              <w:t>3</w:t>
            </w:r>
            <w:r>
              <w:rPr>
                <w:rFonts w:ascii="Times New Roman" w:cs="Times New Roman" w:eastAsia="Times New Roman" w:hAnsi="Times New Roman"/>
                <w:sz w:val="24"/>
                <w:szCs w:val="24"/>
                <w:color w:val="000000"/>
              </w:rPr>
              <w:t>)</w:t>
            </w:r>
          </w:p>
        </w:tc>
        <w:tc>
          <w:tcPr>
            <w:tcW w:w="8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516)</w:t>
            </w:r>
          </w:p>
        </w:tc>
        <w:tc>
          <w:tcPr>
            <w:tcW w:w="142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4"/>
        </w:trPr>
        <w:tc>
          <w:tcPr>
            <w:tcW w:w="2080" w:type="dxa"/>
            <w:vAlign w:val="bottom"/>
            <w:tcBorders>
              <w:left w:val="single" w:sz="8" w:color="auto"/>
              <w:bottom w:val="single" w:sz="8" w:color="auto"/>
              <w:right w:val="single" w:sz="8" w:color="auto"/>
            </w:tcBorders>
            <w:gridSpan w:val="2"/>
          </w:tcPr>
          <w:p>
            <w:pPr>
              <w:spacing w:after="0"/>
              <w:rPr>
                <w:sz w:val="3"/>
                <w:szCs w:val="3"/>
                <w:color w:val="auto"/>
              </w:rPr>
            </w:pPr>
          </w:p>
        </w:tc>
        <w:tc>
          <w:tcPr>
            <w:tcW w:w="1420" w:type="dxa"/>
            <w:vAlign w:val="bottom"/>
            <w:tcBorders>
              <w:bottom w:val="single" w:sz="8" w:color="auto"/>
              <w:right w:val="single" w:sz="8" w:color="auto"/>
            </w:tcBorders>
          </w:tcPr>
          <w:p>
            <w:pPr>
              <w:spacing w:after="0"/>
              <w:rPr>
                <w:sz w:val="3"/>
                <w:szCs w:val="3"/>
                <w:color w:val="auto"/>
              </w:rPr>
            </w:pPr>
          </w:p>
        </w:tc>
        <w:tc>
          <w:tcPr>
            <w:tcW w:w="1420" w:type="dxa"/>
            <w:vAlign w:val="bottom"/>
            <w:tcBorders>
              <w:bottom w:val="single" w:sz="8" w:color="auto"/>
              <w:right w:val="single" w:sz="8" w:color="auto"/>
            </w:tcBorders>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1420" w:type="dxa"/>
            <w:vAlign w:val="bottom"/>
            <w:tcBorders>
              <w:bottom w:val="single" w:sz="8" w:color="auto"/>
              <w:right w:val="single" w:sz="8" w:color="auto"/>
            </w:tcBorders>
          </w:tcPr>
          <w:p>
            <w:pPr>
              <w:spacing w:after="0"/>
              <w:rPr>
                <w:sz w:val="3"/>
                <w:szCs w:val="3"/>
                <w:color w:val="auto"/>
              </w:rPr>
            </w:pPr>
          </w:p>
        </w:tc>
        <w:tc>
          <w:tcPr>
            <w:tcW w:w="142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364"/>
        </w:trPr>
        <w:tc>
          <w:tcPr>
            <w:tcW w:w="2080" w:type="dxa"/>
            <w:vAlign w:val="bottom"/>
            <w:tcBorders>
              <w:left w:val="single" w:sz="8" w:color="auto"/>
              <w:right w:val="single" w:sz="8" w:color="auto"/>
            </w:tcBorders>
            <w:gridSpan w:val="2"/>
          </w:tcPr>
          <w:p>
            <w:pPr>
              <w:ind w:left="100"/>
              <w:spacing w:after="0" w:line="364" w:lineRule="exact"/>
              <w:rPr>
                <w:sz w:val="20"/>
                <w:szCs w:val="20"/>
                <w:color w:val="auto"/>
              </w:rPr>
            </w:pPr>
            <w:r>
              <w:rPr>
                <w:rFonts w:ascii="Times New Roman" w:cs="Times New Roman" w:eastAsia="Times New Roman" w:hAnsi="Times New Roman"/>
                <w:sz w:val="24"/>
                <w:szCs w:val="24"/>
                <w:color w:val="222222"/>
              </w:rPr>
              <w:t xml:space="preserve">Lökosit </w:t>
            </w:r>
            <w:r>
              <w:rPr>
                <w:rFonts w:ascii="Times New Roman" w:cs="Times New Roman" w:eastAsia="Times New Roman" w:hAnsi="Times New Roman"/>
                <w:sz w:val="22"/>
                <w:szCs w:val="22"/>
                <w:color w:val="000000"/>
              </w:rPr>
              <w:t>(/</w:t>
            </w:r>
            <w:r>
              <w:rPr>
                <w:rFonts w:ascii="Times New Roman" w:cs="Times New Roman" w:eastAsia="Times New Roman" w:hAnsi="Times New Roman"/>
                <w:sz w:val="24"/>
                <w:szCs w:val="24"/>
                <w:color w:val="000000"/>
              </w:rPr>
              <w:t>mm</w:t>
            </w:r>
            <w:r>
              <w:rPr>
                <w:rFonts w:ascii="Times New Roman" w:cs="Times New Roman" w:eastAsia="Times New Roman" w:hAnsi="Times New Roman"/>
                <w:sz w:val="32"/>
                <w:szCs w:val="32"/>
                <w:color w:val="000000"/>
                <w:vertAlign w:val="superscript"/>
              </w:rPr>
              <w:t>3</w:t>
            </w:r>
            <w:r>
              <w:rPr>
                <w:rFonts w:ascii="Times New Roman" w:cs="Times New Roman" w:eastAsia="Times New Roman" w:hAnsi="Times New Roman"/>
                <w:sz w:val="22"/>
                <w:szCs w:val="22"/>
                <w:color w:val="000000"/>
              </w:rPr>
              <w:t>)</w:t>
            </w:r>
          </w:p>
        </w:tc>
        <w:tc>
          <w:tcPr>
            <w:tcW w:w="142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7826</w:t>
            </w:r>
            <w:r>
              <w:rPr>
                <w:rFonts w:ascii="Times New Roman" w:cs="Times New Roman" w:eastAsia="Times New Roman" w:hAnsi="Times New Roman"/>
                <w:sz w:val="24"/>
                <w:szCs w:val="24"/>
                <w:color w:val="000000"/>
              </w:rPr>
              <w:t>±3507</w:t>
            </w:r>
          </w:p>
        </w:tc>
        <w:tc>
          <w:tcPr>
            <w:tcW w:w="1420" w:type="dxa"/>
            <w:vAlign w:val="bottom"/>
            <w:tcBorders>
              <w:right w:val="single" w:sz="8" w:color="auto"/>
            </w:tcBorders>
          </w:tcPr>
          <w:p>
            <w:pPr>
              <w:ind w:left="80"/>
              <w:spacing w:after="0" w:line="242" w:lineRule="exact"/>
              <w:rPr>
                <w:sz w:val="20"/>
                <w:szCs w:val="20"/>
                <w:color w:val="auto"/>
              </w:rPr>
            </w:pPr>
            <w:r>
              <w:rPr>
                <w:rFonts w:ascii="Times New Roman" w:cs="Times New Roman" w:eastAsia="Times New Roman" w:hAnsi="Times New Roman"/>
                <w:sz w:val="22"/>
                <w:szCs w:val="22"/>
                <w:color w:val="auto"/>
              </w:rPr>
              <w:t>8253±3060</w:t>
            </w:r>
          </w:p>
        </w:tc>
        <w:tc>
          <w:tcPr>
            <w:tcW w:w="118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6200</w:t>
            </w:r>
          </w:p>
        </w:tc>
        <w:tc>
          <w:tcPr>
            <w:tcW w:w="1420" w:type="dxa"/>
            <w:vAlign w:val="bottom"/>
            <w:tcBorders>
              <w:right w:val="single" w:sz="8" w:color="auto"/>
            </w:tcBorders>
          </w:tcPr>
          <w:p>
            <w:pPr>
              <w:ind w:left="100"/>
              <w:spacing w:after="0" w:line="242" w:lineRule="exact"/>
              <w:rPr>
                <w:sz w:val="20"/>
                <w:szCs w:val="20"/>
                <w:color w:val="auto"/>
              </w:rPr>
            </w:pPr>
            <w:r>
              <w:rPr>
                <w:rFonts w:ascii="Times New Roman" w:cs="Times New Roman" w:eastAsia="Times New Roman" w:hAnsi="Times New Roman"/>
                <w:sz w:val="22"/>
                <w:szCs w:val="22"/>
                <w:color w:val="222222"/>
              </w:rPr>
              <w:t>6800</w:t>
            </w:r>
            <w:r>
              <w:rPr>
                <w:rFonts w:ascii="Times New Roman" w:cs="Times New Roman" w:eastAsia="Times New Roman" w:hAnsi="Times New Roman"/>
                <w:sz w:val="22"/>
                <w:szCs w:val="22"/>
                <w:color w:val="000000"/>
              </w:rPr>
              <w:t>±2943</w:t>
            </w:r>
          </w:p>
        </w:tc>
        <w:tc>
          <w:tcPr>
            <w:tcW w:w="142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9200</w:t>
            </w:r>
            <w:r>
              <w:rPr>
                <w:rFonts w:ascii="Times New Roman" w:cs="Times New Roman" w:eastAsia="Times New Roman" w:hAnsi="Times New Roman"/>
                <w:sz w:val="24"/>
                <w:szCs w:val="24"/>
                <w:color w:val="000000"/>
              </w:rPr>
              <w:t>±6431</w:t>
            </w:r>
          </w:p>
        </w:tc>
        <w:tc>
          <w:tcPr>
            <w:tcW w:w="0" w:type="dxa"/>
            <w:vAlign w:val="bottom"/>
          </w:tcPr>
          <w:p>
            <w:pPr>
              <w:spacing w:after="0"/>
              <w:rPr>
                <w:sz w:val="1"/>
                <w:szCs w:val="1"/>
                <w:color w:val="auto"/>
              </w:rPr>
            </w:pPr>
          </w:p>
        </w:tc>
      </w:tr>
      <w:tr>
        <w:trPr>
          <w:trHeight w:val="454"/>
        </w:trPr>
        <w:tc>
          <w:tcPr>
            <w:tcW w:w="1200" w:type="dxa"/>
            <w:vAlign w:val="bottom"/>
            <w:tcBorders>
              <w:left w:val="single" w:sz="8" w:color="auto"/>
              <w:bottom w:val="single" w:sz="8" w:color="auto"/>
            </w:tcBorders>
          </w:tcPr>
          <w:p>
            <w:pPr>
              <w:spacing w:after="0"/>
              <w:rPr>
                <w:sz w:val="24"/>
                <w:szCs w:val="24"/>
                <w:color w:val="auto"/>
              </w:rPr>
            </w:pPr>
          </w:p>
        </w:tc>
        <w:tc>
          <w:tcPr>
            <w:tcW w:w="880" w:type="dxa"/>
            <w:vAlign w:val="bottom"/>
            <w:tcBorders>
              <w:bottom w:val="single" w:sz="8" w:color="auto"/>
              <w:right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65"/>
        </w:trPr>
        <w:tc>
          <w:tcPr>
            <w:tcW w:w="1200" w:type="dxa"/>
            <w:vAlign w:val="bottom"/>
            <w:tcBorders>
              <w:lef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ALT</w:t>
            </w:r>
            <w:r>
              <w:rPr>
                <w:rFonts w:ascii="Courier New" w:cs="Courier New" w:eastAsia="Courier New" w:hAnsi="Courier New"/>
                <w:sz w:val="19"/>
                <w:szCs w:val="19"/>
                <w:color w:val="000000"/>
              </w:rPr>
              <w:t>(U/L)</w:t>
            </w:r>
          </w:p>
        </w:tc>
        <w:tc>
          <w:tcPr>
            <w:tcW w:w="880" w:type="dxa"/>
            <w:vAlign w:val="bottom"/>
            <w:tcBorders>
              <w:right w:val="single" w:sz="8" w:color="auto"/>
            </w:tcBorders>
          </w:tcPr>
          <w:p>
            <w:pPr>
              <w:spacing w:after="0"/>
              <w:rPr>
                <w:sz w:val="23"/>
                <w:szCs w:val="23"/>
                <w:color w:val="auto"/>
              </w:rPr>
            </w:pPr>
          </w:p>
        </w:tc>
        <w:tc>
          <w:tcPr>
            <w:tcW w:w="142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19(5,6-147)</w:t>
            </w:r>
          </w:p>
        </w:tc>
        <w:tc>
          <w:tcPr>
            <w:tcW w:w="1420" w:type="dxa"/>
            <w:vAlign w:val="bottom"/>
            <w:tcBorders>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222222"/>
              </w:rPr>
              <w:t>20(10-32)</w:t>
            </w:r>
          </w:p>
        </w:tc>
        <w:tc>
          <w:tcPr>
            <w:tcW w:w="118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18</w:t>
            </w:r>
          </w:p>
        </w:tc>
        <w:tc>
          <w:tcPr>
            <w:tcW w:w="1420" w:type="dxa"/>
            <w:vAlign w:val="bottom"/>
            <w:tcBorders>
              <w:right w:val="single" w:sz="8" w:color="auto"/>
            </w:tcBorders>
          </w:tcPr>
          <w:p>
            <w:pPr>
              <w:ind w:left="100"/>
              <w:spacing w:after="0" w:line="219" w:lineRule="exact"/>
              <w:rPr>
                <w:sz w:val="20"/>
                <w:szCs w:val="20"/>
                <w:color w:val="auto"/>
              </w:rPr>
            </w:pPr>
            <w:r>
              <w:rPr>
                <w:rFonts w:ascii="Times New Roman" w:cs="Times New Roman" w:eastAsia="Times New Roman" w:hAnsi="Times New Roman"/>
                <w:sz w:val="20"/>
                <w:szCs w:val="20"/>
                <w:color w:val="222222"/>
              </w:rPr>
              <w:t>16(5,6-147)</w:t>
            </w:r>
          </w:p>
        </w:tc>
        <w:tc>
          <w:tcPr>
            <w:tcW w:w="142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34,5(9-38)</w:t>
            </w:r>
          </w:p>
        </w:tc>
        <w:tc>
          <w:tcPr>
            <w:tcW w:w="0" w:type="dxa"/>
            <w:vAlign w:val="bottom"/>
          </w:tcPr>
          <w:p>
            <w:pPr>
              <w:spacing w:after="0"/>
              <w:rPr>
                <w:sz w:val="1"/>
                <w:szCs w:val="1"/>
                <w:color w:val="auto"/>
              </w:rPr>
            </w:pPr>
          </w:p>
        </w:tc>
      </w:tr>
      <w:tr>
        <w:trPr>
          <w:trHeight w:val="147"/>
        </w:trPr>
        <w:tc>
          <w:tcPr>
            <w:tcW w:w="1200" w:type="dxa"/>
            <w:vAlign w:val="bottom"/>
            <w:tcBorders>
              <w:left w:val="single" w:sz="8" w:color="auto"/>
              <w:bottom w:val="single" w:sz="8" w:color="auto"/>
            </w:tcBorders>
          </w:tcPr>
          <w:p>
            <w:pPr>
              <w:spacing w:after="0"/>
              <w:rPr>
                <w:sz w:val="12"/>
                <w:szCs w:val="12"/>
                <w:color w:val="auto"/>
              </w:rPr>
            </w:pPr>
          </w:p>
        </w:tc>
        <w:tc>
          <w:tcPr>
            <w:tcW w:w="8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1200" w:type="dxa"/>
            <w:vAlign w:val="bottom"/>
            <w:tcBorders>
              <w:left w:val="single" w:sz="8" w:color="auto"/>
            </w:tcBorders>
          </w:tcPr>
          <w:p>
            <w:pPr>
              <w:ind w:left="100"/>
              <w:spacing w:after="0" w:line="242" w:lineRule="exact"/>
              <w:rPr>
                <w:sz w:val="20"/>
                <w:szCs w:val="20"/>
                <w:color w:val="auto"/>
              </w:rPr>
            </w:pPr>
            <w:r>
              <w:rPr>
                <w:rFonts w:ascii="Times New Roman" w:cs="Times New Roman" w:eastAsia="Times New Roman" w:hAnsi="Times New Roman"/>
                <w:sz w:val="22"/>
                <w:szCs w:val="22"/>
                <w:color w:val="222222"/>
              </w:rPr>
              <w:t>AST</w:t>
            </w:r>
            <w:r>
              <w:rPr>
                <w:rFonts w:ascii="Courier New" w:cs="Courier New" w:eastAsia="Courier New" w:hAnsi="Courier New"/>
                <w:sz w:val="19"/>
                <w:szCs w:val="19"/>
                <w:color w:val="000000"/>
              </w:rPr>
              <w:t>(U/L)</w:t>
            </w:r>
          </w:p>
        </w:tc>
        <w:tc>
          <w:tcPr>
            <w:tcW w:w="880" w:type="dxa"/>
            <w:vAlign w:val="bottom"/>
            <w:tcBorders>
              <w:right w:val="single" w:sz="8" w:color="auto"/>
            </w:tcBorders>
          </w:tcPr>
          <w:p>
            <w:pPr>
              <w:spacing w:after="0"/>
              <w:rPr>
                <w:sz w:val="22"/>
                <w:szCs w:val="22"/>
                <w:color w:val="auto"/>
              </w:rPr>
            </w:pP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17(5,2-69)</w:t>
            </w:r>
          </w:p>
        </w:tc>
        <w:tc>
          <w:tcPr>
            <w:tcW w:w="14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18(11-22)</w:t>
            </w:r>
          </w:p>
        </w:tc>
        <w:tc>
          <w:tcPr>
            <w:tcW w:w="11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14</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14(5,2-69)</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20(10-48)</w:t>
            </w:r>
          </w:p>
        </w:tc>
        <w:tc>
          <w:tcPr>
            <w:tcW w:w="0" w:type="dxa"/>
            <w:vAlign w:val="bottom"/>
          </w:tcPr>
          <w:p>
            <w:pPr>
              <w:spacing w:after="0"/>
              <w:rPr>
                <w:sz w:val="1"/>
                <w:szCs w:val="1"/>
                <w:color w:val="auto"/>
              </w:rPr>
            </w:pPr>
          </w:p>
        </w:tc>
      </w:tr>
      <w:tr>
        <w:trPr>
          <w:trHeight w:val="142"/>
        </w:trPr>
        <w:tc>
          <w:tcPr>
            <w:tcW w:w="1200" w:type="dxa"/>
            <w:vAlign w:val="bottom"/>
            <w:tcBorders>
              <w:left w:val="single" w:sz="8" w:color="auto"/>
              <w:bottom w:val="single" w:sz="8" w:color="auto"/>
            </w:tcBorders>
          </w:tcPr>
          <w:p>
            <w:pPr>
              <w:spacing w:after="0"/>
              <w:rPr>
                <w:sz w:val="12"/>
                <w:szCs w:val="12"/>
                <w:color w:val="auto"/>
              </w:rPr>
            </w:pPr>
          </w:p>
        </w:tc>
        <w:tc>
          <w:tcPr>
            <w:tcW w:w="8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1200" w:type="dxa"/>
            <w:vAlign w:val="bottom"/>
            <w:tcBorders>
              <w:left w:val="single" w:sz="8" w:color="auto"/>
            </w:tcBorders>
          </w:tcPr>
          <w:p>
            <w:pPr>
              <w:ind w:left="100"/>
              <w:spacing w:after="0" w:line="242" w:lineRule="exact"/>
              <w:rPr>
                <w:sz w:val="20"/>
                <w:szCs w:val="20"/>
                <w:color w:val="auto"/>
              </w:rPr>
            </w:pPr>
            <w:r>
              <w:rPr>
                <w:rFonts w:ascii="Times New Roman" w:cs="Times New Roman" w:eastAsia="Times New Roman" w:hAnsi="Times New Roman"/>
                <w:sz w:val="22"/>
                <w:szCs w:val="22"/>
                <w:color w:val="222222"/>
              </w:rPr>
              <w:t>ALP</w:t>
            </w:r>
            <w:r>
              <w:rPr>
                <w:rFonts w:ascii="Courier New" w:cs="Courier New" w:eastAsia="Courier New" w:hAnsi="Courier New"/>
                <w:sz w:val="19"/>
                <w:szCs w:val="19"/>
                <w:color w:val="000000"/>
              </w:rPr>
              <w:t>(U/L)</w:t>
            </w:r>
          </w:p>
        </w:tc>
        <w:tc>
          <w:tcPr>
            <w:tcW w:w="880" w:type="dxa"/>
            <w:vAlign w:val="bottom"/>
            <w:tcBorders>
              <w:right w:val="single" w:sz="8" w:color="auto"/>
            </w:tcBorders>
          </w:tcPr>
          <w:p>
            <w:pPr>
              <w:spacing w:after="0"/>
              <w:rPr>
                <w:sz w:val="22"/>
                <w:szCs w:val="22"/>
                <w:color w:val="auto"/>
              </w:rPr>
            </w:pP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90(45-776)</w:t>
            </w:r>
          </w:p>
        </w:tc>
        <w:tc>
          <w:tcPr>
            <w:tcW w:w="1420" w:type="dxa"/>
            <w:vAlign w:val="bottom"/>
            <w:tcBorders>
              <w:right w:val="single" w:sz="8" w:color="auto"/>
            </w:tcBorders>
          </w:tcPr>
          <w:p>
            <w:pPr>
              <w:ind w:left="80"/>
              <w:spacing w:after="0" w:line="242" w:lineRule="exact"/>
              <w:rPr>
                <w:sz w:val="20"/>
                <w:szCs w:val="20"/>
                <w:color w:val="auto"/>
              </w:rPr>
            </w:pPr>
            <w:r>
              <w:rPr>
                <w:rFonts w:ascii="Times New Roman" w:cs="Times New Roman" w:eastAsia="Times New Roman" w:hAnsi="Times New Roman"/>
                <w:sz w:val="22"/>
                <w:szCs w:val="22"/>
                <w:color w:val="222222"/>
              </w:rPr>
              <w:t>68(45-371)</w:t>
            </w:r>
          </w:p>
        </w:tc>
        <w:tc>
          <w:tcPr>
            <w:tcW w:w="11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237</w:t>
            </w:r>
          </w:p>
        </w:tc>
        <w:tc>
          <w:tcPr>
            <w:tcW w:w="1420" w:type="dxa"/>
            <w:vAlign w:val="bottom"/>
            <w:tcBorders>
              <w:right w:val="single" w:sz="8" w:color="auto"/>
            </w:tcBorders>
          </w:tcPr>
          <w:p>
            <w:pPr>
              <w:ind w:left="100"/>
              <w:spacing w:after="0" w:line="242" w:lineRule="exact"/>
              <w:rPr>
                <w:sz w:val="20"/>
                <w:szCs w:val="20"/>
                <w:color w:val="auto"/>
              </w:rPr>
            </w:pPr>
            <w:r>
              <w:rPr>
                <w:rFonts w:ascii="Times New Roman" w:cs="Times New Roman" w:eastAsia="Times New Roman" w:hAnsi="Times New Roman"/>
                <w:sz w:val="22"/>
                <w:szCs w:val="22"/>
                <w:color w:val="222222"/>
              </w:rPr>
              <w:t>99(59-776)</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110(90-219)</w:t>
            </w:r>
          </w:p>
        </w:tc>
        <w:tc>
          <w:tcPr>
            <w:tcW w:w="0" w:type="dxa"/>
            <w:vAlign w:val="bottom"/>
          </w:tcPr>
          <w:p>
            <w:pPr>
              <w:spacing w:after="0"/>
              <w:rPr>
                <w:sz w:val="1"/>
                <w:szCs w:val="1"/>
                <w:color w:val="auto"/>
              </w:rPr>
            </w:pPr>
          </w:p>
        </w:tc>
      </w:tr>
      <w:tr>
        <w:trPr>
          <w:trHeight w:val="140"/>
        </w:trPr>
        <w:tc>
          <w:tcPr>
            <w:tcW w:w="1200" w:type="dxa"/>
            <w:vAlign w:val="bottom"/>
            <w:tcBorders>
              <w:left w:val="single" w:sz="8" w:color="auto"/>
              <w:bottom w:val="single" w:sz="8" w:color="auto"/>
            </w:tcBorders>
          </w:tcPr>
          <w:p>
            <w:pPr>
              <w:spacing w:after="0"/>
              <w:rPr>
                <w:sz w:val="12"/>
                <w:szCs w:val="12"/>
                <w:color w:val="auto"/>
              </w:rPr>
            </w:pPr>
          </w:p>
        </w:tc>
        <w:tc>
          <w:tcPr>
            <w:tcW w:w="8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5"/>
        </w:trPr>
        <w:tc>
          <w:tcPr>
            <w:tcW w:w="1200" w:type="dxa"/>
            <w:vAlign w:val="bottom"/>
            <w:tcBorders>
              <w:left w:val="single" w:sz="8" w:color="auto"/>
            </w:tcBorders>
          </w:tcPr>
          <w:p>
            <w:pPr>
              <w:ind w:left="100"/>
              <w:spacing w:after="0" w:line="244" w:lineRule="exact"/>
              <w:rPr>
                <w:sz w:val="20"/>
                <w:szCs w:val="20"/>
                <w:color w:val="auto"/>
              </w:rPr>
            </w:pPr>
            <w:r>
              <w:rPr>
                <w:rFonts w:ascii="Times New Roman" w:cs="Times New Roman" w:eastAsia="Times New Roman" w:hAnsi="Times New Roman"/>
                <w:sz w:val="22"/>
                <w:szCs w:val="22"/>
                <w:color w:val="222222"/>
              </w:rPr>
              <w:t>GGT</w:t>
            </w:r>
            <w:r>
              <w:rPr>
                <w:rFonts w:ascii="Courier New" w:cs="Courier New" w:eastAsia="Courier New" w:hAnsi="Courier New"/>
                <w:sz w:val="19"/>
                <w:szCs w:val="19"/>
                <w:color w:val="000000"/>
              </w:rPr>
              <w:t>(U/L)</w:t>
            </w:r>
          </w:p>
        </w:tc>
        <w:tc>
          <w:tcPr>
            <w:tcW w:w="880" w:type="dxa"/>
            <w:vAlign w:val="bottom"/>
            <w:tcBorders>
              <w:right w:val="single" w:sz="8" w:color="auto"/>
            </w:tcBorders>
          </w:tcPr>
          <w:p>
            <w:pPr>
              <w:spacing w:after="0"/>
              <w:rPr>
                <w:sz w:val="23"/>
                <w:szCs w:val="23"/>
                <w:color w:val="auto"/>
              </w:rPr>
            </w:pPr>
          </w:p>
        </w:tc>
        <w:tc>
          <w:tcPr>
            <w:tcW w:w="142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35(9-248)</w:t>
            </w:r>
          </w:p>
        </w:tc>
        <w:tc>
          <w:tcPr>
            <w:tcW w:w="1420" w:type="dxa"/>
            <w:vAlign w:val="bottom"/>
            <w:tcBorders>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4"/>
                <w:szCs w:val="24"/>
                <w:color w:val="222222"/>
              </w:rPr>
              <w:t>24(9-51)</w:t>
            </w:r>
          </w:p>
        </w:tc>
        <w:tc>
          <w:tcPr>
            <w:tcW w:w="118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167</w:t>
            </w:r>
          </w:p>
        </w:tc>
        <w:tc>
          <w:tcPr>
            <w:tcW w:w="1420" w:type="dxa"/>
            <w:vAlign w:val="bottom"/>
            <w:tcBorders>
              <w:right w:val="single" w:sz="8" w:color="auto"/>
            </w:tcBorders>
          </w:tcPr>
          <w:p>
            <w:pPr>
              <w:ind w:left="100"/>
              <w:spacing w:after="0" w:line="244" w:lineRule="exact"/>
              <w:rPr>
                <w:sz w:val="20"/>
                <w:szCs w:val="20"/>
                <w:color w:val="auto"/>
              </w:rPr>
            </w:pPr>
            <w:r>
              <w:rPr>
                <w:rFonts w:ascii="Times New Roman" w:cs="Times New Roman" w:eastAsia="Times New Roman" w:hAnsi="Times New Roman"/>
                <w:sz w:val="22"/>
                <w:szCs w:val="22"/>
                <w:color w:val="222222"/>
              </w:rPr>
              <w:t>60(18-129)</w:t>
            </w:r>
          </w:p>
        </w:tc>
        <w:tc>
          <w:tcPr>
            <w:tcW w:w="142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91(44-248)</w:t>
            </w:r>
          </w:p>
        </w:tc>
        <w:tc>
          <w:tcPr>
            <w:tcW w:w="0" w:type="dxa"/>
            <w:vAlign w:val="bottom"/>
          </w:tcPr>
          <w:p>
            <w:pPr>
              <w:spacing w:after="0"/>
              <w:rPr>
                <w:sz w:val="1"/>
                <w:szCs w:val="1"/>
                <w:color w:val="auto"/>
              </w:rPr>
            </w:pPr>
          </w:p>
        </w:tc>
      </w:tr>
      <w:tr>
        <w:trPr>
          <w:trHeight w:val="140"/>
        </w:trPr>
        <w:tc>
          <w:tcPr>
            <w:tcW w:w="1200" w:type="dxa"/>
            <w:vAlign w:val="bottom"/>
            <w:tcBorders>
              <w:left w:val="single" w:sz="8" w:color="auto"/>
              <w:bottom w:val="single" w:sz="8" w:color="auto"/>
            </w:tcBorders>
          </w:tcPr>
          <w:p>
            <w:pPr>
              <w:spacing w:after="0"/>
              <w:rPr>
                <w:sz w:val="12"/>
                <w:szCs w:val="12"/>
                <w:color w:val="auto"/>
              </w:rPr>
            </w:pPr>
          </w:p>
        </w:tc>
        <w:tc>
          <w:tcPr>
            <w:tcW w:w="8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1200" w:type="dxa"/>
            <w:vAlign w:val="bottom"/>
            <w:tcBorders>
              <w:left w:val="single" w:sz="8" w:color="auto"/>
            </w:tcBorders>
          </w:tcPr>
          <w:p>
            <w:pPr>
              <w:ind w:left="100"/>
              <w:spacing w:after="0" w:line="242" w:lineRule="exact"/>
              <w:rPr>
                <w:sz w:val="20"/>
                <w:szCs w:val="20"/>
                <w:color w:val="auto"/>
              </w:rPr>
            </w:pPr>
            <w:r>
              <w:rPr>
                <w:rFonts w:ascii="Times New Roman" w:cs="Times New Roman" w:eastAsia="Times New Roman" w:hAnsi="Times New Roman"/>
                <w:sz w:val="22"/>
                <w:szCs w:val="22"/>
                <w:color w:val="222222"/>
              </w:rPr>
              <w:t>INR</w:t>
            </w:r>
          </w:p>
        </w:tc>
        <w:tc>
          <w:tcPr>
            <w:tcW w:w="880" w:type="dxa"/>
            <w:vAlign w:val="bottom"/>
            <w:tcBorders>
              <w:right w:val="single" w:sz="8" w:color="auto"/>
            </w:tcBorders>
          </w:tcPr>
          <w:p>
            <w:pPr>
              <w:spacing w:after="0"/>
              <w:rPr>
                <w:sz w:val="22"/>
                <w:szCs w:val="22"/>
                <w:color w:val="auto"/>
              </w:rPr>
            </w:pP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1,05(0,94-</w:t>
            </w:r>
          </w:p>
        </w:tc>
        <w:tc>
          <w:tcPr>
            <w:tcW w:w="1420" w:type="dxa"/>
            <w:vAlign w:val="bottom"/>
            <w:tcBorders>
              <w:right w:val="single" w:sz="8" w:color="auto"/>
            </w:tcBorders>
          </w:tcPr>
          <w:p>
            <w:pPr>
              <w:ind w:left="80"/>
              <w:spacing w:after="0" w:line="242" w:lineRule="exact"/>
              <w:rPr>
                <w:sz w:val="20"/>
                <w:szCs w:val="20"/>
                <w:color w:val="auto"/>
              </w:rPr>
            </w:pPr>
            <w:r>
              <w:rPr>
                <w:rFonts w:ascii="Times New Roman" w:cs="Times New Roman" w:eastAsia="Times New Roman" w:hAnsi="Times New Roman"/>
                <w:sz w:val="22"/>
                <w:szCs w:val="22"/>
                <w:color w:val="222222"/>
              </w:rPr>
              <w:t>1,08(0,94-</w:t>
            </w:r>
          </w:p>
        </w:tc>
        <w:tc>
          <w:tcPr>
            <w:tcW w:w="11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0,95</w:t>
            </w:r>
          </w:p>
        </w:tc>
        <w:tc>
          <w:tcPr>
            <w:tcW w:w="1420" w:type="dxa"/>
            <w:vAlign w:val="bottom"/>
            <w:tcBorders>
              <w:right w:val="single" w:sz="8" w:color="auto"/>
            </w:tcBorders>
          </w:tcPr>
          <w:p>
            <w:pPr>
              <w:ind w:left="100"/>
              <w:spacing w:after="0" w:line="219" w:lineRule="exact"/>
              <w:rPr>
                <w:sz w:val="20"/>
                <w:szCs w:val="20"/>
                <w:color w:val="auto"/>
              </w:rPr>
            </w:pPr>
            <w:r>
              <w:rPr>
                <w:rFonts w:ascii="Times New Roman" w:cs="Times New Roman" w:eastAsia="Times New Roman" w:hAnsi="Times New Roman"/>
                <w:sz w:val="20"/>
                <w:szCs w:val="20"/>
                <w:color w:val="222222"/>
              </w:rPr>
              <w:t>1,03(0,97-</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1,09(0,95-</w:t>
            </w:r>
          </w:p>
        </w:tc>
        <w:tc>
          <w:tcPr>
            <w:tcW w:w="0" w:type="dxa"/>
            <w:vAlign w:val="bottom"/>
          </w:tcPr>
          <w:p>
            <w:pPr>
              <w:spacing w:after="0"/>
              <w:rPr>
                <w:sz w:val="1"/>
                <w:szCs w:val="1"/>
                <w:color w:val="auto"/>
              </w:rPr>
            </w:pPr>
          </w:p>
        </w:tc>
      </w:tr>
      <w:tr>
        <w:trPr>
          <w:trHeight w:val="302"/>
        </w:trPr>
        <w:tc>
          <w:tcPr>
            <w:tcW w:w="1200" w:type="dxa"/>
            <w:vAlign w:val="bottom"/>
            <w:tcBorders>
              <w:left w:val="single" w:sz="8" w:color="auto"/>
            </w:tcBorders>
          </w:tcPr>
          <w:p>
            <w:pPr>
              <w:spacing w:after="0"/>
              <w:rPr>
                <w:sz w:val="24"/>
                <w:szCs w:val="24"/>
                <w:color w:val="auto"/>
              </w:rPr>
            </w:pPr>
          </w:p>
        </w:tc>
        <w:tc>
          <w:tcPr>
            <w:tcW w:w="8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222222"/>
              </w:rPr>
              <w:t>2,09)</w:t>
            </w:r>
          </w:p>
        </w:tc>
        <w:tc>
          <w:tcPr>
            <w:tcW w:w="1420" w:type="dxa"/>
            <w:vAlign w:val="bottom"/>
            <w:tcBorders>
              <w:right w:val="single" w:sz="8" w:color="auto"/>
            </w:tcBorders>
            <w:vMerge w:val="restart"/>
          </w:tcPr>
          <w:p>
            <w:pPr>
              <w:ind w:left="80"/>
              <w:spacing w:after="0"/>
              <w:rPr>
                <w:sz w:val="20"/>
                <w:szCs w:val="20"/>
                <w:color w:val="auto"/>
              </w:rPr>
            </w:pPr>
            <w:r>
              <w:rPr>
                <w:rFonts w:ascii="Times New Roman" w:cs="Times New Roman" w:eastAsia="Times New Roman" w:hAnsi="Times New Roman"/>
                <w:sz w:val="22"/>
                <w:szCs w:val="22"/>
                <w:color w:val="222222"/>
              </w:rPr>
              <w:t>1,26)</w:t>
            </w: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222222"/>
              </w:rPr>
              <w:t>2,09)</w:t>
            </w:r>
          </w:p>
        </w:tc>
        <w:tc>
          <w:tcPr>
            <w:tcW w:w="14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222222"/>
              </w:rPr>
              <w:t>1,26)</w:t>
            </w:r>
          </w:p>
        </w:tc>
        <w:tc>
          <w:tcPr>
            <w:tcW w:w="0" w:type="dxa"/>
            <w:vAlign w:val="bottom"/>
          </w:tcPr>
          <w:p>
            <w:pPr>
              <w:spacing w:after="0"/>
              <w:rPr>
                <w:sz w:val="1"/>
                <w:szCs w:val="1"/>
                <w:color w:val="auto"/>
              </w:rPr>
            </w:pPr>
          </w:p>
        </w:tc>
      </w:tr>
      <w:tr>
        <w:trPr>
          <w:trHeight w:val="114"/>
        </w:trPr>
        <w:tc>
          <w:tcPr>
            <w:tcW w:w="1200" w:type="dxa"/>
            <w:vAlign w:val="bottom"/>
            <w:tcBorders>
              <w:left w:val="single" w:sz="8" w:color="auto"/>
            </w:tcBorders>
          </w:tcPr>
          <w:p>
            <w:pPr>
              <w:spacing w:after="0"/>
              <w:rPr>
                <w:sz w:val="9"/>
                <w:szCs w:val="9"/>
                <w:color w:val="auto"/>
              </w:rPr>
            </w:pPr>
          </w:p>
        </w:tc>
        <w:tc>
          <w:tcPr>
            <w:tcW w:w="880" w:type="dxa"/>
            <w:vAlign w:val="bottom"/>
            <w:tcBorders>
              <w:right w:val="single" w:sz="8" w:color="auto"/>
            </w:tcBorders>
          </w:tcPr>
          <w:p>
            <w:pPr>
              <w:spacing w:after="0"/>
              <w:rPr>
                <w:sz w:val="9"/>
                <w:szCs w:val="9"/>
                <w:color w:val="auto"/>
              </w:rPr>
            </w:pPr>
          </w:p>
        </w:tc>
        <w:tc>
          <w:tcPr>
            <w:tcW w:w="1420" w:type="dxa"/>
            <w:vAlign w:val="bottom"/>
            <w:tcBorders>
              <w:right w:val="single" w:sz="8" w:color="auto"/>
            </w:tcBorders>
            <w:vMerge w:val="continue"/>
          </w:tcPr>
          <w:p>
            <w:pPr>
              <w:spacing w:after="0"/>
              <w:rPr>
                <w:sz w:val="9"/>
                <w:szCs w:val="9"/>
                <w:color w:val="auto"/>
              </w:rPr>
            </w:pPr>
          </w:p>
        </w:tc>
        <w:tc>
          <w:tcPr>
            <w:tcW w:w="1420" w:type="dxa"/>
            <w:vAlign w:val="bottom"/>
            <w:tcBorders>
              <w:right w:val="single" w:sz="8" w:color="auto"/>
            </w:tcBorders>
            <w:vMerge w:val="continue"/>
          </w:tcPr>
          <w:p>
            <w:pPr>
              <w:spacing w:after="0"/>
              <w:rPr>
                <w:sz w:val="9"/>
                <w:szCs w:val="9"/>
                <w:color w:val="auto"/>
              </w:rPr>
            </w:pPr>
          </w:p>
        </w:tc>
        <w:tc>
          <w:tcPr>
            <w:tcW w:w="1180" w:type="dxa"/>
            <w:vAlign w:val="bottom"/>
            <w:tcBorders>
              <w:right w:val="single" w:sz="8" w:color="auto"/>
            </w:tcBorders>
          </w:tcPr>
          <w:p>
            <w:pPr>
              <w:spacing w:after="0"/>
              <w:rPr>
                <w:sz w:val="9"/>
                <w:szCs w:val="9"/>
                <w:color w:val="auto"/>
              </w:rPr>
            </w:pPr>
          </w:p>
        </w:tc>
        <w:tc>
          <w:tcPr>
            <w:tcW w:w="1420" w:type="dxa"/>
            <w:vAlign w:val="bottom"/>
            <w:tcBorders>
              <w:right w:val="single" w:sz="8" w:color="auto"/>
            </w:tcBorders>
          </w:tcPr>
          <w:p>
            <w:pPr>
              <w:spacing w:after="0"/>
              <w:rPr>
                <w:sz w:val="9"/>
                <w:szCs w:val="9"/>
                <w:color w:val="auto"/>
              </w:rPr>
            </w:pPr>
          </w:p>
        </w:tc>
        <w:tc>
          <w:tcPr>
            <w:tcW w:w="142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40"/>
        </w:trPr>
        <w:tc>
          <w:tcPr>
            <w:tcW w:w="2080" w:type="dxa"/>
            <w:vAlign w:val="bottom"/>
            <w:tcBorders>
              <w:left w:val="single" w:sz="8" w:color="auto"/>
              <w:bottom w:val="single" w:sz="8" w:color="auto"/>
              <w:right w:val="single" w:sz="8" w:color="auto"/>
            </w:tcBorders>
            <w:gridSpan w:val="2"/>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5"/>
        </w:trPr>
        <w:tc>
          <w:tcPr>
            <w:tcW w:w="2080" w:type="dxa"/>
            <w:vAlign w:val="bottom"/>
            <w:tcBorders>
              <w:left w:val="single" w:sz="8" w:color="auto"/>
              <w:right w:val="single" w:sz="8" w:color="auto"/>
            </w:tcBorders>
            <w:gridSpan w:val="2"/>
          </w:tcPr>
          <w:p>
            <w:pPr>
              <w:ind w:left="100"/>
              <w:spacing w:after="0" w:line="219" w:lineRule="exact"/>
              <w:rPr>
                <w:sz w:val="20"/>
                <w:szCs w:val="20"/>
                <w:color w:val="auto"/>
              </w:rPr>
            </w:pPr>
            <w:r>
              <w:rPr>
                <w:rFonts w:ascii="Times New Roman" w:cs="Times New Roman" w:eastAsia="Times New Roman" w:hAnsi="Times New Roman"/>
                <w:sz w:val="20"/>
                <w:szCs w:val="20"/>
                <w:color w:val="222222"/>
              </w:rPr>
              <w:t>TotalBilirubin (mg/dl)</w:t>
            </w:r>
          </w:p>
        </w:tc>
        <w:tc>
          <w:tcPr>
            <w:tcW w:w="142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0,66</w:t>
            </w:r>
            <w:r>
              <w:rPr>
                <w:rFonts w:ascii="Courier New" w:cs="Courier New" w:eastAsia="Courier New" w:hAnsi="Courier New"/>
                <w:sz w:val="19"/>
                <w:szCs w:val="19"/>
                <w:color w:val="000000"/>
              </w:rPr>
              <w:t>±</w:t>
            </w:r>
            <w:r>
              <w:rPr>
                <w:rFonts w:ascii="Times New Roman" w:cs="Times New Roman" w:eastAsia="Times New Roman" w:hAnsi="Times New Roman"/>
                <w:sz w:val="24"/>
                <w:szCs w:val="24"/>
                <w:color w:val="222222"/>
              </w:rPr>
              <w:t>0,31</w:t>
            </w:r>
          </w:p>
        </w:tc>
        <w:tc>
          <w:tcPr>
            <w:tcW w:w="142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0,7(0,23-1,38)</w:t>
            </w:r>
          </w:p>
        </w:tc>
        <w:tc>
          <w:tcPr>
            <w:tcW w:w="118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1,04</w:t>
            </w:r>
          </w:p>
        </w:tc>
        <w:tc>
          <w:tcPr>
            <w:tcW w:w="1420" w:type="dxa"/>
            <w:vAlign w:val="bottom"/>
            <w:tcBorders>
              <w:right w:val="single" w:sz="8" w:color="auto"/>
            </w:tcBorders>
          </w:tcPr>
          <w:p>
            <w:pPr>
              <w:ind w:left="100"/>
              <w:spacing w:after="0" w:line="219" w:lineRule="exact"/>
              <w:rPr>
                <w:sz w:val="20"/>
                <w:szCs w:val="20"/>
                <w:color w:val="auto"/>
              </w:rPr>
            </w:pPr>
            <w:r>
              <w:rPr>
                <w:rFonts w:ascii="Times New Roman" w:cs="Times New Roman" w:eastAsia="Times New Roman" w:hAnsi="Times New Roman"/>
                <w:sz w:val="20"/>
                <w:szCs w:val="20"/>
                <w:color w:val="222222"/>
              </w:rPr>
              <w:t>0,6(0,26-1,02)</w:t>
            </w:r>
          </w:p>
        </w:tc>
        <w:tc>
          <w:tcPr>
            <w:tcW w:w="142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0,47</w:t>
            </w:r>
            <w:r>
              <w:rPr>
                <w:rFonts w:ascii="Times New Roman" w:cs="Times New Roman" w:eastAsia="Times New Roman" w:hAnsi="Times New Roman"/>
                <w:sz w:val="24"/>
                <w:szCs w:val="24"/>
                <w:color w:val="000000"/>
              </w:rPr>
              <w:t>±0,14</w:t>
            </w:r>
          </w:p>
        </w:tc>
        <w:tc>
          <w:tcPr>
            <w:tcW w:w="0" w:type="dxa"/>
            <w:vAlign w:val="bottom"/>
          </w:tcPr>
          <w:p>
            <w:pPr>
              <w:spacing w:after="0"/>
              <w:rPr>
                <w:sz w:val="1"/>
                <w:szCs w:val="1"/>
                <w:color w:val="auto"/>
              </w:rPr>
            </w:pPr>
          </w:p>
        </w:tc>
      </w:tr>
      <w:tr>
        <w:trPr>
          <w:trHeight w:val="147"/>
        </w:trPr>
        <w:tc>
          <w:tcPr>
            <w:tcW w:w="1200" w:type="dxa"/>
            <w:vAlign w:val="bottom"/>
            <w:tcBorders>
              <w:left w:val="single" w:sz="8" w:color="auto"/>
              <w:bottom w:val="single" w:sz="8" w:color="auto"/>
            </w:tcBorders>
          </w:tcPr>
          <w:p>
            <w:pPr>
              <w:spacing w:after="0"/>
              <w:rPr>
                <w:sz w:val="12"/>
                <w:szCs w:val="12"/>
                <w:color w:val="auto"/>
              </w:rPr>
            </w:pPr>
          </w:p>
        </w:tc>
        <w:tc>
          <w:tcPr>
            <w:tcW w:w="8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5"/>
        </w:trPr>
        <w:tc>
          <w:tcPr>
            <w:tcW w:w="1200" w:type="dxa"/>
            <w:vAlign w:val="bottom"/>
            <w:tcBorders>
              <w:left w:val="single" w:sz="8" w:color="auto"/>
            </w:tcBorders>
          </w:tcPr>
          <w:p>
            <w:pPr>
              <w:ind w:left="100"/>
              <w:spacing w:after="0" w:line="219" w:lineRule="exact"/>
              <w:rPr>
                <w:sz w:val="20"/>
                <w:szCs w:val="20"/>
                <w:color w:val="auto"/>
              </w:rPr>
            </w:pPr>
            <w:r>
              <w:rPr>
                <w:rFonts w:ascii="Times New Roman" w:cs="Times New Roman" w:eastAsia="Times New Roman" w:hAnsi="Times New Roman"/>
                <w:sz w:val="20"/>
                <w:szCs w:val="20"/>
                <w:color w:val="222222"/>
              </w:rPr>
              <w:t>Direkt</w:t>
            </w:r>
          </w:p>
        </w:tc>
        <w:tc>
          <w:tcPr>
            <w:tcW w:w="880" w:type="dxa"/>
            <w:vAlign w:val="bottom"/>
            <w:tcBorders>
              <w:right w:val="single" w:sz="8" w:color="auto"/>
            </w:tcBorders>
          </w:tcPr>
          <w:p>
            <w:pPr>
              <w:ind w:left="40"/>
              <w:spacing w:after="0" w:line="219" w:lineRule="exact"/>
              <w:rPr>
                <w:sz w:val="20"/>
                <w:szCs w:val="20"/>
                <w:color w:val="auto"/>
              </w:rPr>
            </w:pPr>
            <w:r>
              <w:rPr>
                <w:rFonts w:ascii="Times New Roman" w:cs="Times New Roman" w:eastAsia="Times New Roman" w:hAnsi="Times New Roman"/>
                <w:sz w:val="20"/>
                <w:szCs w:val="20"/>
                <w:color w:val="222222"/>
              </w:rPr>
              <w:t>Bilirubin</w:t>
            </w:r>
          </w:p>
        </w:tc>
        <w:tc>
          <w:tcPr>
            <w:tcW w:w="142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0,12</w:t>
            </w:r>
            <w:r>
              <w:rPr>
                <w:rFonts w:ascii="Courier New" w:cs="Courier New" w:eastAsia="Courier New" w:hAnsi="Courier New"/>
                <w:sz w:val="19"/>
                <w:szCs w:val="19"/>
                <w:color w:val="000000"/>
              </w:rPr>
              <w:t>±</w:t>
            </w:r>
            <w:r>
              <w:rPr>
                <w:rFonts w:ascii="Times New Roman" w:cs="Times New Roman" w:eastAsia="Times New Roman" w:hAnsi="Times New Roman"/>
                <w:sz w:val="24"/>
                <w:szCs w:val="24"/>
                <w:color w:val="222222"/>
              </w:rPr>
              <w:t>0,06</w:t>
            </w:r>
          </w:p>
        </w:tc>
        <w:tc>
          <w:tcPr>
            <w:tcW w:w="1420" w:type="dxa"/>
            <w:vAlign w:val="bottom"/>
            <w:tcBorders>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222222"/>
              </w:rPr>
              <w:t>0,14</w:t>
            </w:r>
            <w:r>
              <w:rPr>
                <w:rFonts w:ascii="Times New Roman" w:cs="Times New Roman" w:eastAsia="Times New Roman" w:hAnsi="Times New Roman"/>
                <w:sz w:val="24"/>
                <w:szCs w:val="24"/>
                <w:color w:val="000000"/>
              </w:rPr>
              <w:t>±</w:t>
            </w:r>
            <w:r>
              <w:rPr>
                <w:rFonts w:ascii="Times New Roman" w:cs="Times New Roman" w:eastAsia="Times New Roman" w:hAnsi="Times New Roman"/>
                <w:sz w:val="24"/>
                <w:szCs w:val="24"/>
                <w:color w:val="222222"/>
              </w:rPr>
              <w:t>0,07</w:t>
            </w:r>
          </w:p>
        </w:tc>
        <w:tc>
          <w:tcPr>
            <w:tcW w:w="118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0,21</w:t>
            </w:r>
          </w:p>
        </w:tc>
        <w:tc>
          <w:tcPr>
            <w:tcW w:w="1420" w:type="dxa"/>
            <w:vAlign w:val="bottom"/>
            <w:tcBorders>
              <w:right w:val="single" w:sz="8" w:color="auto"/>
            </w:tcBorders>
          </w:tcPr>
          <w:p>
            <w:pPr>
              <w:ind w:left="100"/>
              <w:spacing w:after="0" w:line="242" w:lineRule="exact"/>
              <w:rPr>
                <w:sz w:val="20"/>
                <w:szCs w:val="20"/>
                <w:color w:val="auto"/>
              </w:rPr>
            </w:pPr>
            <w:r>
              <w:rPr>
                <w:rFonts w:ascii="Times New Roman" w:cs="Times New Roman" w:eastAsia="Times New Roman" w:hAnsi="Times New Roman"/>
                <w:sz w:val="22"/>
                <w:szCs w:val="22"/>
                <w:color w:val="222222"/>
              </w:rPr>
              <w:t>0,93</w:t>
            </w:r>
            <w:r>
              <w:rPr>
                <w:rFonts w:ascii="Times New Roman" w:cs="Times New Roman" w:eastAsia="Times New Roman" w:hAnsi="Times New Roman"/>
                <w:sz w:val="22"/>
                <w:szCs w:val="22"/>
                <w:color w:val="000000"/>
              </w:rPr>
              <w:t>±0,054</w:t>
            </w:r>
          </w:p>
        </w:tc>
        <w:tc>
          <w:tcPr>
            <w:tcW w:w="142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0,1</w:t>
            </w:r>
            <w:r>
              <w:rPr>
                <w:rFonts w:ascii="Times New Roman" w:cs="Times New Roman" w:eastAsia="Times New Roman" w:hAnsi="Times New Roman"/>
                <w:sz w:val="24"/>
                <w:szCs w:val="24"/>
                <w:color w:val="000000"/>
              </w:rPr>
              <w:t>±0,02</w:t>
            </w:r>
          </w:p>
        </w:tc>
        <w:tc>
          <w:tcPr>
            <w:tcW w:w="0" w:type="dxa"/>
            <w:vAlign w:val="bottom"/>
          </w:tcPr>
          <w:p>
            <w:pPr>
              <w:spacing w:after="0"/>
              <w:rPr>
                <w:sz w:val="1"/>
                <w:szCs w:val="1"/>
                <w:color w:val="auto"/>
              </w:rPr>
            </w:pPr>
          </w:p>
        </w:tc>
      </w:tr>
      <w:tr>
        <w:trPr>
          <w:trHeight w:val="299"/>
        </w:trPr>
        <w:tc>
          <w:tcPr>
            <w:tcW w:w="120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0"/>
                <w:szCs w:val="20"/>
                <w:color w:val="222222"/>
              </w:rPr>
              <w:t>(mg/dl)</w:t>
            </w:r>
          </w:p>
        </w:tc>
        <w:tc>
          <w:tcPr>
            <w:tcW w:w="8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16"/>
        </w:trPr>
        <w:tc>
          <w:tcPr>
            <w:tcW w:w="2080" w:type="dxa"/>
            <w:vAlign w:val="bottom"/>
            <w:tcBorders>
              <w:left w:val="single" w:sz="8" w:color="auto"/>
              <w:bottom w:val="single" w:sz="8" w:color="auto"/>
              <w:right w:val="single" w:sz="8" w:color="auto"/>
            </w:tcBorders>
            <w:gridSpan w:val="2"/>
          </w:tcPr>
          <w:p>
            <w:pPr>
              <w:spacing w:after="0"/>
              <w:rPr>
                <w:sz w:val="10"/>
                <w:szCs w:val="10"/>
                <w:color w:val="auto"/>
              </w:rPr>
            </w:pPr>
          </w:p>
        </w:tc>
        <w:tc>
          <w:tcPr>
            <w:tcW w:w="1420" w:type="dxa"/>
            <w:vAlign w:val="bottom"/>
            <w:tcBorders>
              <w:bottom w:val="single" w:sz="8" w:color="auto"/>
              <w:right w:val="single" w:sz="8" w:color="auto"/>
            </w:tcBorders>
          </w:tcPr>
          <w:p>
            <w:pPr>
              <w:spacing w:after="0"/>
              <w:rPr>
                <w:sz w:val="10"/>
                <w:szCs w:val="10"/>
                <w:color w:val="auto"/>
              </w:rPr>
            </w:pPr>
          </w:p>
        </w:tc>
        <w:tc>
          <w:tcPr>
            <w:tcW w:w="1420" w:type="dxa"/>
            <w:vAlign w:val="bottom"/>
            <w:tcBorders>
              <w:bottom w:val="single" w:sz="8" w:color="auto"/>
              <w:right w:val="single" w:sz="8" w:color="auto"/>
            </w:tcBorders>
          </w:tcPr>
          <w:p>
            <w:pPr>
              <w:spacing w:after="0"/>
              <w:rPr>
                <w:sz w:val="10"/>
                <w:szCs w:val="10"/>
                <w:color w:val="auto"/>
              </w:rPr>
            </w:pPr>
          </w:p>
        </w:tc>
        <w:tc>
          <w:tcPr>
            <w:tcW w:w="1180" w:type="dxa"/>
            <w:vAlign w:val="bottom"/>
            <w:tcBorders>
              <w:bottom w:val="single" w:sz="8" w:color="auto"/>
              <w:right w:val="single" w:sz="8" w:color="auto"/>
            </w:tcBorders>
          </w:tcPr>
          <w:p>
            <w:pPr>
              <w:spacing w:after="0"/>
              <w:rPr>
                <w:sz w:val="10"/>
                <w:szCs w:val="10"/>
                <w:color w:val="auto"/>
              </w:rPr>
            </w:pPr>
          </w:p>
        </w:tc>
        <w:tc>
          <w:tcPr>
            <w:tcW w:w="1420" w:type="dxa"/>
            <w:vAlign w:val="bottom"/>
            <w:tcBorders>
              <w:bottom w:val="single" w:sz="8" w:color="auto"/>
              <w:right w:val="single" w:sz="8" w:color="auto"/>
            </w:tcBorders>
          </w:tcPr>
          <w:p>
            <w:pPr>
              <w:spacing w:after="0"/>
              <w:rPr>
                <w:sz w:val="10"/>
                <w:szCs w:val="10"/>
                <w:color w:val="auto"/>
              </w:rPr>
            </w:pPr>
          </w:p>
        </w:tc>
        <w:tc>
          <w:tcPr>
            <w:tcW w:w="142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63"/>
        </w:trPr>
        <w:tc>
          <w:tcPr>
            <w:tcW w:w="2080" w:type="dxa"/>
            <w:vAlign w:val="bottom"/>
            <w:tcBorders>
              <w:left w:val="single" w:sz="8" w:color="auto"/>
              <w:right w:val="single" w:sz="8" w:color="auto"/>
            </w:tcBorders>
            <w:gridSpan w:val="2"/>
          </w:tcPr>
          <w:p>
            <w:pPr>
              <w:ind w:left="100"/>
              <w:spacing w:after="0" w:line="242" w:lineRule="exact"/>
              <w:rPr>
                <w:sz w:val="20"/>
                <w:szCs w:val="20"/>
                <w:color w:val="auto"/>
              </w:rPr>
            </w:pPr>
            <w:r>
              <w:rPr>
                <w:rFonts w:ascii="Times New Roman" w:cs="Times New Roman" w:eastAsia="Times New Roman" w:hAnsi="Times New Roman"/>
                <w:sz w:val="22"/>
                <w:szCs w:val="22"/>
                <w:color w:val="222222"/>
              </w:rPr>
              <w:t>Albumin (mg/dl)</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4,2</w:t>
            </w:r>
            <w:r>
              <w:rPr>
                <w:rFonts w:ascii="Times New Roman" w:cs="Times New Roman" w:eastAsia="Times New Roman" w:hAnsi="Times New Roman"/>
                <w:sz w:val="24"/>
                <w:szCs w:val="24"/>
                <w:color w:val="000000"/>
              </w:rPr>
              <w:t>±0,43</w:t>
            </w:r>
          </w:p>
        </w:tc>
        <w:tc>
          <w:tcPr>
            <w:tcW w:w="14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4,4</w:t>
            </w:r>
            <w:r>
              <w:rPr>
                <w:rFonts w:ascii="Times New Roman" w:cs="Times New Roman" w:eastAsia="Times New Roman" w:hAnsi="Times New Roman"/>
                <w:sz w:val="24"/>
                <w:szCs w:val="24"/>
                <w:color w:val="000000"/>
              </w:rPr>
              <w:t>±0,3</w:t>
            </w:r>
          </w:p>
        </w:tc>
        <w:tc>
          <w:tcPr>
            <w:tcW w:w="11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4,45</w:t>
            </w:r>
          </w:p>
        </w:tc>
        <w:tc>
          <w:tcPr>
            <w:tcW w:w="1420" w:type="dxa"/>
            <w:vAlign w:val="bottom"/>
            <w:tcBorders>
              <w:right w:val="single" w:sz="8" w:color="auto"/>
            </w:tcBorders>
          </w:tcPr>
          <w:p>
            <w:pPr>
              <w:ind w:left="100"/>
              <w:spacing w:after="0" w:line="242" w:lineRule="exact"/>
              <w:rPr>
                <w:sz w:val="20"/>
                <w:szCs w:val="20"/>
                <w:color w:val="auto"/>
              </w:rPr>
            </w:pPr>
            <w:r>
              <w:rPr>
                <w:rFonts w:ascii="Times New Roman" w:cs="Times New Roman" w:eastAsia="Times New Roman" w:hAnsi="Times New Roman"/>
                <w:sz w:val="22"/>
                <w:szCs w:val="22"/>
                <w:color w:val="222222"/>
              </w:rPr>
              <w:t>4,3</w:t>
            </w:r>
            <w:r>
              <w:rPr>
                <w:rFonts w:ascii="Times New Roman" w:cs="Times New Roman" w:eastAsia="Times New Roman" w:hAnsi="Times New Roman"/>
                <w:sz w:val="22"/>
                <w:szCs w:val="22"/>
                <w:color w:val="000000"/>
              </w:rPr>
              <w:t>±0,5</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3,68</w:t>
            </w:r>
            <w:r>
              <w:rPr>
                <w:rFonts w:ascii="Times New Roman" w:cs="Times New Roman" w:eastAsia="Times New Roman" w:hAnsi="Times New Roman"/>
                <w:sz w:val="24"/>
                <w:szCs w:val="24"/>
                <w:color w:val="000000"/>
              </w:rPr>
              <w:t>±0,34</w:t>
            </w:r>
          </w:p>
        </w:tc>
        <w:tc>
          <w:tcPr>
            <w:tcW w:w="0" w:type="dxa"/>
            <w:vAlign w:val="bottom"/>
          </w:tcPr>
          <w:p>
            <w:pPr>
              <w:spacing w:after="0"/>
              <w:rPr>
                <w:sz w:val="1"/>
                <w:szCs w:val="1"/>
                <w:color w:val="auto"/>
              </w:rPr>
            </w:pPr>
          </w:p>
        </w:tc>
      </w:tr>
      <w:tr>
        <w:trPr>
          <w:trHeight w:val="143"/>
        </w:trPr>
        <w:tc>
          <w:tcPr>
            <w:tcW w:w="2080" w:type="dxa"/>
            <w:vAlign w:val="bottom"/>
            <w:tcBorders>
              <w:left w:val="single" w:sz="8" w:color="auto"/>
              <w:bottom w:val="single" w:sz="8" w:color="auto"/>
              <w:right w:val="single" w:sz="8" w:color="auto"/>
            </w:tcBorders>
            <w:gridSpan w:val="2"/>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42"/>
        </w:trPr>
        <w:tc>
          <w:tcPr>
            <w:tcW w:w="2080" w:type="dxa"/>
            <w:vAlign w:val="bottom"/>
            <w:tcBorders>
              <w:left w:val="single" w:sz="8" w:color="auto"/>
              <w:right w:val="single" w:sz="8" w:color="auto"/>
            </w:tcBorders>
            <w:gridSpan w:val="2"/>
          </w:tcPr>
          <w:p>
            <w:pPr>
              <w:ind w:left="100"/>
              <w:spacing w:after="0" w:line="242" w:lineRule="exact"/>
              <w:rPr>
                <w:sz w:val="20"/>
                <w:szCs w:val="20"/>
                <w:color w:val="auto"/>
              </w:rPr>
            </w:pPr>
            <w:r>
              <w:rPr>
                <w:rFonts w:ascii="Times New Roman" w:cs="Times New Roman" w:eastAsia="Times New Roman" w:hAnsi="Times New Roman"/>
                <w:sz w:val="22"/>
                <w:szCs w:val="22"/>
                <w:color w:val="222222"/>
              </w:rPr>
              <w:t>Triptaz (ng/ml)</w:t>
            </w:r>
          </w:p>
        </w:tc>
        <w:tc>
          <w:tcPr>
            <w:tcW w:w="1420" w:type="dxa"/>
            <w:vAlign w:val="bottom"/>
            <w:tcBorders>
              <w:right w:val="single" w:sz="8" w:color="auto"/>
            </w:tcBorders>
          </w:tcPr>
          <w:p>
            <w:pPr>
              <w:ind w:left="100"/>
              <w:spacing w:after="0" w:line="197" w:lineRule="exact"/>
              <w:rPr>
                <w:sz w:val="20"/>
                <w:szCs w:val="20"/>
                <w:color w:val="auto"/>
              </w:rPr>
            </w:pPr>
            <w:r>
              <w:rPr>
                <w:rFonts w:ascii="Times New Roman" w:cs="Times New Roman" w:eastAsia="Times New Roman" w:hAnsi="Times New Roman"/>
                <w:sz w:val="18"/>
                <w:szCs w:val="18"/>
                <w:color w:val="222222"/>
              </w:rPr>
              <w:t>45,85(2,25-250)</w:t>
            </w:r>
          </w:p>
        </w:tc>
        <w:tc>
          <w:tcPr>
            <w:tcW w:w="1420" w:type="dxa"/>
            <w:vAlign w:val="bottom"/>
            <w:tcBorders>
              <w:right w:val="single" w:sz="8" w:color="auto"/>
            </w:tcBorders>
          </w:tcPr>
          <w:p>
            <w:pPr>
              <w:ind w:left="80"/>
              <w:spacing w:after="0" w:line="219" w:lineRule="exact"/>
              <w:rPr>
                <w:sz w:val="20"/>
                <w:szCs w:val="20"/>
                <w:color w:val="auto"/>
              </w:rPr>
            </w:pPr>
            <w:r>
              <w:rPr>
                <w:rFonts w:ascii="Times New Roman" w:cs="Times New Roman" w:eastAsia="Times New Roman" w:hAnsi="Times New Roman"/>
                <w:sz w:val="20"/>
                <w:szCs w:val="20"/>
                <w:color w:val="222222"/>
              </w:rPr>
              <w:t>36,45(2,25-</w:t>
            </w:r>
          </w:p>
        </w:tc>
        <w:tc>
          <w:tcPr>
            <w:tcW w:w="1180" w:type="dxa"/>
            <w:vAlign w:val="bottom"/>
            <w:tcBorders>
              <w:right w:val="single" w:sz="8" w:color="auto"/>
            </w:tcBorders>
          </w:tcPr>
          <w:p>
            <w:pPr>
              <w:ind w:left="100"/>
              <w:spacing w:after="0" w:line="219" w:lineRule="exact"/>
              <w:rPr>
                <w:sz w:val="20"/>
                <w:szCs w:val="20"/>
                <w:color w:val="auto"/>
              </w:rPr>
            </w:pPr>
            <w:r>
              <w:rPr>
                <w:rFonts w:ascii="Times New Roman" w:cs="Times New Roman" w:eastAsia="Times New Roman" w:hAnsi="Times New Roman"/>
                <w:sz w:val="20"/>
                <w:szCs w:val="20"/>
                <w:color w:val="222222"/>
              </w:rPr>
              <w:t>200</w:t>
            </w:r>
          </w:p>
        </w:tc>
        <w:tc>
          <w:tcPr>
            <w:tcW w:w="1420" w:type="dxa"/>
            <w:vAlign w:val="bottom"/>
            <w:tcBorders>
              <w:right w:val="single" w:sz="8" w:color="auto"/>
            </w:tcBorders>
          </w:tcPr>
          <w:p>
            <w:pPr>
              <w:ind w:left="100"/>
              <w:spacing w:after="0" w:line="219" w:lineRule="exact"/>
              <w:rPr>
                <w:sz w:val="20"/>
                <w:szCs w:val="20"/>
                <w:color w:val="auto"/>
              </w:rPr>
            </w:pPr>
            <w:r>
              <w:rPr>
                <w:rFonts w:ascii="Times New Roman" w:cs="Times New Roman" w:eastAsia="Times New Roman" w:hAnsi="Times New Roman"/>
                <w:sz w:val="20"/>
                <w:szCs w:val="20"/>
                <w:color w:val="222222"/>
              </w:rPr>
              <w:t>146(14,6-250)</w:t>
            </w:r>
          </w:p>
        </w:tc>
        <w:tc>
          <w:tcPr>
            <w:tcW w:w="1420" w:type="dxa"/>
            <w:vAlign w:val="bottom"/>
            <w:tcBorders>
              <w:right w:val="single" w:sz="8" w:color="auto"/>
            </w:tcBorders>
          </w:tcPr>
          <w:p>
            <w:pPr>
              <w:ind w:left="100"/>
              <w:spacing w:after="0" w:line="242" w:lineRule="exact"/>
              <w:rPr>
                <w:sz w:val="20"/>
                <w:szCs w:val="20"/>
                <w:color w:val="auto"/>
              </w:rPr>
            </w:pPr>
            <w:r>
              <w:rPr>
                <w:rFonts w:ascii="Times New Roman" w:cs="Times New Roman" w:eastAsia="Times New Roman" w:hAnsi="Times New Roman"/>
                <w:sz w:val="22"/>
                <w:szCs w:val="22"/>
                <w:color w:val="222222"/>
              </w:rPr>
              <w:t>7,04</w:t>
            </w:r>
          </w:p>
        </w:tc>
        <w:tc>
          <w:tcPr>
            <w:tcW w:w="0" w:type="dxa"/>
            <w:vAlign w:val="bottom"/>
          </w:tcPr>
          <w:p>
            <w:pPr>
              <w:spacing w:after="0"/>
              <w:rPr>
                <w:sz w:val="1"/>
                <w:szCs w:val="1"/>
                <w:color w:val="auto"/>
              </w:rPr>
            </w:pPr>
          </w:p>
        </w:tc>
      </w:tr>
      <w:tr>
        <w:trPr>
          <w:trHeight w:val="320"/>
        </w:trPr>
        <w:tc>
          <w:tcPr>
            <w:tcW w:w="1200" w:type="dxa"/>
            <w:vAlign w:val="bottom"/>
            <w:tcBorders>
              <w:left w:val="single" w:sz="8" w:color="auto"/>
            </w:tcBorders>
          </w:tcPr>
          <w:p>
            <w:pPr>
              <w:spacing w:after="0"/>
              <w:rPr>
                <w:sz w:val="24"/>
                <w:szCs w:val="24"/>
                <w:color w:val="auto"/>
              </w:rPr>
            </w:pPr>
          </w:p>
        </w:tc>
        <w:tc>
          <w:tcPr>
            <w:tcW w:w="8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222222"/>
              </w:rPr>
              <w:t>166)</w:t>
            </w: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16"/>
        </w:trPr>
        <w:tc>
          <w:tcPr>
            <w:tcW w:w="1200" w:type="dxa"/>
            <w:vAlign w:val="bottom"/>
            <w:tcBorders>
              <w:left w:val="single" w:sz="8" w:color="auto"/>
              <w:bottom w:val="single" w:sz="8" w:color="auto"/>
            </w:tcBorders>
          </w:tcPr>
          <w:p>
            <w:pPr>
              <w:spacing w:after="0"/>
              <w:rPr>
                <w:sz w:val="10"/>
                <w:szCs w:val="10"/>
                <w:color w:val="auto"/>
              </w:rPr>
            </w:pPr>
          </w:p>
        </w:tc>
        <w:tc>
          <w:tcPr>
            <w:tcW w:w="880" w:type="dxa"/>
            <w:vAlign w:val="bottom"/>
            <w:tcBorders>
              <w:bottom w:val="single" w:sz="8" w:color="auto"/>
              <w:right w:val="single" w:sz="8" w:color="auto"/>
            </w:tcBorders>
          </w:tcPr>
          <w:p>
            <w:pPr>
              <w:spacing w:after="0"/>
              <w:rPr>
                <w:sz w:val="10"/>
                <w:szCs w:val="10"/>
                <w:color w:val="auto"/>
              </w:rPr>
            </w:pPr>
          </w:p>
        </w:tc>
        <w:tc>
          <w:tcPr>
            <w:tcW w:w="1420" w:type="dxa"/>
            <w:vAlign w:val="bottom"/>
            <w:tcBorders>
              <w:bottom w:val="single" w:sz="8" w:color="auto"/>
              <w:right w:val="single" w:sz="8" w:color="auto"/>
            </w:tcBorders>
          </w:tcPr>
          <w:p>
            <w:pPr>
              <w:spacing w:after="0"/>
              <w:rPr>
                <w:sz w:val="10"/>
                <w:szCs w:val="10"/>
                <w:color w:val="auto"/>
              </w:rPr>
            </w:pPr>
          </w:p>
        </w:tc>
        <w:tc>
          <w:tcPr>
            <w:tcW w:w="1420" w:type="dxa"/>
            <w:vAlign w:val="bottom"/>
            <w:tcBorders>
              <w:bottom w:val="single" w:sz="8" w:color="auto"/>
              <w:right w:val="single" w:sz="8" w:color="auto"/>
            </w:tcBorders>
          </w:tcPr>
          <w:p>
            <w:pPr>
              <w:spacing w:after="0"/>
              <w:rPr>
                <w:sz w:val="10"/>
                <w:szCs w:val="10"/>
                <w:color w:val="auto"/>
              </w:rPr>
            </w:pPr>
          </w:p>
        </w:tc>
        <w:tc>
          <w:tcPr>
            <w:tcW w:w="1180" w:type="dxa"/>
            <w:vAlign w:val="bottom"/>
            <w:tcBorders>
              <w:bottom w:val="single" w:sz="8" w:color="auto"/>
              <w:right w:val="single" w:sz="8" w:color="auto"/>
            </w:tcBorders>
          </w:tcPr>
          <w:p>
            <w:pPr>
              <w:spacing w:after="0"/>
              <w:rPr>
                <w:sz w:val="10"/>
                <w:szCs w:val="10"/>
                <w:color w:val="auto"/>
              </w:rPr>
            </w:pPr>
          </w:p>
        </w:tc>
        <w:tc>
          <w:tcPr>
            <w:tcW w:w="1420" w:type="dxa"/>
            <w:vAlign w:val="bottom"/>
            <w:tcBorders>
              <w:bottom w:val="single" w:sz="8" w:color="auto"/>
              <w:right w:val="single" w:sz="8" w:color="auto"/>
            </w:tcBorders>
          </w:tcPr>
          <w:p>
            <w:pPr>
              <w:spacing w:after="0"/>
              <w:rPr>
                <w:sz w:val="10"/>
                <w:szCs w:val="10"/>
                <w:color w:val="auto"/>
              </w:rPr>
            </w:pPr>
          </w:p>
        </w:tc>
        <w:tc>
          <w:tcPr>
            <w:tcW w:w="142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-4546600</wp:posOffset>
            </wp:positionV>
            <wp:extent cx="4699000" cy="185420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both"/>
        <w:ind w:left="820" w:right="620" w:firstLine="528"/>
        <w:spacing w:after="0" w:line="345" w:lineRule="auto"/>
        <w:rPr>
          <w:sz w:val="20"/>
          <w:szCs w:val="20"/>
          <w:color w:val="auto"/>
        </w:rPr>
      </w:pPr>
      <w:r>
        <w:rPr>
          <w:rFonts w:ascii="Calibri" w:cs="Calibri" w:eastAsia="Calibri" w:hAnsi="Calibri"/>
          <w:sz w:val="24"/>
          <w:szCs w:val="24"/>
          <w:color w:val="auto"/>
        </w:rPr>
        <w:t xml:space="preserve">Çalışmaya dahil edilen 30 hastanın hastalık yükü ve organ disfonksiyonları açısından Hemoglobin, lökosit, trombosit, ALT, AST, ALP, GGT, INR, Total bilirubin, direkt bilirubin, albümin ve triptaz düzeyleri değerlendirildi. Bu değerlendirmelerin sonuçları </w:t>
      </w:r>
      <w:r>
        <w:rPr>
          <w:rFonts w:ascii="Calibri" w:cs="Calibri" w:eastAsia="Calibri" w:hAnsi="Calibri"/>
          <w:sz w:val="24"/>
          <w:szCs w:val="24"/>
          <w:color w:val="auto"/>
        </w:rPr>
        <w:t>Tablo 4.7</w:t>
      </w:r>
      <w:r>
        <w:rPr>
          <w:rFonts w:ascii="Calibri" w:cs="Calibri" w:eastAsia="Calibri" w:hAnsi="Calibri"/>
          <w:sz w:val="24"/>
          <w:szCs w:val="24"/>
          <w:color w:val="auto"/>
        </w:rPr>
        <w:t>.’</w:t>
      </w:r>
      <w:r>
        <w:rPr>
          <w:rFonts w:ascii="Calibri" w:cs="Calibri" w:eastAsia="Calibri" w:hAnsi="Calibri"/>
          <w:sz w:val="24"/>
          <w:szCs w:val="24"/>
          <w:color w:val="auto"/>
        </w:rPr>
        <w:t>d</w:t>
      </w:r>
      <w:r>
        <w:rPr>
          <w:rFonts w:ascii="Calibri" w:cs="Calibri" w:eastAsia="Calibri" w:hAnsi="Calibri"/>
          <w:sz w:val="24"/>
          <w:szCs w:val="24"/>
          <w:color w:val="auto"/>
        </w:rPr>
        <w:t>e ifade edilmiş</w:t>
      </w:r>
      <w:r>
        <w:rPr>
          <w:rFonts w:ascii="Calibri" w:cs="Calibri" w:eastAsia="Calibri" w:hAnsi="Calibri"/>
          <w:sz w:val="24"/>
          <w:szCs w:val="24"/>
          <w:color w:val="auto"/>
        </w:rPr>
        <w:t>tir.</w:t>
      </w:r>
    </w:p>
    <w:p>
      <w:pPr>
        <w:sectPr>
          <w:pgSz w:w="11900" w:h="16838" w:orient="portrait"/>
          <w:cols w:equalWidth="0" w:num="1">
            <w:col w:w="9660"/>
          </w:cols>
          <w:pgMar w:left="1440" w:top="702" w:right="806" w:bottom="888" w:gutter="0" w:footer="0" w:header="0"/>
        </w:sectPr>
      </w:pPr>
    </w:p>
    <w:bookmarkStart w:id="47" w:name="page48"/>
    <w:bookmarkEnd w:id="47"/>
    <w:p>
      <w:pPr>
        <w:ind w:left="8820"/>
        <w:spacing w:after="0"/>
        <w:rPr>
          <w:sz w:val="20"/>
          <w:szCs w:val="20"/>
          <w:color w:val="auto"/>
        </w:rPr>
      </w:pPr>
      <w:r>
        <w:rPr>
          <w:rFonts w:ascii="Calibri" w:cs="Calibri" w:eastAsia="Calibri" w:hAnsi="Calibri"/>
          <w:sz w:val="22"/>
          <w:szCs w:val="22"/>
          <w:color w:val="auto"/>
        </w:rPr>
        <w:t>37</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spacing w:after="0" w:line="348" w:lineRule="auto"/>
        <w:rPr>
          <w:sz w:val="20"/>
          <w:szCs w:val="20"/>
          <w:color w:val="auto"/>
        </w:rPr>
      </w:pPr>
      <w:r>
        <w:rPr>
          <w:rFonts w:ascii="Times New Roman" w:cs="Times New Roman" w:eastAsia="Times New Roman" w:hAnsi="Times New Roman"/>
          <w:sz w:val="24"/>
          <w:szCs w:val="24"/>
          <w:b w:val="1"/>
          <w:bCs w:val="1"/>
          <w:color w:val="222222"/>
        </w:rPr>
        <w:t xml:space="preserve">Tablo 4.8. </w:t>
      </w:r>
      <w:r>
        <w:rPr>
          <w:rFonts w:ascii="Times New Roman" w:cs="Times New Roman" w:eastAsia="Times New Roman" w:hAnsi="Times New Roman"/>
          <w:sz w:val="24"/>
          <w:szCs w:val="24"/>
          <w:color w:val="222222"/>
        </w:rPr>
        <w:t>Sistemik</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mastositozda artan mediatör düzeyine bağlı gelişen</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semptom ve</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bulguların t</w:t>
      </w:r>
      <w:r>
        <w:rPr>
          <w:rFonts w:ascii="Times New Roman" w:cs="Times New Roman" w:eastAsia="Times New Roman" w:hAnsi="Times New Roman"/>
          <w:sz w:val="24"/>
          <w:szCs w:val="24"/>
          <w:color w:val="222222"/>
        </w:rPr>
        <w:t>edavisi</w:t>
      </w:r>
    </w:p>
    <w:p>
      <w:pPr>
        <w:spacing w:after="0" w:line="157" w:lineRule="exact"/>
        <w:rPr>
          <w:sz w:val="20"/>
          <w:szCs w:val="20"/>
          <w:color w:val="auto"/>
        </w:rPr>
      </w:pPr>
    </w:p>
    <w:tbl>
      <w:tblPr>
        <w:tblLayout w:type="fixed"/>
        <w:tblInd w:w="730" w:type="dxa"/>
        <w:tblCellMar>
          <w:top w:w="0" w:type="dxa"/>
          <w:left w:w="0" w:type="dxa"/>
          <w:bottom w:w="0" w:type="dxa"/>
          <w:right w:w="0" w:type="dxa"/>
        </w:tblCellMar>
      </w:tblPr>
      <w:tr>
        <w:trPr>
          <w:trHeight w:val="285"/>
        </w:trPr>
        <w:tc>
          <w:tcPr>
            <w:tcW w:w="1680" w:type="dxa"/>
            <w:vAlign w:val="bottom"/>
            <w:tcBorders>
              <w:top w:val="single" w:sz="8" w:color="auto"/>
              <w:left w:val="single" w:sz="8" w:color="auto"/>
              <w:right w:val="single" w:sz="8" w:color="auto"/>
            </w:tcBorders>
          </w:tcPr>
          <w:p>
            <w:pPr>
              <w:spacing w:after="0"/>
              <w:rPr>
                <w:sz w:val="24"/>
                <w:szCs w:val="24"/>
                <w:color w:val="auto"/>
              </w:rPr>
            </w:pPr>
          </w:p>
        </w:tc>
        <w:tc>
          <w:tcPr>
            <w:tcW w:w="124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İSM</w:t>
            </w:r>
          </w:p>
        </w:tc>
        <w:tc>
          <w:tcPr>
            <w:tcW w:w="118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SSM</w:t>
            </w:r>
          </w:p>
        </w:tc>
        <w:tc>
          <w:tcPr>
            <w:tcW w:w="14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ASM</w:t>
            </w:r>
          </w:p>
        </w:tc>
        <w:tc>
          <w:tcPr>
            <w:tcW w:w="110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SM-</w:t>
            </w:r>
          </w:p>
        </w:tc>
      </w:tr>
      <w:tr>
        <w:trPr>
          <w:trHeight w:val="413"/>
        </w:trPr>
        <w:tc>
          <w:tcPr>
            <w:tcW w:w="1680" w:type="dxa"/>
            <w:vAlign w:val="bottom"/>
            <w:tcBorders>
              <w:left w:val="single" w:sz="8" w:color="auto"/>
              <w:right w:val="single" w:sz="8" w:color="auto"/>
            </w:tcBorders>
          </w:tcPr>
          <w:p>
            <w:pPr>
              <w:spacing w:after="0"/>
              <w:rPr>
                <w:sz w:val="24"/>
                <w:szCs w:val="24"/>
                <w:color w:val="auto"/>
              </w:rPr>
            </w:pPr>
          </w:p>
        </w:tc>
        <w:tc>
          <w:tcPr>
            <w:tcW w:w="1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n:15(%50)</w:t>
            </w:r>
          </w:p>
        </w:tc>
        <w:tc>
          <w:tcPr>
            <w:tcW w:w="11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n:1(%3,3)</w:t>
            </w:r>
          </w:p>
        </w:tc>
        <w:tc>
          <w:tcPr>
            <w:tcW w:w="14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n:10(%33,4)</w:t>
            </w:r>
          </w:p>
        </w:tc>
        <w:tc>
          <w:tcPr>
            <w:tcW w:w="11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AHN</w:t>
            </w:r>
          </w:p>
        </w:tc>
      </w:tr>
      <w:tr>
        <w:trPr>
          <w:trHeight w:val="415"/>
        </w:trPr>
        <w:tc>
          <w:tcPr>
            <w:tcW w:w="1680" w:type="dxa"/>
            <w:vAlign w:val="bottom"/>
            <w:tcBorders>
              <w:left w:val="single" w:sz="8" w:color="auto"/>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1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n:4(13,3)</w:t>
            </w:r>
          </w:p>
        </w:tc>
      </w:tr>
      <w:tr>
        <w:trPr>
          <w:trHeight w:val="140"/>
        </w:trPr>
        <w:tc>
          <w:tcPr>
            <w:tcW w:w="1680" w:type="dxa"/>
            <w:vAlign w:val="bottom"/>
            <w:tcBorders>
              <w:left w:val="single" w:sz="8" w:color="auto"/>
              <w:bottom w:val="single" w:sz="8" w:color="auto"/>
              <w:right w:val="single" w:sz="8" w:color="auto"/>
            </w:tcBorders>
          </w:tcPr>
          <w:p>
            <w:pPr>
              <w:spacing w:after="0"/>
              <w:rPr>
                <w:sz w:val="12"/>
                <w:szCs w:val="12"/>
                <w:color w:val="auto"/>
              </w:rPr>
            </w:pPr>
          </w:p>
        </w:tc>
        <w:tc>
          <w:tcPr>
            <w:tcW w:w="124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100" w:type="dxa"/>
            <w:vAlign w:val="bottom"/>
            <w:tcBorders>
              <w:bottom w:val="single" w:sz="8" w:color="auto"/>
              <w:right w:val="single" w:sz="8" w:color="auto"/>
            </w:tcBorders>
          </w:tcPr>
          <w:p>
            <w:pPr>
              <w:spacing w:after="0"/>
              <w:rPr>
                <w:sz w:val="12"/>
                <w:szCs w:val="12"/>
                <w:color w:val="auto"/>
              </w:rPr>
            </w:pPr>
          </w:p>
        </w:tc>
      </w:tr>
      <w:tr>
        <w:trPr>
          <w:trHeight w:val="263"/>
        </w:trPr>
        <w:tc>
          <w:tcPr>
            <w:tcW w:w="16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Adrenalin</w:t>
            </w:r>
          </w:p>
        </w:tc>
        <w:tc>
          <w:tcPr>
            <w:tcW w:w="124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4</w:t>
            </w:r>
          </w:p>
        </w:tc>
        <w:tc>
          <w:tcPr>
            <w:tcW w:w="118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7</w:t>
            </w:r>
          </w:p>
        </w:tc>
        <w:tc>
          <w:tcPr>
            <w:tcW w:w="11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r>
      <w:tr>
        <w:trPr>
          <w:trHeight w:val="555"/>
        </w:trPr>
        <w:tc>
          <w:tcPr>
            <w:tcW w:w="1680" w:type="dxa"/>
            <w:vAlign w:val="bottom"/>
            <w:tcBorders>
              <w:left w:val="single" w:sz="8" w:color="auto"/>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right w:val="single" w:sz="8" w:color="auto"/>
            </w:tcBorders>
          </w:tcPr>
          <w:p>
            <w:pPr>
              <w:spacing w:after="0"/>
              <w:rPr>
                <w:sz w:val="24"/>
                <w:szCs w:val="24"/>
                <w:color w:val="auto"/>
              </w:rPr>
            </w:pPr>
          </w:p>
        </w:tc>
      </w:tr>
      <w:tr>
        <w:trPr>
          <w:trHeight w:val="263"/>
        </w:trPr>
        <w:tc>
          <w:tcPr>
            <w:tcW w:w="16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Antihistaminik</w:t>
            </w:r>
          </w:p>
        </w:tc>
        <w:tc>
          <w:tcPr>
            <w:tcW w:w="124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6</w:t>
            </w:r>
          </w:p>
        </w:tc>
        <w:tc>
          <w:tcPr>
            <w:tcW w:w="118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6</w:t>
            </w:r>
          </w:p>
        </w:tc>
        <w:tc>
          <w:tcPr>
            <w:tcW w:w="11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r>
      <w:tr>
        <w:trPr>
          <w:trHeight w:val="555"/>
        </w:trPr>
        <w:tc>
          <w:tcPr>
            <w:tcW w:w="1680" w:type="dxa"/>
            <w:vAlign w:val="bottom"/>
            <w:tcBorders>
              <w:left w:val="single" w:sz="8" w:color="auto"/>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right w:val="single" w:sz="8" w:color="auto"/>
            </w:tcBorders>
          </w:tcPr>
          <w:p>
            <w:pPr>
              <w:spacing w:after="0"/>
              <w:rPr>
                <w:sz w:val="24"/>
                <w:szCs w:val="24"/>
                <w:color w:val="auto"/>
              </w:rPr>
            </w:pPr>
          </w:p>
        </w:tc>
      </w:tr>
      <w:tr>
        <w:trPr>
          <w:trHeight w:val="263"/>
        </w:trPr>
        <w:tc>
          <w:tcPr>
            <w:tcW w:w="16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Antidepresan</w:t>
            </w:r>
          </w:p>
        </w:tc>
        <w:tc>
          <w:tcPr>
            <w:tcW w:w="124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w:t>
            </w:r>
          </w:p>
        </w:tc>
        <w:tc>
          <w:tcPr>
            <w:tcW w:w="118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w:t>
            </w:r>
          </w:p>
        </w:tc>
        <w:tc>
          <w:tcPr>
            <w:tcW w:w="11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r>
      <w:tr>
        <w:trPr>
          <w:trHeight w:val="555"/>
        </w:trPr>
        <w:tc>
          <w:tcPr>
            <w:tcW w:w="1680" w:type="dxa"/>
            <w:vAlign w:val="bottom"/>
            <w:tcBorders>
              <w:left w:val="single" w:sz="8" w:color="auto"/>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right w:val="single" w:sz="8" w:color="auto"/>
            </w:tcBorders>
          </w:tcPr>
          <w:p>
            <w:pPr>
              <w:spacing w:after="0"/>
              <w:rPr>
                <w:sz w:val="24"/>
                <w:szCs w:val="24"/>
                <w:color w:val="auto"/>
              </w:rPr>
            </w:pPr>
          </w:p>
        </w:tc>
      </w:tr>
      <w:tr>
        <w:trPr>
          <w:trHeight w:val="265"/>
        </w:trPr>
        <w:tc>
          <w:tcPr>
            <w:tcW w:w="1680" w:type="dxa"/>
            <w:vAlign w:val="bottom"/>
            <w:tcBorders>
              <w:left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Bisfosfonat</w:t>
            </w:r>
          </w:p>
        </w:tc>
        <w:tc>
          <w:tcPr>
            <w:tcW w:w="1240" w:type="dxa"/>
            <w:vAlign w:val="bottom"/>
            <w:tcBorders>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4"/>
                <w:szCs w:val="24"/>
                <w:color w:val="222222"/>
              </w:rPr>
              <w:t>4</w:t>
            </w:r>
          </w:p>
        </w:tc>
        <w:tc>
          <w:tcPr>
            <w:tcW w:w="1180" w:type="dxa"/>
            <w:vAlign w:val="bottom"/>
            <w:tcBorders>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4"/>
                <w:szCs w:val="24"/>
                <w:color w:val="222222"/>
              </w:rPr>
              <w:t>1</w:t>
            </w:r>
          </w:p>
        </w:tc>
        <w:tc>
          <w:tcPr>
            <w:tcW w:w="142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4</w:t>
            </w:r>
          </w:p>
        </w:tc>
        <w:tc>
          <w:tcPr>
            <w:tcW w:w="110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222222"/>
              </w:rPr>
              <w:t>-</w:t>
            </w:r>
          </w:p>
        </w:tc>
      </w:tr>
      <w:tr>
        <w:trPr>
          <w:trHeight w:val="555"/>
        </w:trPr>
        <w:tc>
          <w:tcPr>
            <w:tcW w:w="1680" w:type="dxa"/>
            <w:vAlign w:val="bottom"/>
            <w:tcBorders>
              <w:left w:val="single" w:sz="8" w:color="auto"/>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right w:val="single" w:sz="8" w:color="auto"/>
            </w:tcBorders>
          </w:tcPr>
          <w:p>
            <w:pPr>
              <w:spacing w:after="0"/>
              <w:rPr>
                <w:sz w:val="24"/>
                <w:szCs w:val="24"/>
                <w:color w:val="auto"/>
              </w:rPr>
            </w:pPr>
          </w:p>
        </w:tc>
      </w:tr>
      <w:tr>
        <w:trPr>
          <w:trHeight w:val="263"/>
        </w:trPr>
        <w:tc>
          <w:tcPr>
            <w:tcW w:w="16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Denosumab</w:t>
            </w:r>
          </w:p>
        </w:tc>
        <w:tc>
          <w:tcPr>
            <w:tcW w:w="124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w:t>
            </w:r>
          </w:p>
        </w:tc>
        <w:tc>
          <w:tcPr>
            <w:tcW w:w="118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1</w:t>
            </w:r>
          </w:p>
        </w:tc>
        <w:tc>
          <w:tcPr>
            <w:tcW w:w="11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r>
      <w:tr>
        <w:trPr>
          <w:trHeight w:val="555"/>
        </w:trPr>
        <w:tc>
          <w:tcPr>
            <w:tcW w:w="1680" w:type="dxa"/>
            <w:vAlign w:val="bottom"/>
            <w:tcBorders>
              <w:left w:val="single" w:sz="8" w:color="auto"/>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right w:val="single" w:sz="8" w:color="auto"/>
            </w:tcBorders>
          </w:tcPr>
          <w:p>
            <w:pPr>
              <w:spacing w:after="0"/>
              <w:rPr>
                <w:sz w:val="24"/>
                <w:szCs w:val="24"/>
                <w:color w:val="auto"/>
              </w:rPr>
            </w:pPr>
          </w:p>
        </w:tc>
      </w:tr>
      <w:tr>
        <w:trPr>
          <w:trHeight w:val="263"/>
        </w:trPr>
        <w:tc>
          <w:tcPr>
            <w:tcW w:w="16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PUVA</w:t>
            </w:r>
          </w:p>
        </w:tc>
        <w:tc>
          <w:tcPr>
            <w:tcW w:w="124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w:t>
            </w:r>
          </w:p>
        </w:tc>
        <w:tc>
          <w:tcPr>
            <w:tcW w:w="118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1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r>
      <w:tr>
        <w:trPr>
          <w:trHeight w:val="555"/>
        </w:trPr>
        <w:tc>
          <w:tcPr>
            <w:tcW w:w="1680" w:type="dxa"/>
            <w:vAlign w:val="bottom"/>
            <w:tcBorders>
              <w:left w:val="single" w:sz="8" w:color="auto"/>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-1943100</wp:posOffset>
            </wp:positionV>
            <wp:extent cx="4699000" cy="18542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2" w:lineRule="exact"/>
        <w:rPr>
          <w:sz w:val="20"/>
          <w:szCs w:val="20"/>
          <w:color w:val="auto"/>
        </w:rPr>
      </w:pPr>
    </w:p>
    <w:p>
      <w:pPr>
        <w:jc w:val="both"/>
        <w:ind w:left="820" w:right="20" w:firstLine="917"/>
        <w:spacing w:after="0" w:line="350" w:lineRule="auto"/>
        <w:rPr>
          <w:sz w:val="20"/>
          <w:szCs w:val="20"/>
          <w:color w:val="auto"/>
        </w:rPr>
      </w:pPr>
      <w:r>
        <w:rPr>
          <w:rFonts w:ascii="Times New Roman" w:cs="Times New Roman" w:eastAsia="Times New Roman" w:hAnsi="Times New Roman"/>
          <w:sz w:val="24"/>
          <w:szCs w:val="24"/>
          <w:color w:val="222222"/>
        </w:rPr>
        <w:t xml:space="preserve">SM </w:t>
      </w:r>
      <w:r>
        <w:rPr>
          <w:rFonts w:ascii="Times New Roman" w:cs="Times New Roman" w:eastAsia="Times New Roman" w:hAnsi="Times New Roman"/>
          <w:sz w:val="24"/>
          <w:szCs w:val="24"/>
          <w:color w:val="222222"/>
        </w:rPr>
        <w:t>tanısı alan hastalarda mediatör aracılı etkiler sonucu gelişen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semptomlar ve bulgular için ek ilaç kullanımı tüm alt türler için önerilmektedir.</w:t>
      </w:r>
    </w:p>
    <w:p>
      <w:pPr>
        <w:spacing w:after="0" w:line="23" w:lineRule="exact"/>
        <w:rPr>
          <w:sz w:val="20"/>
          <w:szCs w:val="20"/>
          <w:color w:val="auto"/>
        </w:rPr>
      </w:pPr>
    </w:p>
    <w:p>
      <w:pPr>
        <w:jc w:val="both"/>
        <w:ind w:left="820" w:firstLine="917"/>
        <w:spacing w:after="0" w:line="359" w:lineRule="auto"/>
        <w:rPr>
          <w:sz w:val="20"/>
          <w:szCs w:val="20"/>
          <w:color w:val="auto"/>
        </w:rPr>
      </w:pPr>
      <w:r>
        <w:rPr>
          <w:rFonts w:ascii="Times New Roman" w:cs="Times New Roman" w:eastAsia="Times New Roman" w:hAnsi="Times New Roman"/>
          <w:sz w:val="24"/>
          <w:szCs w:val="24"/>
          <w:color w:val="222222"/>
        </w:rPr>
        <w:t xml:space="preserve">Adrenalinin toplamda 12 hastaya reçete edildiği görüldü ve bu hastaların </w:t>
      </w:r>
      <w:r>
        <w:rPr>
          <w:rFonts w:ascii="Times New Roman" w:cs="Times New Roman" w:eastAsia="Times New Roman" w:hAnsi="Times New Roman"/>
          <w:sz w:val="24"/>
          <w:szCs w:val="24"/>
          <w:color w:val="222222"/>
        </w:rPr>
        <w:t>7</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tanesinin ASM, 4 tanesinin </w:t>
      </w:r>
      <w:r>
        <w:rPr>
          <w:rFonts w:ascii="Times New Roman" w:cs="Times New Roman" w:eastAsia="Times New Roman" w:hAnsi="Times New Roman"/>
          <w:sz w:val="24"/>
          <w:szCs w:val="24"/>
          <w:color w:val="222222"/>
        </w:rPr>
        <w:t>İSM ve bir tanesi</w:t>
      </w:r>
      <w:r>
        <w:rPr>
          <w:rFonts w:ascii="Times New Roman" w:cs="Times New Roman" w:eastAsia="Times New Roman" w:hAnsi="Times New Roman"/>
          <w:sz w:val="24"/>
          <w:szCs w:val="24"/>
          <w:color w:val="222222"/>
        </w:rPr>
        <w:t xml:space="preserve">nin </w:t>
      </w:r>
      <w:r>
        <w:rPr>
          <w:rFonts w:ascii="Times New Roman" w:cs="Times New Roman" w:eastAsia="Times New Roman" w:hAnsi="Times New Roman"/>
          <w:sz w:val="24"/>
          <w:szCs w:val="24"/>
          <w:color w:val="222222"/>
        </w:rPr>
        <w:t>SSM ile takipli olduğu saptandı.</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Antihistaminiklerin toplamda 13 hasta tarafından kullanıldığı saptandı ve bu hastaların </w:t>
      </w:r>
      <w:r>
        <w:rPr>
          <w:rFonts w:ascii="Times New Roman" w:cs="Times New Roman" w:eastAsia="Times New Roman" w:hAnsi="Times New Roman"/>
          <w:sz w:val="24"/>
          <w:szCs w:val="24"/>
          <w:color w:val="222222"/>
        </w:rPr>
        <w:t>6 tanesi ASM, bir tanesi SSM ve 6</w:t>
      </w:r>
      <w:r>
        <w:rPr>
          <w:rFonts w:ascii="Times New Roman" w:cs="Times New Roman" w:eastAsia="Times New Roman" w:hAnsi="Times New Roman"/>
          <w:sz w:val="24"/>
          <w:szCs w:val="24"/>
          <w:color w:val="222222"/>
        </w:rPr>
        <w:t xml:space="preserve"> tanesi İSM ile takipliydi. Antidepresan ilaçları sadece iki hastanın kullandığı </w:t>
      </w:r>
      <w:r>
        <w:rPr>
          <w:rFonts w:ascii="Times New Roman" w:cs="Times New Roman" w:eastAsia="Times New Roman" w:hAnsi="Times New Roman"/>
          <w:sz w:val="24"/>
          <w:szCs w:val="24"/>
          <w:color w:val="222222"/>
        </w:rPr>
        <w:t>görüldü ve</w:t>
      </w:r>
      <w:r>
        <w:rPr>
          <w:rFonts w:ascii="Times New Roman" w:cs="Times New Roman" w:eastAsia="Times New Roman" w:hAnsi="Times New Roman"/>
          <w:sz w:val="24"/>
          <w:szCs w:val="24"/>
          <w:color w:val="222222"/>
        </w:rPr>
        <w:t xml:space="preserve"> kullanan hastaların bir tanesi İSMbir tanesi de ASM tanısı ile takipliydi. Bisfosfonatları toplam 9 hasta kullanıyordu ve bu hastaların </w:t>
      </w:r>
      <w:r>
        <w:rPr>
          <w:rFonts w:ascii="Times New Roman" w:cs="Times New Roman" w:eastAsia="Times New Roman" w:hAnsi="Times New Roman"/>
          <w:sz w:val="24"/>
          <w:szCs w:val="24"/>
          <w:color w:val="222222"/>
        </w:rPr>
        <w:t>dört</w:t>
      </w:r>
      <w:r>
        <w:rPr>
          <w:rFonts w:ascii="Times New Roman" w:cs="Times New Roman" w:eastAsia="Times New Roman" w:hAnsi="Times New Roman"/>
          <w:sz w:val="24"/>
          <w:szCs w:val="24"/>
          <w:color w:val="222222"/>
        </w:rPr>
        <w:t xml:space="preserve"> tanesi İSM, bir tanesi SSM ve </w:t>
      </w:r>
      <w:r>
        <w:rPr>
          <w:rFonts w:ascii="Times New Roman" w:cs="Times New Roman" w:eastAsia="Times New Roman" w:hAnsi="Times New Roman"/>
          <w:sz w:val="24"/>
          <w:szCs w:val="24"/>
          <w:color w:val="222222"/>
        </w:rPr>
        <w:t>dört tanesi ASM ile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takipliydi. Denosumab toplamda iki </w:t>
      </w:r>
      <w:r>
        <w:rPr>
          <w:rFonts w:ascii="Times New Roman" w:cs="Times New Roman" w:eastAsia="Times New Roman" w:hAnsi="Times New Roman"/>
          <w:sz w:val="24"/>
          <w:szCs w:val="24"/>
          <w:color w:val="222222"/>
        </w:rPr>
        <w:t>hasta tarafından kullanılıyordu. Bu hastalardan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bir tanesi ASM, bir tanesi İSM nedeniyle takipliydi. ASM nedeniyle takipli olan ve denosumab tedavisi alan hastanın daha önceden bisfosfonat kullanım öyküsü mevcuttu. PUVA’nın ise sadece bir adet İSM hastasına hastasına uygulandığı </w:t>
      </w:r>
      <w:r>
        <w:rPr>
          <w:rFonts w:ascii="Times New Roman" w:cs="Times New Roman" w:eastAsia="Times New Roman" w:hAnsi="Times New Roman"/>
          <w:sz w:val="24"/>
          <w:szCs w:val="24"/>
          <w:color w:val="222222"/>
        </w:rPr>
        <w:t>görüldü.</w:t>
      </w:r>
    </w:p>
    <w:p>
      <w:pPr>
        <w:sectPr>
          <w:pgSz w:w="11900" w:h="16838" w:orient="portrait"/>
          <w:cols w:equalWidth="0" w:num="1">
            <w:col w:w="9060"/>
          </w:cols>
          <w:pgMar w:left="1440" w:top="702" w:right="1406" w:bottom="1090" w:gutter="0" w:footer="0" w:header="0"/>
        </w:sectPr>
      </w:pPr>
    </w:p>
    <w:bookmarkStart w:id="48" w:name="page49"/>
    <w:bookmarkEnd w:id="48"/>
    <w:p>
      <w:pPr>
        <w:ind w:left="8820"/>
        <w:spacing w:after="0"/>
        <w:rPr>
          <w:sz w:val="20"/>
          <w:szCs w:val="20"/>
          <w:color w:val="auto"/>
        </w:rPr>
      </w:pPr>
      <w:r>
        <w:rPr>
          <w:rFonts w:ascii="Calibri" w:cs="Calibri" w:eastAsia="Calibri" w:hAnsi="Calibri"/>
          <w:sz w:val="22"/>
          <w:szCs w:val="22"/>
          <w:color w:val="auto"/>
        </w:rPr>
        <w:t>38</w:t>
      </w: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222222"/>
        </w:rPr>
        <w:t xml:space="preserve">Tablo 4.9. </w:t>
      </w:r>
      <w:r>
        <w:rPr>
          <w:rFonts w:ascii="Times New Roman" w:cs="Times New Roman" w:eastAsia="Times New Roman" w:hAnsi="Times New Roman"/>
          <w:sz w:val="24"/>
          <w:szCs w:val="24"/>
          <w:color w:val="222222"/>
        </w:rPr>
        <w:t>Sitoredüktif ve hedefe yönelik tedaviler</w:t>
      </w:r>
    </w:p>
    <w:p>
      <w:pPr>
        <w:spacing w:after="0" w:line="280" w:lineRule="exact"/>
        <w:rPr>
          <w:sz w:val="20"/>
          <w:szCs w:val="20"/>
          <w:color w:val="auto"/>
        </w:rPr>
      </w:pPr>
    </w:p>
    <w:tbl>
      <w:tblPr>
        <w:tblLayout w:type="fixed"/>
        <w:tblInd w:w="730" w:type="dxa"/>
        <w:tblCellMar>
          <w:top w:w="0" w:type="dxa"/>
          <w:left w:w="0" w:type="dxa"/>
          <w:bottom w:w="0" w:type="dxa"/>
          <w:right w:w="0" w:type="dxa"/>
        </w:tblCellMar>
      </w:tblPr>
      <w:tr>
        <w:trPr>
          <w:trHeight w:val="283"/>
        </w:trPr>
        <w:tc>
          <w:tcPr>
            <w:tcW w:w="1540" w:type="dxa"/>
            <w:vAlign w:val="bottom"/>
            <w:tcBorders>
              <w:top w:val="single" w:sz="8" w:color="auto"/>
              <w:left w:val="single" w:sz="8" w:color="auto"/>
              <w:right w:val="single" w:sz="8" w:color="auto"/>
            </w:tcBorders>
          </w:tcPr>
          <w:p>
            <w:pPr>
              <w:spacing w:after="0"/>
              <w:rPr>
                <w:sz w:val="24"/>
                <w:szCs w:val="24"/>
                <w:color w:val="auto"/>
              </w:rPr>
            </w:pPr>
          </w:p>
        </w:tc>
        <w:tc>
          <w:tcPr>
            <w:tcW w:w="208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Toplam</w:t>
            </w:r>
          </w:p>
        </w:tc>
        <w:tc>
          <w:tcPr>
            <w:tcW w:w="138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İSM</w:t>
            </w:r>
          </w:p>
        </w:tc>
        <w:tc>
          <w:tcPr>
            <w:tcW w:w="118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SSM</w:t>
            </w:r>
          </w:p>
        </w:tc>
        <w:tc>
          <w:tcPr>
            <w:tcW w:w="14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ASM</w:t>
            </w:r>
          </w:p>
        </w:tc>
        <w:tc>
          <w:tcPr>
            <w:tcW w:w="120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SM-</w:t>
            </w:r>
          </w:p>
        </w:tc>
      </w:tr>
      <w:tr>
        <w:trPr>
          <w:trHeight w:val="415"/>
        </w:trPr>
        <w:tc>
          <w:tcPr>
            <w:tcW w:w="1540" w:type="dxa"/>
            <w:vAlign w:val="bottom"/>
            <w:tcBorders>
              <w:left w:val="single" w:sz="8" w:color="auto"/>
              <w:right w:val="single" w:sz="8" w:color="auto"/>
            </w:tcBorders>
          </w:tcPr>
          <w:p>
            <w:pPr>
              <w:spacing w:after="0"/>
              <w:rPr>
                <w:sz w:val="24"/>
                <w:szCs w:val="24"/>
                <w:color w:val="auto"/>
              </w:rPr>
            </w:pPr>
          </w:p>
        </w:tc>
        <w:tc>
          <w:tcPr>
            <w:tcW w:w="20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n:30</w:t>
            </w:r>
          </w:p>
        </w:tc>
        <w:tc>
          <w:tcPr>
            <w:tcW w:w="13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n:15(%50)</w:t>
            </w:r>
          </w:p>
        </w:tc>
        <w:tc>
          <w:tcPr>
            <w:tcW w:w="11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n:1(%3,3)</w:t>
            </w:r>
          </w:p>
        </w:tc>
        <w:tc>
          <w:tcPr>
            <w:tcW w:w="14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n:10(%33,4)</w:t>
            </w:r>
          </w:p>
        </w:tc>
        <w:tc>
          <w:tcPr>
            <w:tcW w:w="12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AHN</w:t>
            </w:r>
          </w:p>
        </w:tc>
      </w:tr>
      <w:tr>
        <w:trPr>
          <w:trHeight w:val="413"/>
        </w:trPr>
        <w:tc>
          <w:tcPr>
            <w:tcW w:w="1540" w:type="dxa"/>
            <w:vAlign w:val="bottom"/>
            <w:tcBorders>
              <w:left w:val="single" w:sz="8" w:color="auto"/>
              <w:right w:val="single" w:sz="8" w:color="auto"/>
            </w:tcBorders>
          </w:tcPr>
          <w:p>
            <w:pPr>
              <w:spacing w:after="0"/>
              <w:rPr>
                <w:sz w:val="24"/>
                <w:szCs w:val="24"/>
                <w:color w:val="auto"/>
              </w:rPr>
            </w:pPr>
          </w:p>
        </w:tc>
        <w:tc>
          <w:tcPr>
            <w:tcW w:w="208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n:4(13,3)</w:t>
            </w:r>
          </w:p>
        </w:tc>
      </w:tr>
      <w:tr>
        <w:trPr>
          <w:trHeight w:val="142"/>
        </w:trPr>
        <w:tc>
          <w:tcPr>
            <w:tcW w:w="1540" w:type="dxa"/>
            <w:vAlign w:val="bottom"/>
            <w:tcBorders>
              <w:left w:val="single" w:sz="8" w:color="auto"/>
              <w:bottom w:val="single" w:sz="8" w:color="auto"/>
              <w:right w:val="single" w:sz="8" w:color="auto"/>
            </w:tcBorders>
          </w:tcPr>
          <w:p>
            <w:pPr>
              <w:spacing w:after="0"/>
              <w:rPr>
                <w:sz w:val="12"/>
                <w:szCs w:val="12"/>
                <w:color w:val="auto"/>
              </w:rPr>
            </w:pPr>
          </w:p>
        </w:tc>
        <w:tc>
          <w:tcPr>
            <w:tcW w:w="208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200" w:type="dxa"/>
            <w:vAlign w:val="bottom"/>
            <w:tcBorders>
              <w:bottom w:val="single" w:sz="8" w:color="auto"/>
              <w:right w:val="single" w:sz="8" w:color="auto"/>
            </w:tcBorders>
          </w:tcPr>
          <w:p>
            <w:pPr>
              <w:spacing w:after="0"/>
              <w:rPr>
                <w:sz w:val="12"/>
                <w:szCs w:val="12"/>
                <w:color w:val="auto"/>
              </w:rPr>
            </w:pPr>
          </w:p>
        </w:tc>
      </w:tr>
      <w:tr>
        <w:trPr>
          <w:trHeight w:val="263"/>
        </w:trPr>
        <w:tc>
          <w:tcPr>
            <w:tcW w:w="154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Kladribin</w:t>
            </w:r>
          </w:p>
        </w:tc>
        <w:tc>
          <w:tcPr>
            <w:tcW w:w="20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25</w:t>
            </w:r>
            <w:r>
              <w:rPr>
                <w:rFonts w:ascii="Times New Roman" w:cs="Times New Roman" w:eastAsia="Times New Roman" w:hAnsi="Times New Roman"/>
                <w:sz w:val="24"/>
                <w:szCs w:val="24"/>
                <w:color w:val="222222"/>
              </w:rPr>
              <w:t>(değerlendirilen)</w:t>
            </w:r>
          </w:p>
        </w:tc>
        <w:tc>
          <w:tcPr>
            <w:tcW w:w="138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18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7</w:t>
            </w:r>
          </w:p>
        </w:tc>
        <w:tc>
          <w:tcPr>
            <w:tcW w:w="12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r>
      <w:tr>
        <w:trPr>
          <w:trHeight w:val="413"/>
        </w:trPr>
        <w:tc>
          <w:tcPr>
            <w:tcW w:w="1540" w:type="dxa"/>
            <w:vAlign w:val="bottom"/>
            <w:tcBorders>
              <w:left w:val="single" w:sz="8" w:color="auto"/>
              <w:right w:val="single" w:sz="8" w:color="auto"/>
            </w:tcBorders>
          </w:tcPr>
          <w:p>
            <w:pPr>
              <w:spacing w:after="0"/>
              <w:rPr>
                <w:sz w:val="24"/>
                <w:szCs w:val="24"/>
                <w:color w:val="auto"/>
              </w:rPr>
            </w:pPr>
          </w:p>
        </w:tc>
        <w:tc>
          <w:tcPr>
            <w:tcW w:w="20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1(%4)</w:t>
            </w:r>
          </w:p>
        </w:tc>
        <w:tc>
          <w:tcPr>
            <w:tcW w:w="138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1(%14,3)</w:t>
            </w:r>
          </w:p>
        </w:tc>
        <w:tc>
          <w:tcPr>
            <w:tcW w:w="1200" w:type="dxa"/>
            <w:vAlign w:val="bottom"/>
            <w:tcBorders>
              <w:right w:val="single" w:sz="8" w:color="auto"/>
            </w:tcBorders>
          </w:tcPr>
          <w:p>
            <w:pPr>
              <w:spacing w:after="0"/>
              <w:rPr>
                <w:sz w:val="24"/>
                <w:szCs w:val="24"/>
                <w:color w:val="auto"/>
              </w:rPr>
            </w:pPr>
          </w:p>
        </w:tc>
      </w:tr>
      <w:tr>
        <w:trPr>
          <w:trHeight w:val="142"/>
        </w:trPr>
        <w:tc>
          <w:tcPr>
            <w:tcW w:w="1540" w:type="dxa"/>
            <w:vAlign w:val="bottom"/>
            <w:tcBorders>
              <w:left w:val="single" w:sz="8" w:color="auto"/>
              <w:bottom w:val="single" w:sz="8" w:color="auto"/>
              <w:right w:val="single" w:sz="8" w:color="auto"/>
            </w:tcBorders>
          </w:tcPr>
          <w:p>
            <w:pPr>
              <w:spacing w:after="0"/>
              <w:rPr>
                <w:sz w:val="12"/>
                <w:szCs w:val="12"/>
                <w:color w:val="auto"/>
              </w:rPr>
            </w:pPr>
          </w:p>
        </w:tc>
        <w:tc>
          <w:tcPr>
            <w:tcW w:w="208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200" w:type="dxa"/>
            <w:vAlign w:val="bottom"/>
            <w:tcBorders>
              <w:bottom w:val="single" w:sz="8" w:color="auto"/>
              <w:right w:val="single" w:sz="8" w:color="auto"/>
            </w:tcBorders>
          </w:tcPr>
          <w:p>
            <w:pPr>
              <w:spacing w:after="0"/>
              <w:rPr>
                <w:sz w:val="12"/>
                <w:szCs w:val="12"/>
                <w:color w:val="auto"/>
              </w:rPr>
            </w:pPr>
          </w:p>
        </w:tc>
      </w:tr>
      <w:tr>
        <w:trPr>
          <w:trHeight w:val="263"/>
        </w:trPr>
        <w:tc>
          <w:tcPr>
            <w:tcW w:w="154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İmatinib</w:t>
            </w:r>
          </w:p>
        </w:tc>
        <w:tc>
          <w:tcPr>
            <w:tcW w:w="20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25(değerlendirilen)</w:t>
            </w:r>
          </w:p>
        </w:tc>
        <w:tc>
          <w:tcPr>
            <w:tcW w:w="138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18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7</w:t>
            </w:r>
          </w:p>
        </w:tc>
        <w:tc>
          <w:tcPr>
            <w:tcW w:w="12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r>
      <w:tr>
        <w:trPr>
          <w:trHeight w:val="413"/>
        </w:trPr>
        <w:tc>
          <w:tcPr>
            <w:tcW w:w="1540" w:type="dxa"/>
            <w:vAlign w:val="bottom"/>
            <w:tcBorders>
              <w:left w:val="single" w:sz="8" w:color="auto"/>
              <w:right w:val="single" w:sz="8" w:color="auto"/>
            </w:tcBorders>
          </w:tcPr>
          <w:p>
            <w:pPr>
              <w:spacing w:after="0"/>
              <w:rPr>
                <w:sz w:val="24"/>
                <w:szCs w:val="24"/>
                <w:color w:val="auto"/>
              </w:rPr>
            </w:pPr>
          </w:p>
        </w:tc>
        <w:tc>
          <w:tcPr>
            <w:tcW w:w="20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1(%4)</w:t>
            </w:r>
          </w:p>
        </w:tc>
        <w:tc>
          <w:tcPr>
            <w:tcW w:w="138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1(%14,3)</w:t>
            </w:r>
          </w:p>
        </w:tc>
        <w:tc>
          <w:tcPr>
            <w:tcW w:w="1200" w:type="dxa"/>
            <w:vAlign w:val="bottom"/>
            <w:tcBorders>
              <w:right w:val="single" w:sz="8" w:color="auto"/>
            </w:tcBorders>
          </w:tcPr>
          <w:p>
            <w:pPr>
              <w:spacing w:after="0"/>
              <w:rPr>
                <w:sz w:val="24"/>
                <w:szCs w:val="24"/>
                <w:color w:val="auto"/>
              </w:rPr>
            </w:pPr>
          </w:p>
        </w:tc>
      </w:tr>
      <w:tr>
        <w:trPr>
          <w:trHeight w:val="142"/>
        </w:trPr>
        <w:tc>
          <w:tcPr>
            <w:tcW w:w="1540" w:type="dxa"/>
            <w:vAlign w:val="bottom"/>
            <w:tcBorders>
              <w:left w:val="single" w:sz="8" w:color="auto"/>
              <w:bottom w:val="single" w:sz="8" w:color="auto"/>
              <w:right w:val="single" w:sz="8" w:color="auto"/>
            </w:tcBorders>
          </w:tcPr>
          <w:p>
            <w:pPr>
              <w:spacing w:after="0"/>
              <w:rPr>
                <w:sz w:val="12"/>
                <w:szCs w:val="12"/>
                <w:color w:val="auto"/>
              </w:rPr>
            </w:pPr>
          </w:p>
        </w:tc>
        <w:tc>
          <w:tcPr>
            <w:tcW w:w="208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200" w:type="dxa"/>
            <w:vAlign w:val="bottom"/>
            <w:tcBorders>
              <w:bottom w:val="single" w:sz="8" w:color="auto"/>
              <w:right w:val="single" w:sz="8" w:color="auto"/>
            </w:tcBorders>
          </w:tcPr>
          <w:p>
            <w:pPr>
              <w:spacing w:after="0"/>
              <w:rPr>
                <w:sz w:val="12"/>
                <w:szCs w:val="12"/>
                <w:color w:val="auto"/>
              </w:rPr>
            </w:pPr>
          </w:p>
        </w:tc>
      </w:tr>
      <w:tr>
        <w:trPr>
          <w:trHeight w:val="263"/>
        </w:trPr>
        <w:tc>
          <w:tcPr>
            <w:tcW w:w="1540" w:type="dxa"/>
            <w:vAlign w:val="bottom"/>
            <w:tcBorders>
              <w:left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Midostaurin</w:t>
            </w:r>
          </w:p>
        </w:tc>
        <w:tc>
          <w:tcPr>
            <w:tcW w:w="208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25</w:t>
            </w:r>
            <w:r>
              <w:rPr>
                <w:rFonts w:ascii="Times New Roman" w:cs="Times New Roman" w:eastAsia="Times New Roman" w:hAnsi="Times New Roman"/>
                <w:sz w:val="24"/>
                <w:szCs w:val="24"/>
                <w:color w:val="222222"/>
              </w:rPr>
              <w:t>(değerlendirilen)</w:t>
            </w:r>
          </w:p>
        </w:tc>
        <w:tc>
          <w:tcPr>
            <w:tcW w:w="1380" w:type="dxa"/>
            <w:vAlign w:val="bottom"/>
            <w:tcBorders>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222222"/>
              </w:rPr>
              <w:t>-</w:t>
            </w:r>
          </w:p>
        </w:tc>
        <w:tc>
          <w:tcPr>
            <w:tcW w:w="1180" w:type="dxa"/>
            <w:vAlign w:val="bottom"/>
            <w:tcBorders>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222222"/>
              </w:rPr>
              <w:t>-</w:t>
            </w:r>
          </w:p>
        </w:tc>
        <w:tc>
          <w:tcPr>
            <w:tcW w:w="142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7</w:t>
            </w:r>
          </w:p>
        </w:tc>
        <w:tc>
          <w:tcPr>
            <w:tcW w:w="120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222222"/>
              </w:rPr>
              <w:t>-</w:t>
            </w:r>
          </w:p>
        </w:tc>
      </w:tr>
      <w:tr>
        <w:trPr>
          <w:trHeight w:val="413"/>
        </w:trPr>
        <w:tc>
          <w:tcPr>
            <w:tcW w:w="1540" w:type="dxa"/>
            <w:vAlign w:val="bottom"/>
            <w:tcBorders>
              <w:left w:val="single" w:sz="8" w:color="auto"/>
              <w:right w:val="single" w:sz="8" w:color="auto"/>
            </w:tcBorders>
          </w:tcPr>
          <w:p>
            <w:pPr>
              <w:spacing w:after="0"/>
              <w:rPr>
                <w:sz w:val="24"/>
                <w:szCs w:val="24"/>
                <w:color w:val="auto"/>
              </w:rPr>
            </w:pPr>
          </w:p>
        </w:tc>
        <w:tc>
          <w:tcPr>
            <w:tcW w:w="20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3(%12)</w:t>
            </w:r>
          </w:p>
        </w:tc>
        <w:tc>
          <w:tcPr>
            <w:tcW w:w="138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3(%42,85)</w:t>
            </w:r>
          </w:p>
        </w:tc>
        <w:tc>
          <w:tcPr>
            <w:tcW w:w="1200" w:type="dxa"/>
            <w:vAlign w:val="bottom"/>
            <w:tcBorders>
              <w:right w:val="single" w:sz="8" w:color="auto"/>
            </w:tcBorders>
          </w:tcPr>
          <w:p>
            <w:pPr>
              <w:spacing w:after="0"/>
              <w:rPr>
                <w:sz w:val="24"/>
                <w:szCs w:val="24"/>
                <w:color w:val="auto"/>
              </w:rPr>
            </w:pPr>
          </w:p>
        </w:tc>
      </w:tr>
      <w:tr>
        <w:trPr>
          <w:trHeight w:val="142"/>
        </w:trPr>
        <w:tc>
          <w:tcPr>
            <w:tcW w:w="1540" w:type="dxa"/>
            <w:vAlign w:val="bottom"/>
            <w:tcBorders>
              <w:left w:val="single" w:sz="8" w:color="auto"/>
              <w:bottom w:val="single" w:sz="8" w:color="auto"/>
              <w:right w:val="single" w:sz="8" w:color="auto"/>
            </w:tcBorders>
          </w:tcPr>
          <w:p>
            <w:pPr>
              <w:spacing w:after="0"/>
              <w:rPr>
                <w:sz w:val="12"/>
                <w:szCs w:val="12"/>
                <w:color w:val="auto"/>
              </w:rPr>
            </w:pPr>
          </w:p>
        </w:tc>
        <w:tc>
          <w:tcPr>
            <w:tcW w:w="208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200" w:type="dxa"/>
            <w:vAlign w:val="bottom"/>
            <w:tcBorders>
              <w:bottom w:val="single" w:sz="8" w:color="auto"/>
              <w:right w:val="single" w:sz="8" w:color="auto"/>
            </w:tcBorders>
          </w:tcPr>
          <w:p>
            <w:pPr>
              <w:spacing w:after="0"/>
              <w:rPr>
                <w:sz w:val="12"/>
                <w:szCs w:val="12"/>
                <w:color w:val="auto"/>
              </w:rPr>
            </w:pPr>
          </w:p>
        </w:tc>
      </w:tr>
      <w:tr>
        <w:trPr>
          <w:trHeight w:val="263"/>
        </w:trPr>
        <w:tc>
          <w:tcPr>
            <w:tcW w:w="154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IFN alfa</w:t>
            </w:r>
          </w:p>
        </w:tc>
        <w:tc>
          <w:tcPr>
            <w:tcW w:w="208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25(değerlendirilen)</w:t>
            </w:r>
          </w:p>
        </w:tc>
        <w:tc>
          <w:tcPr>
            <w:tcW w:w="138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222222"/>
              </w:rPr>
              <w:t>13</w:t>
            </w:r>
          </w:p>
        </w:tc>
        <w:tc>
          <w:tcPr>
            <w:tcW w:w="1180" w:type="dxa"/>
            <w:vAlign w:val="bottom"/>
            <w:tcBorders>
              <w:right w:val="single" w:sz="8" w:color="auto"/>
            </w:tcBorders>
          </w:tcPr>
          <w:p>
            <w:pPr>
              <w:spacing w:after="0"/>
              <w:rPr>
                <w:sz w:val="22"/>
                <w:szCs w:val="22"/>
                <w:color w:val="auto"/>
              </w:rPr>
            </w:pPr>
          </w:p>
        </w:tc>
        <w:tc>
          <w:tcPr>
            <w:tcW w:w="14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7</w:t>
            </w:r>
          </w:p>
        </w:tc>
        <w:tc>
          <w:tcPr>
            <w:tcW w:w="12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222222"/>
              </w:rPr>
              <w:t>-</w:t>
            </w:r>
          </w:p>
        </w:tc>
      </w:tr>
      <w:tr>
        <w:trPr>
          <w:trHeight w:val="415"/>
        </w:trPr>
        <w:tc>
          <w:tcPr>
            <w:tcW w:w="1540" w:type="dxa"/>
            <w:vAlign w:val="bottom"/>
            <w:tcBorders>
              <w:left w:val="single" w:sz="8" w:color="auto"/>
              <w:right w:val="single" w:sz="8" w:color="auto"/>
            </w:tcBorders>
          </w:tcPr>
          <w:p>
            <w:pPr>
              <w:spacing w:after="0"/>
              <w:rPr>
                <w:sz w:val="24"/>
                <w:szCs w:val="24"/>
                <w:color w:val="auto"/>
              </w:rPr>
            </w:pPr>
          </w:p>
        </w:tc>
        <w:tc>
          <w:tcPr>
            <w:tcW w:w="20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9(%36)</w:t>
            </w:r>
          </w:p>
        </w:tc>
        <w:tc>
          <w:tcPr>
            <w:tcW w:w="13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222222"/>
              </w:rPr>
              <w:t>4(%30,7)</w:t>
            </w:r>
          </w:p>
        </w:tc>
        <w:tc>
          <w:tcPr>
            <w:tcW w:w="1180" w:type="dxa"/>
            <w:vAlign w:val="bottom"/>
            <w:tcBorders>
              <w:right w:val="single" w:sz="8" w:color="auto"/>
            </w:tcBorders>
          </w:tcPr>
          <w:p>
            <w:pPr>
              <w:spacing w:after="0"/>
              <w:rPr>
                <w:sz w:val="24"/>
                <w:szCs w:val="24"/>
                <w:color w:val="auto"/>
              </w:rPr>
            </w:pPr>
          </w:p>
        </w:tc>
        <w:tc>
          <w:tcPr>
            <w:tcW w:w="14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222222"/>
              </w:rPr>
              <w:t>5(%71,4)</w:t>
            </w:r>
          </w:p>
        </w:tc>
        <w:tc>
          <w:tcPr>
            <w:tcW w:w="1200" w:type="dxa"/>
            <w:vAlign w:val="bottom"/>
            <w:tcBorders>
              <w:right w:val="single" w:sz="8" w:color="auto"/>
            </w:tcBorders>
          </w:tcPr>
          <w:p>
            <w:pPr>
              <w:spacing w:after="0"/>
              <w:rPr>
                <w:sz w:val="24"/>
                <w:szCs w:val="24"/>
                <w:color w:val="auto"/>
              </w:rPr>
            </w:pPr>
          </w:p>
        </w:tc>
      </w:tr>
      <w:tr>
        <w:trPr>
          <w:trHeight w:val="140"/>
        </w:trPr>
        <w:tc>
          <w:tcPr>
            <w:tcW w:w="1540" w:type="dxa"/>
            <w:vAlign w:val="bottom"/>
            <w:tcBorders>
              <w:left w:val="single" w:sz="8" w:color="auto"/>
              <w:bottom w:val="single" w:sz="8" w:color="auto"/>
              <w:right w:val="single" w:sz="8" w:color="auto"/>
            </w:tcBorders>
          </w:tcPr>
          <w:p>
            <w:pPr>
              <w:spacing w:after="0"/>
              <w:rPr>
                <w:sz w:val="12"/>
                <w:szCs w:val="12"/>
                <w:color w:val="auto"/>
              </w:rPr>
            </w:pPr>
          </w:p>
        </w:tc>
        <w:tc>
          <w:tcPr>
            <w:tcW w:w="2080" w:type="dxa"/>
            <w:vAlign w:val="bottom"/>
            <w:tcBorders>
              <w:bottom w:val="single" w:sz="8" w:color="auto"/>
              <w:right w:val="single" w:sz="8" w:color="auto"/>
            </w:tcBorders>
          </w:tcPr>
          <w:p>
            <w:pPr>
              <w:spacing w:after="0"/>
              <w:rPr>
                <w:sz w:val="12"/>
                <w:szCs w:val="12"/>
                <w:color w:val="auto"/>
              </w:rPr>
            </w:pPr>
          </w:p>
        </w:tc>
        <w:tc>
          <w:tcPr>
            <w:tcW w:w="138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1200" w:type="dxa"/>
            <w:vAlign w:val="bottom"/>
            <w:tcBorders>
              <w:bottom w:val="single" w:sz="8" w:color="auto"/>
              <w:right w:val="single" w:sz="8" w:color="auto"/>
            </w:tcBorders>
          </w:tcPr>
          <w:p>
            <w:pPr>
              <w:spacing w:after="0"/>
              <w:rPr>
                <w:sz w:val="12"/>
                <w:szCs w:val="1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-615950</wp:posOffset>
            </wp:positionV>
            <wp:extent cx="4699000" cy="185420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363" w:lineRule="exact"/>
        <w:rPr>
          <w:sz w:val="20"/>
          <w:szCs w:val="20"/>
          <w:color w:val="auto"/>
        </w:rPr>
      </w:pPr>
    </w:p>
    <w:p>
      <w:pPr>
        <w:jc w:val="both"/>
        <w:ind w:left="820" w:right="460" w:firstLine="708"/>
        <w:spacing w:after="0" w:line="359" w:lineRule="auto"/>
        <w:rPr>
          <w:sz w:val="20"/>
          <w:szCs w:val="20"/>
          <w:color w:val="auto"/>
        </w:rPr>
      </w:pPr>
      <w:r>
        <w:rPr>
          <w:rFonts w:ascii="Times New Roman" w:cs="Times New Roman" w:eastAsia="Times New Roman" w:hAnsi="Times New Roman"/>
          <w:sz w:val="24"/>
          <w:szCs w:val="24"/>
          <w:color w:val="222222"/>
        </w:rPr>
        <w:t>Kladribin</w:t>
      </w:r>
      <w:r>
        <w:rPr>
          <w:rFonts w:ascii="Times New Roman" w:cs="Times New Roman" w:eastAsia="Times New Roman" w:hAnsi="Times New Roman"/>
          <w:sz w:val="24"/>
          <w:szCs w:val="24"/>
          <w:color w:val="222222"/>
        </w:rPr>
        <w:t>’in</w:t>
      </w:r>
      <w:r>
        <w:rPr>
          <w:rFonts w:ascii="Times New Roman" w:cs="Times New Roman" w:eastAsia="Times New Roman" w:hAnsi="Times New Roman"/>
          <w:sz w:val="24"/>
          <w:szCs w:val="24"/>
          <w:color w:val="222222"/>
        </w:rPr>
        <w:t xml:space="preserve"> sadece 1(%14,3) </w:t>
      </w:r>
      <w:r>
        <w:rPr>
          <w:rFonts w:ascii="Times New Roman" w:cs="Times New Roman" w:eastAsia="Times New Roman" w:hAnsi="Times New Roman"/>
          <w:sz w:val="24"/>
          <w:szCs w:val="24"/>
          <w:color w:val="222222"/>
        </w:rPr>
        <w:t>tane hasta tarafından kullanıldığı saptandı. Bu</w:t>
      </w:r>
      <w:r>
        <w:rPr>
          <w:rFonts w:ascii="Times New Roman" w:cs="Times New Roman" w:eastAsia="Times New Roman" w:hAnsi="Times New Roman"/>
          <w:sz w:val="24"/>
          <w:szCs w:val="24"/>
          <w:color w:val="222222"/>
        </w:rPr>
        <w:t xml:space="preserve"> hasta ASM ile takipliydi. Kladribin tedavisi öncesi IFN alfa tedavisinin ve kladribin </w:t>
      </w:r>
      <w:r>
        <w:rPr>
          <w:rFonts w:ascii="Times New Roman" w:cs="Times New Roman" w:eastAsia="Times New Roman" w:hAnsi="Times New Roman"/>
          <w:sz w:val="24"/>
          <w:szCs w:val="24"/>
          <w:color w:val="222222"/>
        </w:rPr>
        <w:t xml:space="preserve">tedavisi sonrasında aynı hastaya </w:t>
      </w:r>
      <w:r>
        <w:rPr>
          <w:rFonts w:ascii="Times New Roman" w:cs="Times New Roman" w:eastAsia="Times New Roman" w:hAnsi="Times New Roman"/>
          <w:sz w:val="24"/>
          <w:szCs w:val="24"/>
          <w:color w:val="222222"/>
        </w:rPr>
        <w:t>M</w:t>
      </w:r>
      <w:r>
        <w:rPr>
          <w:rFonts w:ascii="Times New Roman" w:cs="Times New Roman" w:eastAsia="Times New Roman" w:hAnsi="Times New Roman"/>
          <w:sz w:val="24"/>
          <w:szCs w:val="24"/>
          <w:color w:val="222222"/>
        </w:rPr>
        <w:t xml:space="preserve">idostaurin başlandığı görüldü. İmatinib sadece </w:t>
      </w:r>
      <w:r>
        <w:rPr>
          <w:rFonts w:ascii="Times New Roman" w:cs="Times New Roman" w:eastAsia="Times New Roman" w:hAnsi="Times New Roman"/>
          <w:sz w:val="24"/>
          <w:szCs w:val="24"/>
          <w:color w:val="222222"/>
        </w:rPr>
        <w:t>1(%14,3</w:t>
      </w:r>
      <w:r>
        <w:rPr>
          <w:rFonts w:ascii="Times New Roman" w:cs="Times New Roman" w:eastAsia="Times New Roman" w:hAnsi="Times New Roman"/>
          <w:sz w:val="24"/>
          <w:szCs w:val="24"/>
          <w:color w:val="222222"/>
        </w:rPr>
        <w:t>) tane ASM hastası tarafından kullanılıyordu. Aynı hastaya daha öncesinde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IFN alfa tedavisinin başlandığı ve hastalığı progrese olduğu için imatinib tedavisine geçildiği görüldü. </w:t>
      </w:r>
      <w:r>
        <w:rPr>
          <w:rFonts w:ascii="Times New Roman" w:cs="Times New Roman" w:eastAsia="Times New Roman" w:hAnsi="Times New Roman"/>
          <w:sz w:val="24"/>
          <w:szCs w:val="24"/>
          <w:color w:val="222222"/>
        </w:rPr>
        <w:t>IFN alfa</w:t>
      </w:r>
      <w:r>
        <w:rPr>
          <w:rFonts w:ascii="Times New Roman" w:cs="Times New Roman" w:eastAsia="Times New Roman" w:hAnsi="Times New Roman"/>
          <w:sz w:val="24"/>
          <w:szCs w:val="24"/>
          <w:color w:val="222222"/>
        </w:rPr>
        <w:t xml:space="preserve"> tedavisi alıp almadıkları değerlendirilebilen İSM hastalarının </w:t>
      </w:r>
      <w:r>
        <w:rPr>
          <w:rFonts w:ascii="Times New Roman" w:cs="Times New Roman" w:eastAsia="Times New Roman" w:hAnsi="Times New Roman"/>
          <w:sz w:val="24"/>
          <w:szCs w:val="24"/>
          <w:color w:val="222222"/>
        </w:rPr>
        <w:t>4(%30,7) tanesinin</w:t>
      </w:r>
      <w:r>
        <w:rPr>
          <w:rFonts w:ascii="Times New Roman" w:cs="Times New Roman" w:eastAsia="Times New Roman" w:hAnsi="Times New Roman"/>
          <w:sz w:val="24"/>
          <w:szCs w:val="24"/>
          <w:color w:val="222222"/>
        </w:rPr>
        <w:t xml:space="preserve">, değerlendirilebilen ASM hastalarının 5(%71,4) tanesinin kullandığı görüldü. İSM olup IFN alfa tedavisi başlanan hastaların hepsinde </w:t>
      </w:r>
      <w:r>
        <w:rPr>
          <w:rFonts w:ascii="Times New Roman" w:cs="Times New Roman" w:eastAsia="Times New Roman" w:hAnsi="Times New Roman"/>
          <w:sz w:val="24"/>
          <w:szCs w:val="24"/>
          <w:color w:val="222222"/>
        </w:rPr>
        <w:t>ciddi osteoporoz mevcutken iki tanesinin de tekrarlayan anafilaksi öyküsü mevcuttu. Midostaurin toplamda 3(%42,85</w:t>
      </w:r>
      <w:r>
        <w:rPr>
          <w:rFonts w:ascii="Times New Roman" w:cs="Times New Roman" w:eastAsia="Times New Roman" w:hAnsi="Times New Roman"/>
          <w:sz w:val="24"/>
          <w:szCs w:val="24"/>
          <w:color w:val="222222"/>
        </w:rPr>
        <w:t>) ASM hastası tarafından kullanılmıştı. Hastaların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tedavi yanıtı çalışmanın retrospektif olması ve SM tedavi yanıt kriterleri üzerinde bir konsensüs olmaması nedeniyle değerlendirilemedi.</w:t>
      </w:r>
    </w:p>
    <w:p>
      <w:pPr>
        <w:sectPr>
          <w:pgSz w:w="11900" w:h="16838" w:orient="portrait"/>
          <w:cols w:equalWidth="0" w:num="1">
            <w:col w:w="9520"/>
          </w:cols>
          <w:pgMar w:left="1440" w:top="702" w:right="946" w:bottom="1440" w:gutter="0" w:footer="0" w:header="0"/>
        </w:sectPr>
      </w:pPr>
    </w:p>
    <w:bookmarkStart w:id="49" w:name="page50"/>
    <w:bookmarkEnd w:id="49"/>
    <w:p>
      <w:pPr>
        <w:jc w:val="right"/>
        <w:spacing w:after="0"/>
        <w:rPr>
          <w:sz w:val="20"/>
          <w:szCs w:val="20"/>
          <w:color w:val="auto"/>
        </w:rPr>
      </w:pPr>
      <w:r>
        <w:rPr>
          <w:rFonts w:ascii="Calibri" w:cs="Calibri" w:eastAsia="Calibri" w:hAnsi="Calibri"/>
          <w:sz w:val="22"/>
          <w:szCs w:val="22"/>
          <w:color w:val="auto"/>
        </w:rPr>
        <w:t>39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464185</wp:posOffset>
            </wp:positionV>
            <wp:extent cx="5976620" cy="453199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extLst>
                    </a:blip>
                    <a:srcRect/>
                    <a:stretch>
                      <a:fillRect/>
                    </a:stretch>
                  </pic:blipFill>
                  <pic:spPr bwMode="auto">
                    <a:xfrm>
                      <a:off x="0" y="0"/>
                      <a:ext cx="5976620" cy="45319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b w:val="1"/>
          <w:bCs w:val="1"/>
          <w:color w:val="222222"/>
        </w:rPr>
        <w:t xml:space="preserve">Şekil </w:t>
      </w:r>
      <w:r>
        <w:rPr>
          <w:rFonts w:ascii="Times New Roman" w:cs="Times New Roman" w:eastAsia="Times New Roman" w:hAnsi="Times New Roman"/>
          <w:sz w:val="24"/>
          <w:szCs w:val="24"/>
          <w:b w:val="1"/>
          <w:bCs w:val="1"/>
          <w:color w:val="222222"/>
        </w:rPr>
        <w:t>3.</w:t>
      </w:r>
      <w:r>
        <w:rPr>
          <w:rFonts w:ascii="Times New Roman" w:cs="Times New Roman" w:eastAsia="Times New Roman" w:hAnsi="Times New Roman"/>
          <w:sz w:val="24"/>
          <w:szCs w:val="24"/>
          <w:b w:val="1"/>
          <w:bCs w:val="1"/>
          <w:color w:val="222222"/>
        </w:rPr>
        <w:t xml:space="preserve"> </w:t>
      </w:r>
      <w:r>
        <w:rPr>
          <w:rFonts w:ascii="Times New Roman" w:cs="Times New Roman" w:eastAsia="Times New Roman" w:hAnsi="Times New Roman"/>
          <w:sz w:val="24"/>
          <w:szCs w:val="24"/>
          <w:color w:val="222222"/>
        </w:rPr>
        <w:t>Kaplan Meier sağ kalım analiz grafiği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both"/>
        <w:ind w:left="820" w:right="20" w:firstLine="708"/>
        <w:spacing w:after="0" w:line="354" w:lineRule="auto"/>
        <w:rPr>
          <w:sz w:val="20"/>
          <w:szCs w:val="20"/>
          <w:color w:val="auto"/>
        </w:rPr>
      </w:pPr>
      <w:r>
        <w:rPr>
          <w:rFonts w:ascii="Times New Roman" w:cs="Times New Roman" w:eastAsia="Times New Roman" w:hAnsi="Times New Roman"/>
          <w:sz w:val="24"/>
          <w:szCs w:val="24"/>
          <w:color w:val="222222"/>
        </w:rPr>
        <w:t xml:space="preserve">Değişik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hasta grupları için ortalama</w:t>
      </w:r>
      <w:r>
        <w:rPr>
          <w:rFonts w:ascii="Times New Roman" w:cs="Times New Roman" w:eastAsia="Times New Roman" w:hAnsi="Times New Roman"/>
          <w:sz w:val="24"/>
          <w:szCs w:val="24"/>
          <w:color w:val="000000"/>
        </w:rPr>
        <w:t>±</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000000"/>
        </w:rPr>
        <w:t>standart hata (%95 güven aralığı)</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000000"/>
        </w:rPr>
        <w:t>sağ kalım süresi İSM, ASM, SM</w:t>
      </w:r>
      <w:r>
        <w:rPr>
          <w:rFonts w:ascii="Times New Roman" w:cs="Times New Roman" w:eastAsia="Times New Roman" w:hAnsi="Times New Roman"/>
          <w:sz w:val="24"/>
          <w:szCs w:val="24"/>
          <w:color w:val="000000"/>
        </w:rPr>
        <w:t>-</w:t>
      </w:r>
      <w:r>
        <w:rPr>
          <w:rFonts w:ascii="Times New Roman" w:cs="Times New Roman" w:eastAsia="Times New Roman" w:hAnsi="Times New Roman"/>
          <w:sz w:val="24"/>
          <w:szCs w:val="24"/>
          <w:color w:val="000000"/>
        </w:rPr>
        <w:t xml:space="preserve">AHN, SMM için sırasıyla hesaplanamadı, </w:t>
      </w:r>
      <w:r>
        <w:rPr>
          <w:rFonts w:ascii="Times New Roman" w:cs="Times New Roman" w:eastAsia="Times New Roman" w:hAnsi="Times New Roman"/>
          <w:sz w:val="24"/>
          <w:szCs w:val="24"/>
          <w:color w:val="000000"/>
        </w:rPr>
        <w:t xml:space="preserve">160,9±25,9(110-211), 11±3(5,3-17,1) ve </w:t>
      </w:r>
      <w:r>
        <w:rPr>
          <w:rFonts w:ascii="Times New Roman" w:cs="Times New Roman" w:eastAsia="Times New Roman" w:hAnsi="Times New Roman"/>
          <w:sz w:val="24"/>
          <w:szCs w:val="24"/>
          <w:color w:val="000000"/>
        </w:rPr>
        <w:t>hesaplanamadı şeklindeydi</w:t>
      </w:r>
      <w:r>
        <w:rPr>
          <w:rFonts w:ascii="Times New Roman" w:cs="Times New Roman" w:eastAsia="Times New Roman" w:hAnsi="Times New Roman"/>
          <w:sz w:val="24"/>
          <w:szCs w:val="24"/>
          <w:color w:val="000000"/>
        </w:rPr>
        <w:t xml:space="preserve"> (p=0,01)</w:t>
      </w:r>
    </w:p>
    <w:p>
      <w:pPr>
        <w:sectPr>
          <w:pgSz w:w="11900" w:h="16838" w:orient="portrait"/>
          <w:cols w:equalWidth="0" w:num="1">
            <w:col w:w="9060"/>
          </w:cols>
          <w:pgMar w:left="1440" w:top="702" w:right="1406" w:bottom="1440" w:gutter="0" w:footer="0" w:header="0"/>
        </w:sectPr>
      </w:pPr>
    </w:p>
    <w:bookmarkStart w:id="50" w:name="page51"/>
    <w:bookmarkEnd w:id="50"/>
    <w:p>
      <w:pPr>
        <w:ind w:left="8820"/>
        <w:spacing w:after="0"/>
        <w:rPr>
          <w:sz w:val="20"/>
          <w:szCs w:val="20"/>
          <w:color w:val="auto"/>
        </w:rPr>
      </w:pPr>
      <w:r>
        <w:rPr>
          <w:rFonts w:ascii="Calibri" w:cs="Calibri" w:eastAsia="Calibri" w:hAnsi="Calibri"/>
          <w:sz w:val="22"/>
          <w:szCs w:val="22"/>
          <w:color w:val="auto"/>
        </w:rPr>
        <w:t>40</w:t>
      </w: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4560"/>
        <w:spacing w:after="0"/>
        <w:rPr>
          <w:sz w:val="20"/>
          <w:szCs w:val="20"/>
          <w:color w:val="auto"/>
        </w:rPr>
      </w:pPr>
      <w:r>
        <w:rPr>
          <w:rFonts w:ascii="Times New Roman" w:cs="Times New Roman" w:eastAsia="Times New Roman" w:hAnsi="Times New Roman"/>
          <w:sz w:val="24"/>
          <w:szCs w:val="24"/>
          <w:b w:val="1"/>
          <w:bCs w:val="1"/>
          <w:color w:val="auto"/>
        </w:rPr>
        <w:t>5.T</w:t>
      </w:r>
      <w:r>
        <w:rPr>
          <w:rFonts w:ascii="Times New Roman" w:cs="Times New Roman" w:eastAsia="Times New Roman" w:hAnsi="Times New Roman"/>
          <w:sz w:val="24"/>
          <w:szCs w:val="24"/>
          <w:b w:val="1"/>
          <w:bCs w:val="1"/>
          <w:color w:val="auto"/>
        </w:rPr>
        <w:t>ARTIŞMA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both"/>
        <w:ind w:left="820" w:firstLine="708"/>
        <w:spacing w:after="0" w:line="359" w:lineRule="auto"/>
        <w:rPr>
          <w:sz w:val="20"/>
          <w:szCs w:val="20"/>
          <w:color w:val="auto"/>
        </w:rPr>
      </w:pPr>
      <w:r>
        <w:rPr>
          <w:rFonts w:ascii="Times New Roman" w:cs="Times New Roman" w:eastAsia="Times New Roman" w:hAnsi="Times New Roman"/>
          <w:sz w:val="24"/>
          <w:szCs w:val="24"/>
          <w:color w:val="auto"/>
        </w:rPr>
        <w:t xml:space="preserve">SM </w:t>
      </w:r>
      <w:r>
        <w:rPr>
          <w:rFonts w:ascii="Times New Roman" w:cs="Times New Roman" w:eastAsia="Times New Roman" w:hAnsi="Times New Roman"/>
          <w:sz w:val="24"/>
          <w:szCs w:val="24"/>
          <w:color w:val="auto"/>
        </w:rPr>
        <w:t>nadir görülen bir hastalıktır. Son yıllarda hastalığın tanınırlığının</w:t>
      </w:r>
      <w:r>
        <w:rPr>
          <w:rFonts w:ascii="Times New Roman" w:cs="Times New Roman" w:eastAsia="Times New Roman" w:hAnsi="Times New Roman"/>
          <w:sz w:val="24"/>
          <w:szCs w:val="24"/>
          <w:color w:val="auto"/>
        </w:rPr>
        <w:t xml:space="preserve"> artmakta </w:t>
      </w:r>
      <w:r>
        <w:rPr>
          <w:rFonts w:ascii="Times New Roman" w:cs="Times New Roman" w:eastAsia="Times New Roman" w:hAnsi="Times New Roman"/>
          <w:sz w:val="24"/>
          <w:szCs w:val="24"/>
          <w:color w:val="auto"/>
        </w:rPr>
        <w:t>olduğu ve hedefe yönelik ilaç tedavilerinin de geliştirilmesiyle birlikte daha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sık üzerine düşünüldüğü ve çalışma yapıldığı görülmektedir. Özellikle son 20 yıllık dönemde tanısal algoritmaların geliştirilmesi, klinisyenler tarafından hastalığı</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 xml:space="preserve"> bilinirliğinin artması ve toplumdaki farkındalığın artması ile bi</w:t>
      </w:r>
      <w:r>
        <w:rPr>
          <w:rFonts w:ascii="Times New Roman" w:cs="Times New Roman" w:eastAsia="Times New Roman" w:hAnsi="Times New Roman"/>
          <w:sz w:val="24"/>
          <w:szCs w:val="24"/>
          <w:color w:val="auto"/>
        </w:rPr>
        <w:t>rlikte SM</w:t>
      </w:r>
      <w:r>
        <w:rPr>
          <w:rFonts w:ascii="Times New Roman" w:cs="Times New Roman" w:eastAsia="Times New Roman" w:hAnsi="Times New Roman"/>
          <w:sz w:val="24"/>
          <w:szCs w:val="24"/>
          <w:color w:val="auto"/>
        </w:rPr>
        <w:t xml:space="preserve"> tanısının daha sık akla geldiği ve konulduğu görülmektedir </w:t>
      </w:r>
      <w:r>
        <w:rPr>
          <w:rFonts w:ascii="Times New Roman" w:cs="Times New Roman" w:eastAsia="Times New Roman" w:hAnsi="Times New Roman"/>
          <w:sz w:val="24"/>
          <w:szCs w:val="24"/>
          <w:color w:val="auto"/>
        </w:rPr>
        <w:t>(162)</w:t>
      </w:r>
      <w:r>
        <w:rPr>
          <w:rFonts w:ascii="Times New Roman" w:cs="Times New Roman" w:eastAsia="Times New Roman" w:hAnsi="Times New Roman"/>
          <w:sz w:val="24"/>
          <w:szCs w:val="24"/>
          <w:color w:val="auto"/>
        </w:rPr>
        <w:t xml:space="preserve">. Tüm bu gelişmelere rağmen </w:t>
      </w:r>
      <w:r>
        <w:rPr>
          <w:rFonts w:ascii="Times New Roman" w:cs="Times New Roman" w:eastAsia="Times New Roman" w:hAnsi="Times New Roman"/>
          <w:sz w:val="24"/>
          <w:szCs w:val="24"/>
          <w:color w:val="auto"/>
        </w:rPr>
        <w:t xml:space="preserve">SM </w:t>
      </w:r>
      <w:r>
        <w:rPr>
          <w:rFonts w:ascii="Times New Roman" w:cs="Times New Roman" w:eastAsia="Times New Roman" w:hAnsi="Times New Roman"/>
          <w:sz w:val="24"/>
          <w:szCs w:val="24"/>
          <w:color w:val="auto"/>
        </w:rPr>
        <w:t>tanısı klinisyenler tarafından</w:t>
      </w:r>
      <w:r>
        <w:rPr>
          <w:rFonts w:ascii="Times New Roman" w:cs="Times New Roman" w:eastAsia="Times New Roman" w:hAnsi="Times New Roman"/>
          <w:sz w:val="24"/>
          <w:szCs w:val="24"/>
          <w:color w:val="auto"/>
        </w:rPr>
        <w:t xml:space="preserve"> halen </w:t>
      </w:r>
      <w:r>
        <w:rPr>
          <w:rFonts w:ascii="Times New Roman" w:cs="Times New Roman" w:eastAsia="Times New Roman" w:hAnsi="Times New Roman"/>
          <w:sz w:val="24"/>
          <w:szCs w:val="24"/>
          <w:color w:val="auto"/>
        </w:rPr>
        <w:t>atlanmakta ve hastalar geç tanı almaktadır.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Pieri ve arkadaşlarının 2016 yılında yaptığı çalışmada </w:t>
      </w:r>
      <w:r>
        <w:rPr>
          <w:rFonts w:ascii="Times New Roman" w:cs="Times New Roman" w:eastAsia="Times New Roman" w:hAnsi="Times New Roman"/>
          <w:sz w:val="24"/>
          <w:szCs w:val="24"/>
          <w:color w:val="auto"/>
        </w:rPr>
        <w:t>(163)</w:t>
      </w:r>
      <w:r>
        <w:rPr>
          <w:rFonts w:ascii="Times New Roman" w:cs="Times New Roman" w:eastAsia="Times New Roman" w:hAnsi="Times New Roman"/>
          <w:sz w:val="24"/>
          <w:szCs w:val="24"/>
          <w:color w:val="auto"/>
        </w:rPr>
        <w:t xml:space="preserve"> cilt semptomlarının başlangıcından tanı anına kadar geçen sürenin 9 yıl civarında olduğu görülmüştür. Hastalığın çok geniş semptom ve bulgu spektrumu mevcuttur. </w:t>
      </w:r>
      <w:r>
        <w:rPr>
          <w:rFonts w:ascii="Times New Roman" w:cs="Times New Roman" w:eastAsia="Times New Roman" w:hAnsi="Times New Roman"/>
          <w:sz w:val="24"/>
          <w:szCs w:val="24"/>
          <w:color w:val="auto"/>
        </w:rPr>
        <w:t>SM</w:t>
      </w:r>
      <w:r>
        <w:rPr>
          <w:rFonts w:ascii="Times New Roman" w:cs="Times New Roman" w:eastAsia="Times New Roman" w:hAnsi="Times New Roman"/>
          <w:sz w:val="24"/>
          <w:szCs w:val="24"/>
          <w:color w:val="auto"/>
        </w:rPr>
        <w:t xml:space="preserve"> tanısının </w:t>
      </w:r>
      <w:r>
        <w:rPr>
          <w:rFonts w:ascii="Times New Roman" w:cs="Times New Roman" w:eastAsia="Times New Roman" w:hAnsi="Times New Roman"/>
          <w:sz w:val="24"/>
          <w:szCs w:val="24"/>
          <w:color w:val="auto"/>
        </w:rPr>
        <w:t>koyulabilmesi için klinisyen</w:t>
      </w:r>
      <w:r>
        <w:rPr>
          <w:rFonts w:ascii="Times New Roman" w:cs="Times New Roman" w:eastAsia="Times New Roman" w:hAnsi="Times New Roman"/>
          <w:sz w:val="24"/>
          <w:szCs w:val="24"/>
          <w:color w:val="auto"/>
        </w:rPr>
        <w:t>lerin hastalığı tanıması ve ilişkili olabilecek semptom,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fizik muayene bulgusunu hastalıkla bağdaştırabilmesi elzemdir</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-1202055</wp:posOffset>
            </wp:positionV>
            <wp:extent cx="4699000" cy="185420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56" w:lineRule="exact"/>
        <w:rPr>
          <w:sz w:val="20"/>
          <w:szCs w:val="20"/>
          <w:color w:val="auto"/>
        </w:rPr>
      </w:pPr>
    </w:p>
    <w:p>
      <w:pPr>
        <w:jc w:val="both"/>
        <w:ind w:left="820" w:right="20" w:firstLine="708"/>
        <w:spacing w:after="0" w:line="356" w:lineRule="auto"/>
        <w:rPr>
          <w:sz w:val="20"/>
          <w:szCs w:val="20"/>
          <w:color w:val="auto"/>
        </w:rPr>
      </w:pPr>
      <w:r>
        <w:rPr>
          <w:rFonts w:ascii="Times New Roman" w:cs="Times New Roman" w:eastAsia="Times New Roman" w:hAnsi="Times New Roman"/>
          <w:sz w:val="24"/>
          <w:szCs w:val="24"/>
          <w:color w:val="auto"/>
        </w:rPr>
        <w:t>Bu ç</w:t>
      </w:r>
      <w:r>
        <w:rPr>
          <w:rFonts w:ascii="Times New Roman" w:cs="Times New Roman" w:eastAsia="Times New Roman" w:hAnsi="Times New Roman"/>
          <w:sz w:val="24"/>
          <w:szCs w:val="24"/>
          <w:color w:val="auto"/>
        </w:rPr>
        <w:t>alışmada Hacettepe Üniversitesi Hastanesi’nde</w:t>
      </w:r>
      <w:r>
        <w:rPr>
          <w:rFonts w:ascii="Times New Roman" w:cs="Times New Roman" w:eastAsia="Times New Roman" w:hAnsi="Times New Roman"/>
          <w:sz w:val="24"/>
          <w:szCs w:val="24"/>
          <w:color w:val="auto"/>
        </w:rPr>
        <w:t xml:space="preserve"> Ocak 2001-Nisan 2020 </w:t>
      </w:r>
      <w:r>
        <w:rPr>
          <w:rFonts w:ascii="Times New Roman" w:cs="Times New Roman" w:eastAsia="Times New Roman" w:hAnsi="Times New Roman"/>
          <w:sz w:val="24"/>
          <w:szCs w:val="24"/>
          <w:color w:val="auto"/>
        </w:rPr>
        <w:t>arasında takip edilmiş olan</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tanısı 2016’da yeniden revize edilmiş WHO kriterlerine </w:t>
      </w:r>
      <w:r>
        <w:rPr>
          <w:rFonts w:ascii="Times New Roman" w:cs="Times New Roman" w:eastAsia="Times New Roman" w:hAnsi="Times New Roman"/>
          <w:sz w:val="24"/>
          <w:szCs w:val="24"/>
          <w:color w:val="auto"/>
        </w:rPr>
        <w:t xml:space="preserve">uyan </w:t>
      </w:r>
      <w:r>
        <w:rPr>
          <w:rFonts w:ascii="Times New Roman" w:cs="Times New Roman" w:eastAsia="Times New Roman" w:hAnsi="Times New Roman"/>
          <w:sz w:val="24"/>
          <w:szCs w:val="24"/>
          <w:color w:val="auto"/>
        </w:rPr>
        <w:t>30 hasta retrospektif olarak değerlendirilmiştir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30 hastanın bulunduğu kohort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demografik, klinik, biyokimyasal, radyolojik ve patolojik açıdan değerlendirildi.</w:t>
      </w:r>
    </w:p>
    <w:p>
      <w:pPr>
        <w:spacing w:after="0" w:line="177" w:lineRule="exact"/>
        <w:rPr>
          <w:sz w:val="20"/>
          <w:szCs w:val="20"/>
          <w:color w:val="auto"/>
        </w:rPr>
      </w:pPr>
    </w:p>
    <w:p>
      <w:pPr>
        <w:jc w:val="both"/>
        <w:ind w:left="820" w:firstLine="708"/>
        <w:spacing w:after="0" w:line="354" w:lineRule="auto"/>
        <w:rPr>
          <w:sz w:val="20"/>
          <w:szCs w:val="20"/>
          <w:color w:val="auto"/>
        </w:rPr>
      </w:pPr>
      <w:r>
        <w:rPr>
          <w:rFonts w:ascii="Times New Roman" w:cs="Times New Roman" w:eastAsia="Times New Roman" w:hAnsi="Times New Roman"/>
          <w:sz w:val="24"/>
          <w:szCs w:val="24"/>
          <w:color w:val="auto"/>
        </w:rPr>
        <w:t xml:space="preserve">Bizim çalışmamızda hastaların </w:t>
      </w:r>
      <w:r>
        <w:rPr>
          <w:rFonts w:ascii="Times New Roman" w:cs="Times New Roman" w:eastAsia="Times New Roman" w:hAnsi="Times New Roman"/>
          <w:sz w:val="24"/>
          <w:szCs w:val="24"/>
          <w:color w:val="222222"/>
        </w:rPr>
        <w:t>%53,3’ünün kadın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hastalardan ol</w:t>
      </w:r>
      <w:r>
        <w:rPr>
          <w:rFonts w:ascii="Times New Roman" w:cs="Times New Roman" w:eastAsia="Times New Roman" w:hAnsi="Times New Roman"/>
          <w:sz w:val="24"/>
          <w:szCs w:val="24"/>
          <w:color w:val="222222"/>
        </w:rPr>
        <w:t>uştuğu</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 xml:space="preserve">görüldü. Literatürdeki diğer çalışmalarda </w:t>
      </w:r>
      <w:r>
        <w:rPr>
          <w:rFonts w:ascii="Times New Roman" w:cs="Times New Roman" w:eastAsia="Times New Roman" w:hAnsi="Times New Roman"/>
          <w:sz w:val="24"/>
          <w:szCs w:val="24"/>
          <w:color w:val="222222"/>
        </w:rPr>
        <w:t>da (162, 164)</w:t>
      </w:r>
      <w:r>
        <w:rPr>
          <w:rFonts w:ascii="Times New Roman" w:cs="Times New Roman" w:eastAsia="Times New Roman" w:hAnsi="Times New Roman"/>
          <w:sz w:val="24"/>
          <w:szCs w:val="24"/>
          <w:color w:val="222222"/>
        </w:rPr>
        <w:t xml:space="preserve"> cinsiyetler arasında sayı </w:t>
      </w:r>
      <w:r>
        <w:rPr>
          <w:rFonts w:ascii="Times New Roman" w:cs="Times New Roman" w:eastAsia="Times New Roman" w:hAnsi="Times New Roman"/>
          <w:sz w:val="24"/>
          <w:szCs w:val="24"/>
          <w:color w:val="222222"/>
        </w:rPr>
        <w:t>olarak anlam</w:t>
      </w:r>
      <w:r>
        <w:rPr>
          <w:rFonts w:ascii="Times New Roman" w:cs="Times New Roman" w:eastAsia="Times New Roman" w:hAnsi="Times New Roman"/>
          <w:sz w:val="24"/>
          <w:szCs w:val="24"/>
          <w:color w:val="222222"/>
        </w:rPr>
        <w:t>lı bir farklılık olmadığı görülmektedir.</w:t>
      </w:r>
    </w:p>
    <w:p>
      <w:pPr>
        <w:spacing w:after="0" w:line="180" w:lineRule="exact"/>
        <w:rPr>
          <w:sz w:val="20"/>
          <w:szCs w:val="20"/>
          <w:color w:val="auto"/>
        </w:rPr>
      </w:pPr>
    </w:p>
    <w:p>
      <w:pPr>
        <w:jc w:val="both"/>
        <w:ind w:left="820" w:firstLine="708"/>
        <w:spacing w:after="0" w:line="357" w:lineRule="auto"/>
        <w:rPr>
          <w:sz w:val="20"/>
          <w:szCs w:val="20"/>
          <w:color w:val="auto"/>
        </w:rPr>
      </w:pPr>
      <w:r>
        <w:rPr>
          <w:rFonts w:ascii="Times New Roman" w:cs="Times New Roman" w:eastAsia="Times New Roman" w:hAnsi="Times New Roman"/>
          <w:sz w:val="24"/>
          <w:szCs w:val="24"/>
          <w:color w:val="222222"/>
        </w:rPr>
        <w:t>H</w:t>
      </w:r>
      <w:r>
        <w:rPr>
          <w:rFonts w:ascii="Times New Roman" w:cs="Times New Roman" w:eastAsia="Times New Roman" w:hAnsi="Times New Roman"/>
          <w:sz w:val="24"/>
          <w:szCs w:val="24"/>
          <w:color w:val="222222"/>
        </w:rPr>
        <w:t>astaların tanı anındaki yaşlarının ortalama değeri</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2"/>
          <w:szCs w:val="22"/>
          <w:color w:val="000000"/>
        </w:rPr>
        <w:t>47,5±11,47</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000000"/>
        </w:rPr>
        <w:t>görüldü.</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000000"/>
        </w:rPr>
        <w:t xml:space="preserve">Literatürdeki diğer çalışmalarda </w:t>
      </w:r>
      <w:r>
        <w:rPr>
          <w:rFonts w:ascii="Times New Roman" w:cs="Times New Roman" w:eastAsia="Times New Roman" w:hAnsi="Times New Roman"/>
          <w:sz w:val="24"/>
          <w:szCs w:val="24"/>
          <w:color w:val="000000"/>
        </w:rPr>
        <w:t>(163, 165)</w:t>
      </w:r>
      <w:r>
        <w:rPr>
          <w:rFonts w:ascii="Times New Roman" w:cs="Times New Roman" w:eastAsia="Times New Roman" w:hAnsi="Times New Roman"/>
          <w:sz w:val="24"/>
          <w:szCs w:val="24"/>
          <w:color w:val="000000"/>
        </w:rPr>
        <w:t xml:space="preserve"> olduğu gibi tanı anındaki yaşların </w:t>
      </w:r>
      <w:r>
        <w:rPr>
          <w:rFonts w:ascii="Times New Roman" w:cs="Times New Roman" w:eastAsia="Times New Roman" w:hAnsi="Times New Roman"/>
          <w:sz w:val="24"/>
          <w:szCs w:val="24"/>
          <w:color w:val="000000"/>
        </w:rPr>
        <w:t>ortal</w:t>
      </w:r>
      <w:r>
        <w:rPr>
          <w:rFonts w:ascii="Times New Roman" w:cs="Times New Roman" w:eastAsia="Times New Roman" w:hAnsi="Times New Roman"/>
          <w:sz w:val="24"/>
          <w:szCs w:val="24"/>
          <w:color w:val="000000"/>
        </w:rPr>
        <w:t>ama değerlerini karşılaştırdığımızda bizim çalışmamızda da ASM hastalarının</w:t>
      </w:r>
      <w:r>
        <w:rPr>
          <w:rFonts w:ascii="Times New Roman" w:cs="Times New Roman" w:eastAsia="Times New Roman" w:hAnsi="Times New Roman"/>
          <w:sz w:val="24"/>
          <w:szCs w:val="24"/>
          <w:color w:val="000000"/>
        </w:rPr>
        <w:t xml:space="preserve"> </w:t>
      </w:r>
      <w:r>
        <w:rPr>
          <w:rFonts w:ascii="Times New Roman" w:cs="Times New Roman" w:eastAsia="Times New Roman" w:hAnsi="Times New Roman"/>
          <w:sz w:val="24"/>
          <w:szCs w:val="24"/>
          <w:color w:val="000000"/>
        </w:rPr>
        <w:t xml:space="preserve">ortalama yaşı </w:t>
      </w:r>
      <w:r>
        <w:rPr>
          <w:rFonts w:ascii="Times New Roman" w:cs="Times New Roman" w:eastAsia="Times New Roman" w:hAnsi="Times New Roman"/>
          <w:sz w:val="24"/>
          <w:szCs w:val="24"/>
          <w:color w:val="000000"/>
        </w:rPr>
        <w:t>(</w:t>
      </w:r>
      <w:r>
        <w:rPr>
          <w:rFonts w:ascii="Times New Roman" w:cs="Times New Roman" w:eastAsia="Times New Roman" w:hAnsi="Times New Roman"/>
          <w:sz w:val="24"/>
          <w:szCs w:val="24"/>
          <w:color w:val="222222"/>
        </w:rPr>
        <w:t>51,6</w:t>
      </w:r>
      <w:r>
        <w:rPr>
          <w:rFonts w:ascii="Times New Roman" w:cs="Times New Roman" w:eastAsia="Times New Roman" w:hAnsi="Times New Roman"/>
          <w:sz w:val="22"/>
          <w:szCs w:val="22"/>
          <w:color w:val="000000"/>
        </w:rPr>
        <w:t>±7,75)</w:t>
      </w:r>
      <w:r>
        <w:rPr>
          <w:rFonts w:ascii="Times New Roman" w:cs="Times New Roman" w:eastAsia="Times New Roman" w:hAnsi="Times New Roman"/>
          <w:sz w:val="24"/>
          <w:szCs w:val="24"/>
          <w:color w:val="000000"/>
        </w:rPr>
        <w:t xml:space="preserve"> İSM hastalarının ortalama yaşlarına </w:t>
      </w:r>
      <w:r>
        <w:rPr>
          <w:rFonts w:ascii="Times New Roman" w:cs="Times New Roman" w:eastAsia="Times New Roman" w:hAnsi="Times New Roman"/>
          <w:sz w:val="24"/>
          <w:szCs w:val="24"/>
          <w:color w:val="000000"/>
        </w:rPr>
        <w:t>(</w:t>
      </w:r>
      <w:r>
        <w:rPr>
          <w:rFonts w:ascii="Times New Roman" w:cs="Times New Roman" w:eastAsia="Times New Roman" w:hAnsi="Times New Roman"/>
          <w:sz w:val="24"/>
          <w:szCs w:val="24"/>
          <w:color w:val="222222"/>
        </w:rPr>
        <w:t>41,53</w:t>
      </w:r>
      <w:r>
        <w:rPr>
          <w:rFonts w:ascii="Times New Roman" w:cs="Times New Roman" w:eastAsia="Times New Roman" w:hAnsi="Times New Roman"/>
          <w:sz w:val="22"/>
          <w:szCs w:val="22"/>
          <w:color w:val="000000"/>
        </w:rPr>
        <w:t>±11,85)</w:t>
      </w:r>
      <w:r>
        <w:rPr>
          <w:rFonts w:ascii="Times New Roman" w:cs="Times New Roman" w:eastAsia="Times New Roman" w:hAnsi="Times New Roman"/>
          <w:sz w:val="24"/>
          <w:szCs w:val="24"/>
          <w:color w:val="000000"/>
        </w:rPr>
        <w:t xml:space="preserve"> </w:t>
      </w:r>
      <w:r>
        <w:rPr>
          <w:rFonts w:ascii="Times New Roman" w:cs="Times New Roman" w:eastAsia="Times New Roman" w:hAnsi="Times New Roman"/>
          <w:sz w:val="24"/>
          <w:szCs w:val="24"/>
          <w:color w:val="000000"/>
        </w:rPr>
        <w:t>göre</w:t>
      </w:r>
      <w:r>
        <w:rPr>
          <w:rFonts w:ascii="Times New Roman" w:cs="Times New Roman" w:eastAsia="Times New Roman" w:hAnsi="Times New Roman"/>
          <w:sz w:val="24"/>
          <w:szCs w:val="24"/>
          <w:color w:val="000000"/>
        </w:rPr>
        <w:t xml:space="preserve"> </w:t>
      </w:r>
      <w:r>
        <w:rPr>
          <w:rFonts w:ascii="Times New Roman" w:cs="Times New Roman" w:eastAsia="Times New Roman" w:hAnsi="Times New Roman"/>
          <w:sz w:val="24"/>
          <w:szCs w:val="24"/>
          <w:color w:val="000000"/>
        </w:rPr>
        <w:t>daha yüksek bulundu.</w:t>
      </w:r>
    </w:p>
    <w:p>
      <w:pPr>
        <w:spacing w:after="0" w:line="178" w:lineRule="exact"/>
        <w:rPr>
          <w:sz w:val="20"/>
          <w:szCs w:val="20"/>
          <w:color w:val="auto"/>
        </w:rPr>
      </w:pPr>
    </w:p>
    <w:p>
      <w:pPr>
        <w:jc w:val="both"/>
        <w:ind w:left="820" w:firstLine="708"/>
        <w:spacing w:after="0" w:line="350" w:lineRule="auto"/>
        <w:rPr>
          <w:sz w:val="20"/>
          <w:szCs w:val="20"/>
          <w:color w:val="auto"/>
        </w:rPr>
      </w:pPr>
      <w:r>
        <w:rPr>
          <w:rFonts w:ascii="Times New Roman" w:cs="Times New Roman" w:eastAsia="Times New Roman" w:hAnsi="Times New Roman"/>
          <w:sz w:val="24"/>
          <w:szCs w:val="24"/>
          <w:color w:val="222222"/>
        </w:rPr>
        <w:t>İSM, SSM, ASM ve SM</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 xml:space="preserve">AHN hastalarının sayısı sırasıyla </w:t>
      </w:r>
      <w:r>
        <w:rPr>
          <w:rFonts w:ascii="Times New Roman" w:cs="Times New Roman" w:eastAsia="Times New Roman" w:hAnsi="Times New Roman"/>
          <w:sz w:val="24"/>
          <w:szCs w:val="24"/>
          <w:color w:val="222222"/>
        </w:rPr>
        <w:t>15(%50), 1(%3,3),</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10(%33,4</w:t>
      </w:r>
      <w:r>
        <w:rPr>
          <w:rFonts w:ascii="Times New Roman" w:cs="Times New Roman" w:eastAsia="Times New Roman" w:hAnsi="Times New Roman"/>
          <w:sz w:val="24"/>
          <w:szCs w:val="24"/>
          <w:color w:val="222222"/>
        </w:rPr>
        <w:t>), 4(%13,3) olarak görüldü. Bizim kohortumuzda diğer kohortlarla</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000000"/>
        </w:rPr>
        <w:t>(163,</w:t>
      </w:r>
    </w:p>
    <w:p>
      <w:pPr>
        <w:spacing w:after="0" w:line="23" w:lineRule="exact"/>
        <w:rPr>
          <w:sz w:val="20"/>
          <w:szCs w:val="20"/>
          <w:color w:val="auto"/>
        </w:rPr>
      </w:pPr>
    </w:p>
    <w:p>
      <w:pPr>
        <w:jc w:val="both"/>
        <w:ind w:left="820" w:firstLine="8"/>
        <w:spacing w:after="0" w:line="354" w:lineRule="auto"/>
        <w:tabs>
          <w:tab w:leader="none" w:pos="1422" w:val="left"/>
        </w:tabs>
        <w:numPr>
          <w:ilvl w:val="0"/>
          <w:numId w:val="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222222"/>
        </w:rPr>
        <w:t xml:space="preserve">benzer şekilde İSM </w:t>
      </w:r>
      <w:r>
        <w:rPr>
          <w:rFonts w:ascii="Times New Roman" w:cs="Times New Roman" w:eastAsia="Times New Roman" w:hAnsi="Times New Roman"/>
          <w:sz w:val="24"/>
          <w:szCs w:val="24"/>
          <w:color w:val="222222"/>
        </w:rPr>
        <w:t>alt tipinin</w:t>
      </w:r>
      <w:r>
        <w:rPr>
          <w:rFonts w:ascii="Times New Roman" w:cs="Times New Roman" w:eastAsia="Times New Roman" w:hAnsi="Times New Roman"/>
          <w:sz w:val="24"/>
          <w:szCs w:val="24"/>
          <w:color w:val="222222"/>
        </w:rPr>
        <w:t xml:space="preserve"> en sık görülen </w:t>
      </w:r>
      <w:r>
        <w:rPr>
          <w:rFonts w:ascii="Times New Roman" w:cs="Times New Roman" w:eastAsia="Times New Roman" w:hAnsi="Times New Roman"/>
          <w:sz w:val="24"/>
          <w:szCs w:val="24"/>
          <w:color w:val="222222"/>
        </w:rPr>
        <w:t>alt tip</w:t>
      </w:r>
      <w:r>
        <w:rPr>
          <w:rFonts w:ascii="Times New Roman" w:cs="Times New Roman" w:eastAsia="Times New Roman" w:hAnsi="Times New Roman"/>
          <w:sz w:val="24"/>
          <w:szCs w:val="24"/>
          <w:color w:val="222222"/>
        </w:rPr>
        <w:t xml:space="preserve"> olduğu görüldü. Literatürdeki diğer çalışmalardan farklı olarak bizim çalışmamızda ASM hastalarının toplam kohortun 1/3’ünü kapsadığı görüldü.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AHN ile takipli olan dört hastanın</w:t>
      </w:r>
    </w:p>
    <w:p>
      <w:pPr>
        <w:sectPr>
          <w:pgSz w:w="11900" w:h="16838" w:orient="portrait"/>
          <w:cols w:equalWidth="0" w:num="1">
            <w:col w:w="9060"/>
          </w:cols>
          <w:pgMar w:left="1440" w:top="702" w:right="1406" w:bottom="790" w:gutter="0" w:footer="0" w:header="0"/>
        </w:sectPr>
      </w:pPr>
    </w:p>
    <w:bookmarkStart w:id="51" w:name="page52"/>
    <w:bookmarkEnd w:id="51"/>
    <w:p>
      <w:pPr>
        <w:jc w:val="right"/>
        <w:spacing w:after="0"/>
        <w:rPr>
          <w:sz w:val="20"/>
          <w:szCs w:val="20"/>
          <w:color w:val="auto"/>
        </w:rPr>
      </w:pPr>
      <w:r>
        <w:rPr>
          <w:rFonts w:ascii="Calibri" w:cs="Calibri" w:eastAsia="Calibri" w:hAnsi="Calibri"/>
          <w:sz w:val="22"/>
          <w:szCs w:val="22"/>
          <w:color w:val="auto"/>
        </w:rPr>
        <w:t>41</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20"/>
        <w:spacing w:after="0" w:line="357" w:lineRule="auto"/>
        <w:rPr>
          <w:sz w:val="20"/>
          <w:szCs w:val="20"/>
          <w:color w:val="auto"/>
        </w:rPr>
      </w:pPr>
      <w:r>
        <w:rPr>
          <w:rFonts w:ascii="Times New Roman" w:cs="Times New Roman" w:eastAsia="Times New Roman" w:hAnsi="Times New Roman"/>
          <w:sz w:val="24"/>
          <w:szCs w:val="24"/>
          <w:color w:val="222222"/>
        </w:rPr>
        <w:t xml:space="preserve">iki tanesinde MDS, bir tanesinde MDS’ye sekonder AML ve bir tanesinde MM saptandı. Escribano ve arkadaşlarının 2009 yılında yapmış olduğu çalışmada ortanca </w:t>
      </w:r>
      <w:r>
        <w:rPr>
          <w:rFonts w:ascii="Times New Roman" w:cs="Times New Roman" w:eastAsia="Times New Roman" w:hAnsi="Times New Roman"/>
          <w:sz w:val="24"/>
          <w:szCs w:val="24"/>
          <w:color w:val="222222"/>
        </w:rPr>
        <w:t>147 ay (61-329 ay) izlenen toplam 145 tan</w:t>
      </w:r>
      <w:r>
        <w:rPr>
          <w:rFonts w:ascii="Times New Roman" w:cs="Times New Roman" w:eastAsia="Times New Roman" w:hAnsi="Times New Roman"/>
          <w:sz w:val="24"/>
          <w:szCs w:val="24"/>
          <w:color w:val="222222"/>
        </w:rPr>
        <w:t>e İSM ile takipli hastadan bir tanesinin</w:t>
      </w:r>
      <w:r>
        <w:rPr>
          <w:rFonts w:ascii="Times New Roman" w:cs="Times New Roman" w:eastAsia="Times New Roman" w:hAnsi="Times New Roman"/>
          <w:sz w:val="24"/>
          <w:szCs w:val="24"/>
          <w:color w:val="222222"/>
        </w:rPr>
        <w:t xml:space="preserve"> ASM, bir tanesinin MHL ve üç tanesinin SM-AHN</w:t>
      </w:r>
      <w:r>
        <w:rPr>
          <w:rFonts w:ascii="Times New Roman" w:cs="Times New Roman" w:eastAsia="Times New Roman" w:hAnsi="Times New Roman"/>
          <w:sz w:val="24"/>
          <w:szCs w:val="24"/>
          <w:color w:val="222222"/>
        </w:rPr>
        <w:t>’ye progrese olduğu</w:t>
      </w:r>
      <w:r>
        <w:rPr>
          <w:rFonts w:ascii="Times New Roman" w:cs="Times New Roman" w:eastAsia="Times New Roman" w:hAnsi="Times New Roman"/>
          <w:sz w:val="24"/>
          <w:szCs w:val="24"/>
          <w:color w:val="222222"/>
        </w:rPr>
        <w:t xml:space="preserve"> görülmektedir. </w:t>
      </w:r>
      <w:r>
        <w:rPr>
          <w:rFonts w:ascii="Times New Roman" w:cs="Times New Roman" w:eastAsia="Times New Roman" w:hAnsi="Times New Roman"/>
          <w:sz w:val="24"/>
          <w:szCs w:val="24"/>
          <w:color w:val="222222"/>
        </w:rPr>
        <w:t>Bizim çalışmamızda bir adet İSM ile takipli hastanın ASM’ye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progrese olduğu görülmektedir</w:t>
      </w:r>
      <w:r>
        <w:rPr>
          <w:rFonts w:ascii="Times New Roman" w:cs="Times New Roman" w:eastAsia="Times New Roman" w:hAnsi="Times New Roman"/>
          <w:sz w:val="24"/>
          <w:szCs w:val="24"/>
          <w:color w:val="222222"/>
        </w:rPr>
        <w:t>.</w:t>
      </w:r>
    </w:p>
    <w:p>
      <w:pPr>
        <w:spacing w:after="0" w:line="179" w:lineRule="exact"/>
        <w:rPr>
          <w:sz w:val="20"/>
          <w:szCs w:val="20"/>
          <w:color w:val="auto"/>
        </w:rPr>
      </w:pPr>
    </w:p>
    <w:p>
      <w:pPr>
        <w:jc w:val="both"/>
        <w:ind w:left="820" w:firstLine="768"/>
        <w:spacing w:after="0" w:line="359" w:lineRule="auto"/>
        <w:rPr>
          <w:sz w:val="20"/>
          <w:szCs w:val="20"/>
          <w:color w:val="auto"/>
        </w:rPr>
      </w:pPr>
      <w:r>
        <w:rPr>
          <w:rFonts w:ascii="Times New Roman" w:cs="Times New Roman" w:eastAsia="Times New Roman" w:hAnsi="Times New Roman"/>
          <w:sz w:val="24"/>
          <w:szCs w:val="24"/>
          <w:color w:val="222222"/>
        </w:rPr>
        <w:t xml:space="preserve">Çalışmada elde edilen </w:t>
      </w:r>
      <w:r>
        <w:rPr>
          <w:rFonts w:ascii="Times New Roman" w:cs="Times New Roman" w:eastAsia="Times New Roman" w:hAnsi="Times New Roman"/>
          <w:sz w:val="24"/>
          <w:szCs w:val="24"/>
          <w:color w:val="222222"/>
        </w:rPr>
        <w:t>veriler</w:t>
      </w:r>
      <w:r>
        <w:rPr>
          <w:rFonts w:ascii="Times New Roman" w:cs="Times New Roman" w:eastAsia="Times New Roman" w:hAnsi="Times New Roman"/>
          <w:sz w:val="24"/>
          <w:szCs w:val="24"/>
          <w:color w:val="222222"/>
        </w:rPr>
        <w:t xml:space="preserve"> Hacettepe Üniversitesi Tıp Fakültesi Hastaneleri veritabanı kullanılarak elde edilmişti</w:t>
      </w:r>
      <w:r>
        <w:rPr>
          <w:rFonts w:ascii="Times New Roman" w:cs="Times New Roman" w:eastAsia="Times New Roman" w:hAnsi="Times New Roman"/>
          <w:sz w:val="24"/>
          <w:szCs w:val="24"/>
          <w:color w:val="222222"/>
        </w:rPr>
        <w:t>r</w:t>
      </w:r>
      <w:r>
        <w:rPr>
          <w:rFonts w:ascii="Times New Roman" w:cs="Times New Roman" w:eastAsia="Times New Roman" w:hAnsi="Times New Roman"/>
          <w:sz w:val="24"/>
          <w:szCs w:val="24"/>
          <w:color w:val="222222"/>
        </w:rPr>
        <w:t xml:space="preserve">. Çalışmaya dahil edilen hastaların ilk mastositoz ilişkili semptomlarının tarihinin veritabanından elde edilememesi </w:t>
      </w:r>
      <w:r>
        <w:rPr>
          <w:rFonts w:ascii="Times New Roman" w:cs="Times New Roman" w:eastAsia="Times New Roman" w:hAnsi="Times New Roman"/>
          <w:sz w:val="24"/>
          <w:szCs w:val="24"/>
          <w:color w:val="222222"/>
        </w:rPr>
        <w:t>nedeniyle; ilk masto</w:t>
      </w:r>
      <w:r>
        <w:rPr>
          <w:rFonts w:ascii="Times New Roman" w:cs="Times New Roman" w:eastAsia="Times New Roman" w:hAnsi="Times New Roman"/>
          <w:sz w:val="24"/>
          <w:szCs w:val="24"/>
          <w:color w:val="222222"/>
        </w:rPr>
        <w:t>sitoz ilişkili semptom ve bulgu ile tanı tarihleri arasındaki süre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değerlendirilemedi. Bizim çalışmamızda tanının konulmasında en önemli rolü oynayan semptom ve bulgular değerlendirildi. Hastaların en sık </w:t>
      </w:r>
      <w:r>
        <w:rPr>
          <w:rFonts w:ascii="Times New Roman" w:cs="Times New Roman" w:eastAsia="Times New Roman" w:hAnsi="Times New Roman"/>
          <w:sz w:val="24"/>
          <w:szCs w:val="24"/>
          <w:color w:val="222222"/>
        </w:rPr>
        <w:t>(%30) cilt döküntüsü</w:t>
      </w:r>
      <w:r>
        <w:rPr>
          <w:rFonts w:ascii="Times New Roman" w:cs="Times New Roman" w:eastAsia="Times New Roman" w:hAnsi="Times New Roman"/>
          <w:sz w:val="24"/>
          <w:szCs w:val="24"/>
          <w:color w:val="222222"/>
        </w:rPr>
        <w:t xml:space="preserve"> nedeniyle araştırılırken tanı aldığı görüldü. Bu hastaların %87,5’inde ÜP’nin tanısal lezyon olduğu görüldü. Hastaların %26,7’si </w:t>
      </w:r>
      <w:r>
        <w:rPr>
          <w:rFonts w:ascii="Times New Roman" w:cs="Times New Roman" w:eastAsia="Times New Roman" w:hAnsi="Times New Roman"/>
          <w:sz w:val="24"/>
          <w:szCs w:val="24"/>
          <w:color w:val="222222"/>
        </w:rPr>
        <w:t>kemik patolojisi (sklerotik lezyon,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p</w:t>
      </w:r>
      <w:r>
        <w:rPr>
          <w:rFonts w:ascii="Times New Roman" w:cs="Times New Roman" w:eastAsia="Times New Roman" w:hAnsi="Times New Roman"/>
          <w:sz w:val="24"/>
          <w:szCs w:val="24"/>
          <w:color w:val="222222"/>
        </w:rPr>
        <w:t>atolojik kırık, osteoporoz, kemik ağrısı ) nedeniyle araştırılırken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%13,3’ünün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anafilaksi etyolojisi nedeniyle araştırılırken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tanısı aldığı görüldü. Diğer araştırma nedenleri ise sırasıyla başka bir hastalık değerlendirilmesi (%13,3), sitopeni veya </w:t>
      </w:r>
      <w:r>
        <w:rPr>
          <w:rFonts w:ascii="Times New Roman" w:cs="Times New Roman" w:eastAsia="Times New Roman" w:hAnsi="Times New Roman"/>
          <w:sz w:val="24"/>
          <w:szCs w:val="24"/>
          <w:color w:val="222222"/>
        </w:rPr>
        <w:t xml:space="preserve">sitozis ve organomegali </w:t>
      </w:r>
      <w:r>
        <w:rPr>
          <w:rFonts w:ascii="Times New Roman" w:cs="Times New Roman" w:eastAsia="Times New Roman" w:hAnsi="Times New Roman"/>
          <w:sz w:val="24"/>
          <w:szCs w:val="24"/>
          <w:color w:val="222222"/>
        </w:rPr>
        <w:t>(%6,7) şeklindeydi. 2016 yılında Pieri ve arkadaşlarının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yapmış olduğu çalışmada bizim çalışmamızdan farklı olarak mastositoz ile ilk ilişkilendirilen ve tanının konulmasında etken olan semptom ve bulgulardan en sık </w:t>
      </w:r>
      <w:r>
        <w:rPr>
          <w:rFonts w:ascii="Times New Roman" w:cs="Times New Roman" w:eastAsia="Times New Roman" w:hAnsi="Times New Roman"/>
          <w:sz w:val="24"/>
          <w:szCs w:val="24"/>
          <w:color w:val="222222"/>
        </w:rPr>
        <w:t>cilt tutulumu %46,7 ve anafilaksi %37,2 görülmekteydi. Kemik patolojileri %5,3 ile dördü</w:t>
      </w:r>
      <w:r>
        <w:rPr>
          <w:rFonts w:ascii="Times New Roman" w:cs="Times New Roman" w:eastAsia="Times New Roman" w:hAnsi="Times New Roman"/>
          <w:sz w:val="24"/>
          <w:szCs w:val="24"/>
          <w:color w:val="222222"/>
        </w:rPr>
        <w:t>ncü sıradaydı</w:t>
      </w:r>
      <w:r>
        <w:rPr>
          <w:rFonts w:ascii="Times New Roman" w:cs="Times New Roman" w:eastAsia="Times New Roman" w:hAnsi="Times New Roman"/>
          <w:sz w:val="24"/>
          <w:szCs w:val="24"/>
          <w:color w:val="222222"/>
        </w:rPr>
        <w:t xml:space="preserve"> (163).</w:t>
      </w:r>
      <w:r>
        <w:rPr>
          <w:rFonts w:ascii="Times New Roman" w:cs="Times New Roman" w:eastAsia="Times New Roman" w:hAnsi="Times New Roman"/>
          <w:sz w:val="24"/>
          <w:szCs w:val="24"/>
          <w:color w:val="222222"/>
        </w:rPr>
        <w:t>Bizim çalışmamızın literatürdeki diğer çalışmalara oranla</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ilk prezentasyon farklılığının olması ön planda hastaların cilt lezyonu nedeniyle doktora daha az başvurmasına ve anafilaksi sonrası </w:t>
      </w:r>
      <w:r>
        <w:rPr>
          <w:rFonts w:ascii="Times New Roman" w:cs="Times New Roman" w:eastAsia="Times New Roman" w:hAnsi="Times New Roman"/>
          <w:sz w:val="24"/>
          <w:szCs w:val="24"/>
          <w:color w:val="222222"/>
        </w:rPr>
        <w:t>tecrübeli</w:t>
      </w:r>
      <w:r>
        <w:rPr>
          <w:rFonts w:ascii="Times New Roman" w:cs="Times New Roman" w:eastAsia="Times New Roman" w:hAnsi="Times New Roman"/>
          <w:sz w:val="24"/>
          <w:szCs w:val="24"/>
          <w:color w:val="222222"/>
        </w:rPr>
        <w:t xml:space="preserve"> klinisyenlere ulaşımın daha az oluşuna bağlanabilir</w:t>
      </w:r>
      <w:r>
        <w:rPr>
          <w:rFonts w:ascii="Times New Roman" w:cs="Times New Roman" w:eastAsia="Times New Roman" w:hAnsi="Times New Roman"/>
          <w:sz w:val="24"/>
          <w:szCs w:val="24"/>
          <w:color w:val="222222"/>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-3986530</wp:posOffset>
            </wp:positionV>
            <wp:extent cx="4699000" cy="18542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64" w:lineRule="exact"/>
        <w:rPr>
          <w:sz w:val="20"/>
          <w:szCs w:val="20"/>
          <w:color w:val="auto"/>
        </w:rPr>
      </w:pPr>
    </w:p>
    <w:p>
      <w:pPr>
        <w:jc w:val="both"/>
        <w:ind w:left="820" w:right="20" w:firstLine="708"/>
        <w:spacing w:after="0" w:line="358" w:lineRule="auto"/>
        <w:rPr>
          <w:sz w:val="20"/>
          <w:szCs w:val="20"/>
          <w:color w:val="auto"/>
        </w:rPr>
      </w:pPr>
      <w:r>
        <w:rPr>
          <w:rFonts w:ascii="Times New Roman" w:cs="Times New Roman" w:eastAsia="Times New Roman" w:hAnsi="Times New Roman"/>
          <w:sz w:val="24"/>
          <w:szCs w:val="24"/>
          <w:color w:val="222222"/>
        </w:rPr>
        <w:t>Ha</w:t>
      </w:r>
      <w:r>
        <w:rPr>
          <w:rFonts w:ascii="Times New Roman" w:cs="Times New Roman" w:eastAsia="Times New Roman" w:hAnsi="Times New Roman"/>
          <w:sz w:val="24"/>
          <w:szCs w:val="24"/>
          <w:color w:val="222222"/>
        </w:rPr>
        <w:t>staların izlemde en sık cilt tutulumu, muskuloskeletal sistem ve GİS ile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ilişkili semptom ve bulgularının olduğu görüldü. Hastalığın semptom ve bulgularına bakıldığında tarafımızca takip edilen hastaların çok geniş bir semptom ve bulgu spektrumunun olduğu görüldü. Literatürdeki çalışmalara benzer olarak nörolojik semptom ve bulguların en az görüldüğü saptandı. Hastaların nörolojik tutulum açısından net araştırılmaması ve saptanan anormalliklerin de hastalığa aşina olmayan</w:t>
      </w:r>
    </w:p>
    <w:p>
      <w:pPr>
        <w:sectPr>
          <w:pgSz w:w="11900" w:h="16838" w:orient="portrait"/>
          <w:cols w:equalWidth="0" w:num="1">
            <w:col w:w="9060"/>
          </w:cols>
          <w:pgMar w:left="1440" w:top="702" w:right="1406" w:bottom="1440" w:gutter="0" w:footer="0" w:header="0"/>
        </w:sectPr>
      </w:pPr>
    </w:p>
    <w:bookmarkStart w:id="52" w:name="page53"/>
    <w:bookmarkEnd w:id="52"/>
    <w:p>
      <w:pPr>
        <w:ind w:left="8820"/>
        <w:spacing w:after="0"/>
        <w:rPr>
          <w:sz w:val="20"/>
          <w:szCs w:val="20"/>
          <w:color w:val="auto"/>
        </w:rPr>
      </w:pPr>
      <w:r>
        <w:rPr>
          <w:rFonts w:ascii="Calibri" w:cs="Calibri" w:eastAsia="Calibri" w:hAnsi="Calibri"/>
          <w:sz w:val="22"/>
          <w:szCs w:val="22"/>
          <w:color w:val="auto"/>
        </w:rPr>
        <w:t>42</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20"/>
        <w:spacing w:after="0" w:line="348" w:lineRule="auto"/>
        <w:rPr>
          <w:sz w:val="20"/>
          <w:szCs w:val="20"/>
          <w:color w:val="auto"/>
        </w:rPr>
      </w:pPr>
      <w:r>
        <w:rPr>
          <w:rFonts w:ascii="Times New Roman" w:cs="Times New Roman" w:eastAsia="Times New Roman" w:hAnsi="Times New Roman"/>
          <w:sz w:val="24"/>
          <w:szCs w:val="24"/>
          <w:color w:val="222222"/>
        </w:rPr>
        <w:t>klinisyenler tarafından başka hastalıklara bağlanmasının bu durumun nedeni olabileceği düşünüldü.</w:t>
      </w:r>
    </w:p>
    <w:p>
      <w:pPr>
        <w:spacing w:after="0" w:line="186" w:lineRule="exact"/>
        <w:rPr>
          <w:sz w:val="20"/>
          <w:szCs w:val="20"/>
          <w:color w:val="auto"/>
        </w:rPr>
      </w:pPr>
    </w:p>
    <w:p>
      <w:pPr>
        <w:jc w:val="both"/>
        <w:ind w:left="820" w:firstLine="708"/>
        <w:spacing w:after="0" w:line="358" w:lineRule="auto"/>
        <w:rPr>
          <w:sz w:val="20"/>
          <w:szCs w:val="20"/>
          <w:color w:val="auto"/>
        </w:rPr>
      </w:pPr>
      <w:r>
        <w:rPr>
          <w:rFonts w:ascii="Times New Roman" w:cs="Times New Roman" w:eastAsia="Times New Roman" w:hAnsi="Times New Roman"/>
          <w:sz w:val="24"/>
          <w:szCs w:val="24"/>
          <w:color w:val="222222"/>
        </w:rPr>
        <w:t xml:space="preserve">Kohortumuzda muskuloskeletal semptomlar ve kütanöz semptomlar İSM ile takipli hastalarda ASM ile takipli hastalardan daha sık görülmekteydi. Bizim çalışmamızın bu açıdan literatür ile uyumlu olduğu görüldü. GİS semptom ve bulguları ise literatürden farklı olarak bizim kohortumuzda </w:t>
      </w:r>
      <w:r>
        <w:rPr>
          <w:rFonts w:ascii="Times New Roman" w:cs="Times New Roman" w:eastAsia="Times New Roman" w:hAnsi="Times New Roman"/>
          <w:sz w:val="24"/>
          <w:szCs w:val="24"/>
          <w:color w:val="222222"/>
        </w:rPr>
        <w:t>ASM ile takipli</w:t>
      </w:r>
      <w:r>
        <w:rPr>
          <w:rFonts w:ascii="Times New Roman" w:cs="Times New Roman" w:eastAsia="Times New Roman" w:hAnsi="Times New Roman"/>
          <w:sz w:val="24"/>
          <w:szCs w:val="24"/>
          <w:color w:val="222222"/>
        </w:rPr>
        <w:t xml:space="preserve"> hastalarda İSM ile takipli hastalara kıyasla daha sık görüldü. Pieri ve arkadaşlarının 2016 yılında yaptığı çalışmada ve Lim ve arkadaşlarının 2009 yılında yaptığı çalışmada GİS semptom ve bulgularının İSM ile takipli hastalarda ASM ile takipli hastalara kıyasla daha sık olduğu saptanmıştır </w:t>
      </w:r>
      <w:r>
        <w:rPr>
          <w:rFonts w:ascii="Times New Roman" w:cs="Times New Roman" w:eastAsia="Times New Roman" w:hAnsi="Times New Roman"/>
          <w:sz w:val="24"/>
          <w:szCs w:val="24"/>
          <w:color w:val="222222"/>
        </w:rPr>
        <w:t>(8, 163).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-45720</wp:posOffset>
            </wp:positionV>
            <wp:extent cx="4699000" cy="185420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60" w:lineRule="exact"/>
        <w:rPr>
          <w:sz w:val="20"/>
          <w:szCs w:val="20"/>
          <w:color w:val="auto"/>
        </w:rPr>
      </w:pPr>
    </w:p>
    <w:p>
      <w:pPr>
        <w:jc w:val="both"/>
        <w:ind w:left="820" w:firstLine="708"/>
        <w:spacing w:after="0" w:line="359" w:lineRule="auto"/>
        <w:rPr>
          <w:sz w:val="20"/>
          <w:szCs w:val="20"/>
          <w:color w:val="auto"/>
        </w:rPr>
      </w:pPr>
      <w:r>
        <w:rPr>
          <w:rFonts w:ascii="Times New Roman" w:cs="Times New Roman" w:eastAsia="Times New Roman" w:hAnsi="Times New Roman"/>
          <w:sz w:val="24"/>
          <w:szCs w:val="24"/>
          <w:color w:val="222222"/>
        </w:rPr>
        <w:t xml:space="preserve">İzlemde anafilaksi gelişimi hastaların %36’sında saptandı. </w:t>
      </w:r>
      <w:r>
        <w:rPr>
          <w:rFonts w:ascii="Times New Roman" w:cs="Times New Roman" w:eastAsia="Times New Roman" w:hAnsi="Times New Roman"/>
          <w:sz w:val="24"/>
          <w:szCs w:val="24"/>
          <w:color w:val="222222"/>
        </w:rPr>
        <w:t>Literatüre</w:t>
      </w:r>
      <w:r>
        <w:rPr>
          <w:rFonts w:ascii="Times New Roman" w:cs="Times New Roman" w:eastAsia="Times New Roman" w:hAnsi="Times New Roman"/>
          <w:sz w:val="24"/>
          <w:szCs w:val="24"/>
          <w:color w:val="222222"/>
        </w:rPr>
        <w:t xml:space="preserve"> bakıldığında Pieri ve arkadaşlarının yaptığı ve Gülen ve arkadaşlarının yaptığı çalışma</w:t>
      </w:r>
      <w:r>
        <w:rPr>
          <w:rFonts w:ascii="Times New Roman" w:cs="Times New Roman" w:eastAsia="Times New Roman" w:hAnsi="Times New Roman"/>
          <w:sz w:val="24"/>
          <w:szCs w:val="24"/>
          <w:color w:val="222222"/>
        </w:rPr>
        <w:t>larda da</w:t>
      </w:r>
      <w:r>
        <w:rPr>
          <w:rFonts w:ascii="Times New Roman" w:cs="Times New Roman" w:eastAsia="Times New Roman" w:hAnsi="Times New Roman"/>
          <w:sz w:val="24"/>
          <w:szCs w:val="24"/>
          <w:color w:val="222222"/>
        </w:rPr>
        <w:t xml:space="preserve"> anafilaksi görülen hastaların toplam hasta popülasyonunun %30</w:t>
      </w:r>
      <w:r>
        <w:rPr>
          <w:rFonts w:ascii="Times New Roman" w:cs="Times New Roman" w:eastAsia="Times New Roman" w:hAnsi="Times New Roman"/>
          <w:sz w:val="24"/>
          <w:szCs w:val="24"/>
          <w:color w:val="222222"/>
        </w:rPr>
        <w:t>-40</w:t>
      </w:r>
      <w:r>
        <w:rPr>
          <w:rFonts w:ascii="Times New Roman" w:cs="Times New Roman" w:eastAsia="Times New Roman" w:hAnsi="Times New Roman"/>
          <w:sz w:val="24"/>
          <w:szCs w:val="24"/>
          <w:color w:val="222222"/>
        </w:rPr>
        <w:t xml:space="preserve"> civarını oluşturduğu gözlemlenmiştir</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 xml:space="preserve"> Bizim çalışmamızda </w:t>
      </w:r>
      <w:r>
        <w:rPr>
          <w:rFonts w:ascii="Times New Roman" w:cs="Times New Roman" w:eastAsia="Times New Roman" w:hAnsi="Times New Roman"/>
          <w:sz w:val="24"/>
          <w:szCs w:val="24"/>
          <w:color w:val="222222"/>
        </w:rPr>
        <w:t>anafilaksi öyküsü olan 9</w:t>
      </w:r>
      <w:r>
        <w:rPr>
          <w:rFonts w:ascii="Times New Roman" w:cs="Times New Roman" w:eastAsia="Times New Roman" w:hAnsi="Times New Roman"/>
          <w:sz w:val="24"/>
          <w:szCs w:val="24"/>
          <w:color w:val="222222"/>
        </w:rPr>
        <w:t xml:space="preserve"> hastanın anafilaksi nedenleri sırasıyla hymenoptera zehri </w:t>
      </w:r>
      <w:r>
        <w:rPr>
          <w:rFonts w:ascii="Times New Roman" w:cs="Times New Roman" w:eastAsia="Times New Roman" w:hAnsi="Times New Roman"/>
          <w:sz w:val="24"/>
          <w:szCs w:val="24"/>
          <w:color w:val="222222"/>
        </w:rPr>
        <w:t>(%44,4) ve ilaçlar (%22,2)</w:t>
      </w:r>
      <w:r>
        <w:rPr>
          <w:rFonts w:ascii="Times New Roman" w:cs="Times New Roman" w:eastAsia="Times New Roman" w:hAnsi="Times New Roman"/>
          <w:sz w:val="24"/>
          <w:szCs w:val="24"/>
          <w:color w:val="222222"/>
        </w:rPr>
        <w:t xml:space="preserve"> şeklindeydi. Üç(%33,4) hastada ise nedenin bulunamadığı ve hastalara idiopatik anafilaksi tanısının konulduğu görüldü. Literatür bu açıdan incelendiğinde </w:t>
      </w:r>
      <w:r>
        <w:rPr>
          <w:rFonts w:ascii="Times New Roman" w:cs="Times New Roman" w:eastAsia="Times New Roman" w:hAnsi="Times New Roman"/>
          <w:sz w:val="24"/>
          <w:szCs w:val="24"/>
          <w:color w:val="222222"/>
        </w:rPr>
        <w:t>(163,</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166), SM </w:t>
      </w:r>
      <w:r>
        <w:rPr>
          <w:rFonts w:ascii="Times New Roman" w:cs="Times New Roman" w:eastAsia="Times New Roman" w:hAnsi="Times New Roman"/>
          <w:sz w:val="24"/>
          <w:szCs w:val="24"/>
          <w:color w:val="222222"/>
        </w:rPr>
        <w:t>hastalarında en sık anaf</w:t>
      </w:r>
      <w:r>
        <w:rPr>
          <w:rFonts w:ascii="Times New Roman" w:cs="Times New Roman" w:eastAsia="Times New Roman" w:hAnsi="Times New Roman"/>
          <w:sz w:val="24"/>
          <w:szCs w:val="24"/>
          <w:color w:val="222222"/>
        </w:rPr>
        <w:t xml:space="preserve">ilaksi nedeni olarak hymenoptera cinsi zar </w:t>
      </w:r>
      <w:r>
        <w:rPr>
          <w:rFonts w:ascii="Times New Roman" w:cs="Times New Roman" w:eastAsia="Times New Roman" w:hAnsi="Times New Roman"/>
          <w:sz w:val="24"/>
          <w:szCs w:val="24"/>
          <w:color w:val="222222"/>
        </w:rPr>
        <w:t xml:space="preserve">kanatlıların zehri göze çarpmaktadır. İkinci sırada ise idiopatik anafilaksi görülmektedir. Bizim çalışmamız bu açıdan literatür ile uyum göstermektedir. </w:t>
      </w:r>
      <w:r>
        <w:rPr>
          <w:rFonts w:ascii="Times New Roman" w:cs="Times New Roman" w:eastAsia="Times New Roman" w:hAnsi="Times New Roman"/>
          <w:sz w:val="24"/>
          <w:szCs w:val="24"/>
          <w:color w:val="222222"/>
        </w:rPr>
        <w:t>Bizim</w:t>
      </w:r>
      <w:r>
        <w:rPr>
          <w:rFonts w:ascii="Times New Roman" w:cs="Times New Roman" w:eastAsia="Times New Roman" w:hAnsi="Times New Roman"/>
          <w:sz w:val="24"/>
          <w:szCs w:val="24"/>
          <w:color w:val="222222"/>
        </w:rPr>
        <w:t xml:space="preserve"> kohortumuzda literatürden farklı olarak anafilaksi ASM’li hastalarda daha sık </w:t>
      </w:r>
      <w:r>
        <w:rPr>
          <w:rFonts w:ascii="Times New Roman" w:cs="Times New Roman" w:eastAsia="Times New Roman" w:hAnsi="Times New Roman"/>
          <w:sz w:val="24"/>
          <w:szCs w:val="24"/>
          <w:color w:val="222222"/>
        </w:rPr>
        <w:t>gözlendi (163, 166).</w:t>
      </w:r>
    </w:p>
    <w:p>
      <w:pPr>
        <w:spacing w:after="0" w:line="173" w:lineRule="exact"/>
        <w:rPr>
          <w:sz w:val="20"/>
          <w:szCs w:val="20"/>
          <w:color w:val="auto"/>
        </w:rPr>
      </w:pPr>
    </w:p>
    <w:p>
      <w:pPr>
        <w:jc w:val="both"/>
        <w:ind w:left="820" w:firstLine="708"/>
        <w:spacing w:after="0" w:line="359" w:lineRule="auto"/>
        <w:rPr>
          <w:sz w:val="20"/>
          <w:szCs w:val="20"/>
          <w:color w:val="auto"/>
        </w:rPr>
      </w:pPr>
      <w:r>
        <w:rPr>
          <w:rFonts w:ascii="Times New Roman" w:cs="Times New Roman" w:eastAsia="Times New Roman" w:hAnsi="Times New Roman"/>
          <w:sz w:val="24"/>
          <w:szCs w:val="24"/>
          <w:color w:val="222222"/>
        </w:rPr>
        <w:t xml:space="preserve">Çalışmamıza alınan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hastalarının tamamında WHO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tanı kriterlerine göre majör kriter olarak değerlendirilen kemik iliğinde </w:t>
      </w:r>
      <w:r>
        <w:rPr>
          <w:rFonts w:ascii="Times New Roman" w:cs="Times New Roman" w:eastAsia="Times New Roman" w:hAnsi="Times New Roman"/>
          <w:sz w:val="24"/>
          <w:szCs w:val="24"/>
          <w:color w:val="444444"/>
        </w:rPr>
        <w:t>≥</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444444"/>
        </w:rPr>
        <w:t>15 mast hücresi içeren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444444"/>
        </w:rPr>
        <w:t xml:space="preserve">multifokal agregatlar saptandı. Çalışmamıza alınan hastaların tamamına 1 majör </w:t>
      </w:r>
      <w:r>
        <w:rPr>
          <w:rFonts w:ascii="Times New Roman" w:cs="Times New Roman" w:eastAsia="Times New Roman" w:hAnsi="Times New Roman"/>
          <w:sz w:val="24"/>
          <w:szCs w:val="24"/>
          <w:color w:val="444444"/>
        </w:rPr>
        <w:t>ve 1</w:t>
      </w:r>
      <w:r>
        <w:rPr>
          <w:rFonts w:ascii="Times New Roman" w:cs="Times New Roman" w:eastAsia="Times New Roman" w:hAnsi="Times New Roman"/>
          <w:sz w:val="24"/>
          <w:szCs w:val="24"/>
          <w:color w:val="444444"/>
        </w:rPr>
        <w:t xml:space="preserve"> </w:t>
      </w:r>
      <w:r>
        <w:rPr>
          <w:rFonts w:ascii="Times New Roman" w:cs="Times New Roman" w:eastAsia="Times New Roman" w:hAnsi="Times New Roman"/>
          <w:sz w:val="24"/>
          <w:szCs w:val="24"/>
          <w:color w:val="444444"/>
        </w:rPr>
        <w:t xml:space="preserve">minör kriter ile SM </w:t>
      </w:r>
      <w:r>
        <w:rPr>
          <w:rFonts w:ascii="Times New Roman" w:cs="Times New Roman" w:eastAsia="Times New Roman" w:hAnsi="Times New Roman"/>
          <w:sz w:val="24"/>
          <w:szCs w:val="24"/>
          <w:color w:val="444444"/>
        </w:rPr>
        <w:t>tanısı konulduğu görüldü. Değerlendirilebilen 28 hastanın</w:t>
      </w:r>
      <w:r>
        <w:rPr>
          <w:rFonts w:ascii="Times New Roman" w:cs="Times New Roman" w:eastAsia="Times New Roman" w:hAnsi="Times New Roman"/>
          <w:sz w:val="24"/>
          <w:szCs w:val="24"/>
          <w:color w:val="444444"/>
        </w:rPr>
        <w:t xml:space="preserve"> </w:t>
      </w:r>
      <w:r>
        <w:rPr>
          <w:rFonts w:ascii="Times New Roman" w:cs="Times New Roman" w:eastAsia="Times New Roman" w:hAnsi="Times New Roman"/>
          <w:sz w:val="24"/>
          <w:szCs w:val="24"/>
          <w:color w:val="444444"/>
        </w:rPr>
        <w:t xml:space="preserve">tamamında minör kriter olarak değerlendirilen atipik iğsi şekilli mast hücreleri görüldü. Literatürdeki diğer çalışmaların aksine bizim kohortumuzda immünfenotipik değerlendirme ve </w:t>
      </w:r>
      <w:r>
        <w:rPr>
          <w:rFonts w:ascii="Times New Roman" w:cs="Times New Roman" w:eastAsia="Times New Roman" w:hAnsi="Times New Roman"/>
          <w:sz w:val="24"/>
          <w:szCs w:val="24"/>
          <w:color w:val="444444"/>
        </w:rPr>
        <w:t>c-KIT D816V muta</w:t>
      </w:r>
      <w:r>
        <w:rPr>
          <w:rFonts w:ascii="Times New Roman" w:cs="Times New Roman" w:eastAsia="Times New Roman" w:hAnsi="Times New Roman"/>
          <w:sz w:val="24"/>
          <w:szCs w:val="24"/>
          <w:color w:val="444444"/>
        </w:rPr>
        <w:t>syon değerlendirilmesinin çok az hastada tanı kriteri olarak kullanılmıştı. CD25/CD2 ekspresyonu bakılan hastaların tamamında bu reseptörlerin eksprese edild</w:t>
      </w:r>
      <w:r>
        <w:rPr>
          <w:rFonts w:ascii="Times New Roman" w:cs="Times New Roman" w:eastAsia="Times New Roman" w:hAnsi="Times New Roman"/>
          <w:sz w:val="24"/>
          <w:szCs w:val="24"/>
          <w:color w:val="444444"/>
        </w:rPr>
        <w:t>i</w:t>
      </w:r>
      <w:r>
        <w:rPr>
          <w:rFonts w:ascii="Times New Roman" w:cs="Times New Roman" w:eastAsia="Times New Roman" w:hAnsi="Times New Roman"/>
          <w:sz w:val="24"/>
          <w:szCs w:val="24"/>
          <w:color w:val="444444"/>
        </w:rPr>
        <w:t xml:space="preserve">ği görüldü. Sayıca az hasta değerlendirilebilmesine rağmen literatür ile uyumlu olduğu görüldü </w:t>
      </w:r>
      <w:r>
        <w:rPr>
          <w:rFonts w:ascii="Times New Roman" w:cs="Times New Roman" w:eastAsia="Times New Roman" w:hAnsi="Times New Roman"/>
          <w:sz w:val="24"/>
          <w:szCs w:val="24"/>
          <w:color w:val="444444"/>
        </w:rPr>
        <w:t>(163). Triptaz</w:t>
      </w:r>
    </w:p>
    <w:p>
      <w:pPr>
        <w:sectPr>
          <w:pgSz w:w="11900" w:h="16838" w:orient="portrait"/>
          <w:cols w:equalWidth="0" w:num="1">
            <w:col w:w="9060"/>
          </w:cols>
          <w:pgMar w:left="1440" w:top="702" w:right="1406" w:bottom="848" w:gutter="0" w:footer="0" w:header="0"/>
        </w:sectPr>
      </w:pPr>
    </w:p>
    <w:bookmarkStart w:id="53" w:name="page54"/>
    <w:bookmarkEnd w:id="53"/>
    <w:p>
      <w:pPr>
        <w:ind w:left="8820"/>
        <w:spacing w:after="0"/>
        <w:rPr>
          <w:sz w:val="20"/>
          <w:szCs w:val="20"/>
          <w:color w:val="auto"/>
        </w:rPr>
      </w:pPr>
      <w:r>
        <w:rPr>
          <w:rFonts w:ascii="Calibri" w:cs="Calibri" w:eastAsia="Calibri" w:hAnsi="Calibri"/>
          <w:sz w:val="22"/>
          <w:szCs w:val="22"/>
          <w:color w:val="auto"/>
        </w:rPr>
        <w:t>43</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20"/>
        <w:spacing w:after="0" w:line="357" w:lineRule="auto"/>
        <w:rPr>
          <w:sz w:val="20"/>
          <w:szCs w:val="20"/>
          <w:color w:val="auto"/>
        </w:rPr>
      </w:pPr>
      <w:r>
        <w:rPr>
          <w:rFonts w:ascii="Times New Roman" w:cs="Times New Roman" w:eastAsia="Times New Roman" w:hAnsi="Times New Roman"/>
          <w:sz w:val="24"/>
          <w:szCs w:val="24"/>
          <w:color w:val="444444"/>
        </w:rPr>
        <w:t xml:space="preserve">düzeyinin &gt;20 ng/ml bir diğer minör kriter olarak değerlendirilmektedir. Bizim </w:t>
      </w:r>
      <w:r>
        <w:rPr>
          <w:rFonts w:ascii="Times New Roman" w:cs="Times New Roman" w:eastAsia="Times New Roman" w:hAnsi="Times New Roman"/>
          <w:sz w:val="24"/>
          <w:szCs w:val="24"/>
          <w:color w:val="444444"/>
        </w:rPr>
        <w:t xml:space="preserve">kohortumuzda triptaz düzeyi </w:t>
      </w:r>
      <w:r>
        <w:rPr>
          <w:rFonts w:ascii="Times New Roman" w:cs="Times New Roman" w:eastAsia="Times New Roman" w:hAnsi="Times New Roman"/>
          <w:sz w:val="24"/>
          <w:szCs w:val="24"/>
          <w:color w:val="444444"/>
        </w:rPr>
        <w:t>değerlendirilebilen 16 hastanın 13(%81,3) tanesinde</w:t>
      </w:r>
      <w:r>
        <w:rPr>
          <w:rFonts w:ascii="Times New Roman" w:cs="Times New Roman" w:eastAsia="Times New Roman" w:hAnsi="Times New Roman"/>
          <w:sz w:val="24"/>
          <w:szCs w:val="24"/>
          <w:color w:val="444444"/>
        </w:rPr>
        <w:t xml:space="preserve"> </w:t>
      </w:r>
      <w:r>
        <w:rPr>
          <w:rFonts w:ascii="Times New Roman" w:cs="Times New Roman" w:eastAsia="Times New Roman" w:hAnsi="Times New Roman"/>
          <w:sz w:val="24"/>
          <w:szCs w:val="24"/>
          <w:color w:val="444444"/>
        </w:rPr>
        <w:t xml:space="preserve">triptaz düzeyinin &gt;20 ng/ml olduğu görüldü. ASM hastalarının ortanca triptaz düzeyi </w:t>
      </w:r>
      <w:r>
        <w:rPr>
          <w:rFonts w:ascii="Times New Roman" w:cs="Times New Roman" w:eastAsia="Times New Roman" w:hAnsi="Times New Roman"/>
          <w:sz w:val="24"/>
          <w:szCs w:val="24"/>
          <w:color w:val="444444"/>
        </w:rPr>
        <w:t>146(14,6-</w:t>
      </w:r>
      <w:r>
        <w:rPr>
          <w:rFonts w:ascii="Times New Roman" w:cs="Times New Roman" w:eastAsia="Times New Roman" w:hAnsi="Times New Roman"/>
          <w:sz w:val="24"/>
          <w:szCs w:val="24"/>
          <w:color w:val="444444"/>
        </w:rPr>
        <w:t>250) iken İSM hastalarının ortanca triptaz düzeyinin 36,45(2,25</w:t>
      </w:r>
      <w:r>
        <w:rPr>
          <w:rFonts w:ascii="Times New Roman" w:cs="Times New Roman" w:eastAsia="Times New Roman" w:hAnsi="Times New Roman"/>
          <w:sz w:val="24"/>
          <w:szCs w:val="24"/>
          <w:color w:val="444444"/>
        </w:rPr>
        <w:t xml:space="preserve">-166) </w:t>
      </w:r>
      <w:r>
        <w:rPr>
          <w:rFonts w:ascii="Times New Roman" w:cs="Times New Roman" w:eastAsia="Times New Roman" w:hAnsi="Times New Roman"/>
          <w:sz w:val="24"/>
          <w:szCs w:val="24"/>
          <w:color w:val="444444"/>
        </w:rPr>
        <w:t xml:space="preserve">olduğu görüldü. Literatüre </w:t>
      </w:r>
      <w:r>
        <w:rPr>
          <w:rFonts w:ascii="Times New Roman" w:cs="Times New Roman" w:eastAsia="Times New Roman" w:hAnsi="Times New Roman"/>
          <w:sz w:val="24"/>
          <w:szCs w:val="24"/>
          <w:color w:val="444444"/>
        </w:rPr>
        <w:t>(163)</w:t>
      </w:r>
      <w:r>
        <w:rPr>
          <w:rFonts w:ascii="Times New Roman" w:cs="Times New Roman" w:eastAsia="Times New Roman" w:hAnsi="Times New Roman"/>
          <w:sz w:val="24"/>
          <w:szCs w:val="24"/>
          <w:color w:val="444444"/>
        </w:rPr>
        <w:t xml:space="preserve"> uygun olarak kohortumuzdaki ASM hastalarının triptaz düzeyi İSM hastalarına kıyasla yüksek görüldü.</w:t>
      </w:r>
    </w:p>
    <w:p>
      <w:pPr>
        <w:spacing w:after="0" w:line="179" w:lineRule="exact"/>
        <w:rPr>
          <w:sz w:val="20"/>
          <w:szCs w:val="20"/>
          <w:color w:val="auto"/>
        </w:rPr>
      </w:pPr>
    </w:p>
    <w:p>
      <w:pPr>
        <w:jc w:val="both"/>
        <w:ind w:left="820" w:firstLine="708"/>
        <w:spacing w:after="0" w:line="359" w:lineRule="auto"/>
        <w:rPr>
          <w:sz w:val="20"/>
          <w:szCs w:val="20"/>
          <w:color w:val="auto"/>
        </w:rPr>
      </w:pPr>
      <w:r>
        <w:rPr>
          <w:rFonts w:ascii="Times New Roman" w:cs="Times New Roman" w:eastAsia="Times New Roman" w:hAnsi="Times New Roman"/>
          <w:sz w:val="24"/>
          <w:szCs w:val="24"/>
          <w:color w:val="222222"/>
        </w:rPr>
        <w:t xml:space="preserve">Bizim çalışmamızda ASM ile takipli toplam 10 hasta saptandı. </w:t>
      </w:r>
      <w:r>
        <w:rPr>
          <w:rFonts w:ascii="Times New Roman" w:cs="Times New Roman" w:eastAsia="Times New Roman" w:hAnsi="Times New Roman"/>
          <w:sz w:val="24"/>
          <w:szCs w:val="24"/>
          <w:color w:val="222222"/>
        </w:rPr>
        <w:t>Bu 10</w:t>
      </w:r>
      <w:r>
        <w:rPr>
          <w:rFonts w:ascii="Times New Roman" w:cs="Times New Roman" w:eastAsia="Times New Roman" w:hAnsi="Times New Roman"/>
          <w:sz w:val="24"/>
          <w:szCs w:val="24"/>
          <w:color w:val="222222"/>
        </w:rPr>
        <w:t xml:space="preserve"> hastanın C bulgusu olarak değerlendirilen sitopeni hastaların %60’ında, hepatik disfonksiyon hastaların %22,2’sinde, hipersplenizm hastaların %10’unda ve kemik patolojisi değerlendirilebilen hastaların %66,7’sinde saptandı. </w:t>
      </w:r>
      <w:r>
        <w:rPr>
          <w:rFonts w:ascii="Times New Roman" w:cs="Times New Roman" w:eastAsia="Times New Roman" w:hAnsi="Times New Roman"/>
          <w:sz w:val="24"/>
          <w:szCs w:val="24"/>
          <w:color w:val="222222"/>
        </w:rPr>
        <w:t>Bizim kohortumuzda</w:t>
      </w:r>
      <w:r>
        <w:rPr>
          <w:rFonts w:ascii="Times New Roman" w:cs="Times New Roman" w:eastAsia="Times New Roman" w:hAnsi="Times New Roman"/>
          <w:sz w:val="24"/>
          <w:szCs w:val="24"/>
          <w:color w:val="222222"/>
        </w:rPr>
        <w:t xml:space="preserve"> malabsorbsiyon ve kilo kaybı hiçbir hastada görülmedi. Literatüre bakıldığında malabsorbsiyon ve kilo kaybı görülme sıklığında çalışmalar arasında farklılıklar vardır. Pieri ve arkadaşlarının yapmış olduğu çalışmada hastaların %50’sinde </w:t>
      </w:r>
      <w:r>
        <w:rPr>
          <w:rFonts w:ascii="Times New Roman" w:cs="Times New Roman" w:eastAsia="Times New Roman" w:hAnsi="Times New Roman"/>
          <w:sz w:val="24"/>
          <w:szCs w:val="24"/>
          <w:color w:val="222222"/>
        </w:rPr>
        <w:t>görülürk</w:t>
      </w:r>
      <w:r>
        <w:rPr>
          <w:rFonts w:ascii="Times New Roman" w:cs="Times New Roman" w:eastAsia="Times New Roman" w:hAnsi="Times New Roman"/>
          <w:sz w:val="24"/>
          <w:szCs w:val="24"/>
          <w:color w:val="222222"/>
        </w:rPr>
        <w:t>en, Lim ve arkadaşlarının yapmış olduğu çalışmada hastaların sadece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%5’inde görülmüş</w:t>
      </w:r>
      <w:r>
        <w:rPr>
          <w:rFonts w:ascii="Times New Roman" w:cs="Times New Roman" w:eastAsia="Times New Roman" w:hAnsi="Times New Roman"/>
          <w:sz w:val="24"/>
          <w:szCs w:val="24"/>
          <w:color w:val="222222"/>
        </w:rPr>
        <w:t>tür (8, 163)</w:t>
      </w:r>
      <w:r>
        <w:rPr>
          <w:rFonts w:ascii="Times New Roman" w:cs="Times New Roman" w:eastAsia="Times New Roman" w:hAnsi="Times New Roman"/>
          <w:sz w:val="24"/>
          <w:szCs w:val="24"/>
          <w:color w:val="222222"/>
        </w:rPr>
        <w:t xml:space="preserve">. Bizim kohortumuzda en sık iki </w:t>
      </w:r>
      <w:r>
        <w:rPr>
          <w:rFonts w:ascii="Times New Roman" w:cs="Times New Roman" w:eastAsia="Times New Roman" w:hAnsi="Times New Roman"/>
          <w:sz w:val="24"/>
          <w:szCs w:val="24"/>
          <w:color w:val="222222"/>
        </w:rPr>
        <w:t>C bulgusunun kemik</w:t>
      </w:r>
      <w:r>
        <w:rPr>
          <w:rFonts w:ascii="Times New Roman" w:cs="Times New Roman" w:eastAsia="Times New Roman" w:hAnsi="Times New Roman"/>
          <w:sz w:val="24"/>
          <w:szCs w:val="24"/>
          <w:color w:val="222222"/>
        </w:rPr>
        <w:t xml:space="preserve"> patolojileri ve kemik iliği yetmezliği (sitopeni) olduğu görülmüştür. Bu durum literatür ile de uyuşmaktadır </w:t>
      </w:r>
      <w:r>
        <w:rPr>
          <w:rFonts w:ascii="Times New Roman" w:cs="Times New Roman" w:eastAsia="Times New Roman" w:hAnsi="Times New Roman"/>
          <w:sz w:val="24"/>
          <w:szCs w:val="24"/>
          <w:color w:val="222222"/>
        </w:rPr>
        <w:t>(163). Hepatik disfonksiyon ve hipersplenizm bizim</w:t>
      </w:r>
      <w:r>
        <w:rPr>
          <w:rFonts w:ascii="Times New Roman" w:cs="Times New Roman" w:eastAsia="Times New Roman" w:hAnsi="Times New Roman"/>
          <w:sz w:val="24"/>
          <w:szCs w:val="24"/>
          <w:color w:val="222222"/>
        </w:rPr>
        <w:t xml:space="preserve"> kohortumuzda diğer çalışmalara göre da</w:t>
      </w:r>
      <w:r>
        <w:rPr>
          <w:rFonts w:ascii="Times New Roman" w:cs="Times New Roman" w:eastAsia="Times New Roman" w:hAnsi="Times New Roman"/>
          <w:sz w:val="24"/>
          <w:szCs w:val="24"/>
          <w:color w:val="222222"/>
        </w:rPr>
        <w:t>ha az görüldü (8, 163).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-2151380</wp:posOffset>
            </wp:positionV>
            <wp:extent cx="4699000" cy="18542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56" w:lineRule="exact"/>
        <w:rPr>
          <w:sz w:val="20"/>
          <w:szCs w:val="20"/>
          <w:color w:val="auto"/>
        </w:rPr>
      </w:pPr>
    </w:p>
    <w:p>
      <w:pPr>
        <w:jc w:val="both"/>
        <w:ind w:left="820" w:firstLine="708"/>
        <w:spacing w:after="0" w:line="358" w:lineRule="auto"/>
        <w:rPr>
          <w:sz w:val="20"/>
          <w:szCs w:val="20"/>
          <w:color w:val="auto"/>
        </w:rPr>
      </w:pPr>
      <w:r>
        <w:rPr>
          <w:rFonts w:ascii="Times New Roman" w:cs="Times New Roman" w:eastAsia="Times New Roman" w:hAnsi="Times New Roman"/>
          <w:sz w:val="24"/>
          <w:szCs w:val="24"/>
          <w:color w:val="222222"/>
        </w:rPr>
        <w:t xml:space="preserve">SM </w:t>
      </w:r>
      <w:r>
        <w:rPr>
          <w:rFonts w:ascii="Times New Roman" w:cs="Times New Roman" w:eastAsia="Times New Roman" w:hAnsi="Times New Roman"/>
          <w:sz w:val="24"/>
          <w:szCs w:val="24"/>
          <w:color w:val="222222"/>
        </w:rPr>
        <w:t>hastalarının sistemik mediatör aracılı reaksiyonlar ve patolojiler</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nedeniyle ciddi bir semptom yükü vardır. Bu nedenle hastalara mediatör aracılı </w:t>
      </w:r>
      <w:r>
        <w:rPr>
          <w:rFonts w:ascii="Times New Roman" w:cs="Times New Roman" w:eastAsia="Times New Roman" w:hAnsi="Times New Roman"/>
          <w:sz w:val="24"/>
          <w:szCs w:val="24"/>
          <w:color w:val="222222"/>
        </w:rPr>
        <w:t>reaksiyonlar için destek tedavileri verilmelidir. Bizim kohortumuzda SM ile takipli toplam 12 hastaya adrenal</w:t>
      </w:r>
      <w:r>
        <w:rPr>
          <w:rFonts w:ascii="Times New Roman" w:cs="Times New Roman" w:eastAsia="Times New Roman" w:hAnsi="Times New Roman"/>
          <w:sz w:val="24"/>
          <w:szCs w:val="24"/>
          <w:color w:val="222222"/>
        </w:rPr>
        <w:t>in enjektör reçete edildiği görüldü. Anafilaksi öyküsü olan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9 hastanın tamamına enjekte edilebilir adrenalin reçete edildiği görüldü. Anafilaksi öyküsü olmayan sadece üç hastaya enjekte edilebilir adrenalin reçete edilmişti. Literatüre bakıldığında bizim k</w:t>
      </w:r>
      <w:r>
        <w:rPr>
          <w:rFonts w:ascii="Times New Roman" w:cs="Times New Roman" w:eastAsia="Times New Roman" w:hAnsi="Times New Roman"/>
          <w:sz w:val="24"/>
          <w:szCs w:val="24"/>
          <w:color w:val="222222"/>
        </w:rPr>
        <w:t>ohortumuzda anafilaksi öyküsü olmayan SM</w:t>
      </w:r>
      <w:r>
        <w:rPr>
          <w:rFonts w:ascii="Times New Roman" w:cs="Times New Roman" w:eastAsia="Times New Roman" w:hAnsi="Times New Roman"/>
          <w:sz w:val="24"/>
          <w:szCs w:val="24"/>
          <w:color w:val="222222"/>
        </w:rPr>
        <w:t xml:space="preserve"> hastalarına diğer çalışmalardaki hastalara kıyasla çok daha az enjekte edilebilir adrenalin reçete edildiği görüldü </w:t>
      </w:r>
      <w:r>
        <w:rPr>
          <w:rFonts w:ascii="Times New Roman" w:cs="Times New Roman" w:eastAsia="Times New Roman" w:hAnsi="Times New Roman"/>
          <w:sz w:val="24"/>
          <w:szCs w:val="24"/>
          <w:color w:val="222222"/>
        </w:rPr>
        <w:t>(8, 163). Tekrarlayan anafilaksileri olan iki hastaya</w:t>
      </w:r>
      <w:r>
        <w:rPr>
          <w:rFonts w:ascii="Times New Roman" w:cs="Times New Roman" w:eastAsia="Times New Roman" w:hAnsi="Times New Roman"/>
          <w:sz w:val="24"/>
          <w:szCs w:val="24"/>
          <w:color w:val="222222"/>
        </w:rPr>
        <w:t xml:space="preserve"> sitoredüktif tedavi(IFN alfa) verildiği görüldü.</w:t>
      </w:r>
    </w:p>
    <w:p>
      <w:pPr>
        <w:spacing w:after="0" w:line="182" w:lineRule="exact"/>
        <w:rPr>
          <w:sz w:val="20"/>
          <w:szCs w:val="20"/>
          <w:color w:val="auto"/>
        </w:rPr>
      </w:pPr>
    </w:p>
    <w:p>
      <w:pPr>
        <w:jc w:val="both"/>
        <w:ind w:left="820" w:right="20" w:firstLine="708"/>
        <w:spacing w:after="0" w:line="356" w:lineRule="auto"/>
        <w:rPr>
          <w:sz w:val="20"/>
          <w:szCs w:val="20"/>
          <w:color w:val="auto"/>
        </w:rPr>
      </w:pPr>
      <w:r>
        <w:rPr>
          <w:rFonts w:ascii="Times New Roman" w:cs="Times New Roman" w:eastAsia="Times New Roman" w:hAnsi="Times New Roman"/>
          <w:sz w:val="24"/>
          <w:szCs w:val="24"/>
          <w:color w:val="222222"/>
        </w:rPr>
        <w:t xml:space="preserve">Antihistaminik toplam 13 hastaya reçete edilmişti. Anafilaksisi olmayan toplam dört hastaya antihistaminiklerin reçete edildiği görüldü. Literatüre kıyasla </w:t>
      </w:r>
      <w:r>
        <w:rPr>
          <w:rFonts w:ascii="Times New Roman" w:cs="Times New Roman" w:eastAsia="Times New Roman" w:hAnsi="Times New Roman"/>
          <w:sz w:val="24"/>
          <w:szCs w:val="24"/>
          <w:color w:val="222222"/>
        </w:rPr>
        <w:t xml:space="preserve">bizim kohortumuzda anafilaksisi olmayan hastalara antihistaminik reçete edilme </w:t>
      </w:r>
      <w:r>
        <w:rPr>
          <w:rFonts w:ascii="Times New Roman" w:cs="Times New Roman" w:eastAsia="Times New Roman" w:hAnsi="Times New Roman"/>
          <w:sz w:val="24"/>
          <w:szCs w:val="24"/>
          <w:color w:val="222222"/>
        </w:rPr>
        <w:t xml:space="preserve">sıklığının daha az olduğu görüldü </w:t>
      </w:r>
      <w:r>
        <w:rPr>
          <w:rFonts w:ascii="Times New Roman" w:cs="Times New Roman" w:eastAsia="Times New Roman" w:hAnsi="Times New Roman"/>
          <w:sz w:val="24"/>
          <w:szCs w:val="24"/>
          <w:color w:val="222222"/>
        </w:rPr>
        <w:t>(8, 163).</w:t>
      </w:r>
    </w:p>
    <w:p>
      <w:pPr>
        <w:sectPr>
          <w:pgSz w:w="11900" w:h="16838" w:orient="portrait"/>
          <w:cols w:equalWidth="0" w:num="1">
            <w:col w:w="9060"/>
          </w:cols>
          <w:pgMar w:left="1440" w:top="702" w:right="1406" w:bottom="854" w:gutter="0" w:footer="0" w:header="0"/>
        </w:sectPr>
      </w:pPr>
    </w:p>
    <w:bookmarkStart w:id="54" w:name="page55"/>
    <w:bookmarkEnd w:id="54"/>
    <w:p>
      <w:pPr>
        <w:jc w:val="right"/>
        <w:spacing w:after="0"/>
        <w:rPr>
          <w:sz w:val="20"/>
          <w:szCs w:val="20"/>
          <w:color w:val="auto"/>
        </w:rPr>
      </w:pPr>
      <w:r>
        <w:rPr>
          <w:rFonts w:ascii="Calibri" w:cs="Calibri" w:eastAsia="Calibri" w:hAnsi="Calibri"/>
          <w:sz w:val="22"/>
          <w:szCs w:val="22"/>
          <w:color w:val="auto"/>
        </w:rPr>
        <w:t>44</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firstLine="708"/>
        <w:spacing w:after="0" w:line="358" w:lineRule="auto"/>
        <w:rPr>
          <w:sz w:val="20"/>
          <w:szCs w:val="20"/>
          <w:color w:val="auto"/>
        </w:rPr>
      </w:pPr>
      <w:r>
        <w:rPr>
          <w:rFonts w:ascii="Times New Roman" w:cs="Times New Roman" w:eastAsia="Times New Roman" w:hAnsi="Times New Roman"/>
          <w:sz w:val="24"/>
          <w:szCs w:val="24"/>
          <w:color w:val="222222"/>
        </w:rPr>
        <w:t xml:space="preserve">Kohortumuzda toplam 10 hastanın osteoporoz tanısı ile izlendiği görüldü. Osteoporoz ile izlenen 8 hastanın sadece bisfosfonat kullandığı, bir hastanın bisfosfonat sonrası denosumab kullandığı, bir hastanın ise denosumab kullandığı </w:t>
      </w:r>
      <w:r>
        <w:rPr>
          <w:rFonts w:ascii="Times New Roman" w:cs="Times New Roman" w:eastAsia="Times New Roman" w:hAnsi="Times New Roman"/>
          <w:sz w:val="24"/>
          <w:szCs w:val="24"/>
          <w:color w:val="222222"/>
        </w:rPr>
        <w:t>görüldü. Dirençli osteopo</w:t>
      </w:r>
      <w:r>
        <w:rPr>
          <w:rFonts w:ascii="Times New Roman" w:cs="Times New Roman" w:eastAsia="Times New Roman" w:hAnsi="Times New Roman"/>
          <w:sz w:val="24"/>
          <w:szCs w:val="24"/>
          <w:color w:val="222222"/>
        </w:rPr>
        <w:t>rozu ve tanı anında çökme kırığı olan ve İSM ile takipli</w:t>
      </w:r>
      <w:r>
        <w:rPr>
          <w:rFonts w:ascii="Times New Roman" w:cs="Times New Roman" w:eastAsia="Times New Roman" w:hAnsi="Times New Roman"/>
          <w:sz w:val="24"/>
          <w:szCs w:val="24"/>
          <w:color w:val="222222"/>
        </w:rPr>
        <w:t xml:space="preserve"> iki hastaya </w:t>
      </w:r>
      <w:r>
        <w:rPr>
          <w:rFonts w:ascii="Times New Roman" w:cs="Times New Roman" w:eastAsia="Times New Roman" w:hAnsi="Times New Roman"/>
          <w:sz w:val="24"/>
          <w:szCs w:val="24"/>
          <w:color w:val="222222"/>
        </w:rPr>
        <w:t>kemik koruyucu tedavinin yanına ek olarak sitoredüktif (IFN alfa) tedavi</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verildiği görüldü. Literatürdeki diğer çalışmalarda da osteoporoz ile takipli </w:t>
      </w:r>
      <w:r>
        <w:rPr>
          <w:rFonts w:ascii="Times New Roman" w:cs="Times New Roman" w:eastAsia="Times New Roman" w:hAnsi="Times New Roman"/>
          <w:sz w:val="24"/>
          <w:szCs w:val="24"/>
          <w:color w:val="222222"/>
        </w:rPr>
        <w:t xml:space="preserve">hastalarda ilk tedavi tercihi bisfosfonatlar ve kalsiyum+ d vitamin replasman tedavisi </w:t>
      </w:r>
      <w:r>
        <w:rPr>
          <w:rFonts w:ascii="Times New Roman" w:cs="Times New Roman" w:eastAsia="Times New Roman" w:hAnsi="Times New Roman"/>
          <w:sz w:val="24"/>
          <w:szCs w:val="24"/>
          <w:color w:val="222222"/>
        </w:rPr>
        <w:t xml:space="preserve">kullanılmıştır. Bizim kohortumuzda iki hastanın denosumab aldığı görülmektedir. </w:t>
      </w:r>
      <w:r>
        <w:rPr>
          <w:rFonts w:ascii="Times New Roman" w:cs="Times New Roman" w:eastAsia="Times New Roman" w:hAnsi="Times New Roman"/>
          <w:sz w:val="24"/>
          <w:szCs w:val="24"/>
          <w:color w:val="222222"/>
        </w:rPr>
        <w:t>Kemik koruyucu (anti rezorp</w:t>
      </w:r>
      <w:r>
        <w:rPr>
          <w:rFonts w:ascii="Times New Roman" w:cs="Times New Roman" w:eastAsia="Times New Roman" w:hAnsi="Times New Roman"/>
          <w:sz w:val="24"/>
          <w:szCs w:val="24"/>
          <w:color w:val="222222"/>
        </w:rPr>
        <w:t>tif ) tedavi sonrası çökme kırığı ile prezente olan iki</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hastada da yeni kırık oluşumu görülmemiştir.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57150</wp:posOffset>
            </wp:positionV>
            <wp:extent cx="4699000" cy="185420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62" w:lineRule="exact"/>
        <w:rPr>
          <w:sz w:val="20"/>
          <w:szCs w:val="20"/>
          <w:color w:val="auto"/>
        </w:rPr>
      </w:pPr>
    </w:p>
    <w:p>
      <w:pPr>
        <w:jc w:val="both"/>
        <w:ind w:left="820" w:firstLine="708"/>
        <w:spacing w:after="0" w:line="359" w:lineRule="auto"/>
        <w:rPr>
          <w:sz w:val="20"/>
          <w:szCs w:val="20"/>
          <w:color w:val="auto"/>
        </w:rPr>
      </w:pPr>
      <w:r>
        <w:rPr>
          <w:rFonts w:ascii="Times New Roman" w:cs="Times New Roman" w:eastAsia="Times New Roman" w:hAnsi="Times New Roman"/>
          <w:sz w:val="24"/>
          <w:szCs w:val="24"/>
          <w:color w:val="222222"/>
        </w:rPr>
        <w:t xml:space="preserve">SM </w:t>
      </w:r>
      <w:r>
        <w:rPr>
          <w:rFonts w:ascii="Times New Roman" w:cs="Times New Roman" w:eastAsia="Times New Roman" w:hAnsi="Times New Roman"/>
          <w:sz w:val="24"/>
          <w:szCs w:val="24"/>
          <w:color w:val="222222"/>
        </w:rPr>
        <w:t>tedavisinde hedefe yönelik tedaviler öncesi yaygın olarak sitoredüktif</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ajanlar kullanılmaktaydı</w:t>
      </w:r>
      <w:r>
        <w:rPr>
          <w:rFonts w:ascii="Times New Roman" w:cs="Times New Roman" w:eastAsia="Times New Roman" w:hAnsi="Times New Roman"/>
          <w:sz w:val="24"/>
          <w:szCs w:val="24"/>
          <w:color w:val="222222"/>
        </w:rPr>
        <w:t>. F</w:t>
      </w:r>
      <w:r>
        <w:rPr>
          <w:rFonts w:ascii="Times New Roman" w:cs="Times New Roman" w:eastAsia="Times New Roman" w:hAnsi="Times New Roman"/>
          <w:sz w:val="24"/>
          <w:szCs w:val="24"/>
          <w:color w:val="222222"/>
        </w:rPr>
        <w:t xml:space="preserve">akat bu ajanların uzun süreli kullanımda ciddi yan etkilerinin olması ve tedavi yanıt sürelerinin kısa olması önemli bir sorun olarak </w:t>
      </w:r>
      <w:r>
        <w:rPr>
          <w:rFonts w:ascii="Times New Roman" w:cs="Times New Roman" w:eastAsia="Times New Roman" w:hAnsi="Times New Roman"/>
          <w:sz w:val="24"/>
          <w:szCs w:val="24"/>
          <w:color w:val="222222"/>
        </w:rPr>
        <w:t>görülmekteydi (167). A</w:t>
      </w:r>
      <w:r>
        <w:rPr>
          <w:rFonts w:ascii="Times New Roman" w:cs="Times New Roman" w:eastAsia="Times New Roman" w:hAnsi="Times New Roman"/>
          <w:sz w:val="24"/>
          <w:szCs w:val="24"/>
          <w:color w:val="222222"/>
        </w:rPr>
        <w:t>ncak önce Gotlib ve arkadaşlarının yaptığı çalışmada daha</w:t>
      </w:r>
      <w:r>
        <w:rPr>
          <w:rFonts w:ascii="Times New Roman" w:cs="Times New Roman" w:eastAsia="Times New Roman" w:hAnsi="Times New Roman"/>
          <w:sz w:val="24"/>
          <w:szCs w:val="24"/>
          <w:color w:val="222222"/>
        </w:rPr>
        <w:t xml:space="preserve"> sonra da DeAngelo ve ark</w:t>
      </w:r>
      <w:r>
        <w:rPr>
          <w:rFonts w:ascii="Times New Roman" w:cs="Times New Roman" w:eastAsia="Times New Roman" w:hAnsi="Times New Roman"/>
          <w:sz w:val="24"/>
          <w:szCs w:val="24"/>
          <w:color w:val="222222"/>
        </w:rPr>
        <w:t>adaşlarının yaptığı çalışmada oral multikinaz inhibitörü</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midostaurin’in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hastalarında etkinliği gösterildi </w:t>
      </w:r>
      <w:r>
        <w:rPr>
          <w:rFonts w:ascii="Times New Roman" w:cs="Times New Roman" w:eastAsia="Times New Roman" w:hAnsi="Times New Roman"/>
          <w:sz w:val="24"/>
          <w:szCs w:val="24"/>
          <w:color w:val="222222"/>
        </w:rPr>
        <w:t>(140, 168). Midostaurinin</w:t>
      </w:r>
      <w:r>
        <w:rPr>
          <w:rFonts w:ascii="Times New Roman" w:cs="Times New Roman" w:eastAsia="Times New Roman" w:hAnsi="Times New Roman"/>
          <w:sz w:val="24"/>
          <w:szCs w:val="24"/>
          <w:color w:val="222222"/>
        </w:rPr>
        <w:t xml:space="preserve"> konvansiyonel ajanlarla birebir kıyaslandığı bir çalışma olmamasına rağmen uzun </w:t>
      </w:r>
      <w:r>
        <w:rPr>
          <w:rFonts w:ascii="Times New Roman" w:cs="Times New Roman" w:eastAsia="Times New Roman" w:hAnsi="Times New Roman"/>
          <w:sz w:val="24"/>
          <w:szCs w:val="24"/>
          <w:color w:val="222222"/>
        </w:rPr>
        <w:t>sürel</w:t>
      </w:r>
      <w:r>
        <w:rPr>
          <w:rFonts w:ascii="Times New Roman" w:cs="Times New Roman" w:eastAsia="Times New Roman" w:hAnsi="Times New Roman"/>
          <w:sz w:val="24"/>
          <w:szCs w:val="24"/>
          <w:color w:val="222222"/>
        </w:rPr>
        <w:t>i remisyon, daha az yan etki ve kolay uygulanabilirlik özelliklerinden dolayı</w:t>
      </w:r>
      <w:r>
        <w:rPr>
          <w:rFonts w:ascii="Times New Roman" w:cs="Times New Roman" w:eastAsia="Times New Roman" w:hAnsi="Times New Roman"/>
          <w:sz w:val="24"/>
          <w:szCs w:val="24"/>
          <w:color w:val="222222"/>
        </w:rPr>
        <w:t xml:space="preserve"> SM </w:t>
      </w:r>
      <w:r>
        <w:rPr>
          <w:rFonts w:ascii="Times New Roman" w:cs="Times New Roman" w:eastAsia="Times New Roman" w:hAnsi="Times New Roman"/>
          <w:sz w:val="24"/>
          <w:szCs w:val="24"/>
          <w:color w:val="222222"/>
        </w:rPr>
        <w:t xml:space="preserve">hastalarında kullanımı yaygınlaşmaktadır. Bizim kohortumuzda toplamda üç hastanın </w:t>
      </w:r>
      <w:r>
        <w:rPr>
          <w:rFonts w:ascii="Times New Roman" w:cs="Times New Roman" w:eastAsia="Times New Roman" w:hAnsi="Times New Roman"/>
          <w:sz w:val="24"/>
          <w:szCs w:val="24"/>
          <w:color w:val="222222"/>
        </w:rPr>
        <w:t>midostaurin</w:t>
      </w:r>
      <w:r>
        <w:rPr>
          <w:rFonts w:ascii="Times New Roman" w:cs="Times New Roman" w:eastAsia="Times New Roman" w:hAnsi="Times New Roman"/>
          <w:sz w:val="24"/>
          <w:szCs w:val="24"/>
          <w:color w:val="222222"/>
        </w:rPr>
        <w:t xml:space="preserve"> kullandığı görüldü. Midostaurin kullanan üç hastanın ASM ile takip edildiği görüldü. Midostaurin kullanan üç hastada da henüz net bir yanıt değerlendirme yapılamadığı görüldü. Bizim kohortumuzda toplamda 9 hastanın IFN alfa aldığı görüldü. IFN alfa tedavisi alan </w:t>
      </w:r>
      <w:r>
        <w:rPr>
          <w:rFonts w:ascii="Times New Roman" w:cs="Times New Roman" w:eastAsia="Times New Roman" w:hAnsi="Times New Roman"/>
          <w:sz w:val="24"/>
          <w:szCs w:val="24"/>
          <w:color w:val="222222"/>
        </w:rPr>
        <w:t>4</w:t>
      </w:r>
      <w:r>
        <w:rPr>
          <w:rFonts w:ascii="Times New Roman" w:cs="Times New Roman" w:eastAsia="Times New Roman" w:hAnsi="Times New Roman"/>
          <w:sz w:val="24"/>
          <w:szCs w:val="24"/>
          <w:color w:val="222222"/>
        </w:rPr>
        <w:t xml:space="preserve"> (%30,7) hasta İSM ile takipliyken 5 (%71,4) hasta ASM ile takipliydi. İSM ile takipli hastaların ikisinde dirençli osteoporoz diğer ikisinde de tekrarlayan anafilaksi öyküsü nedeniyle </w:t>
      </w:r>
      <w:r>
        <w:rPr>
          <w:rFonts w:ascii="Times New Roman" w:cs="Times New Roman" w:eastAsia="Times New Roman" w:hAnsi="Times New Roman"/>
          <w:sz w:val="24"/>
          <w:szCs w:val="24"/>
          <w:color w:val="222222"/>
        </w:rPr>
        <w:t>IFN alfa</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kullan</w:t>
      </w:r>
      <w:r>
        <w:rPr>
          <w:rFonts w:ascii="Times New Roman" w:cs="Times New Roman" w:eastAsia="Times New Roman" w:hAnsi="Times New Roman"/>
          <w:sz w:val="24"/>
          <w:szCs w:val="24"/>
          <w:color w:val="222222"/>
        </w:rPr>
        <w:t>ıldığı görüldü. Literatüre bakıldığında da IFN alfa ve kladribinin bu doğrultuda</w:t>
      </w:r>
      <w:r>
        <w:rPr>
          <w:rFonts w:ascii="Times New Roman" w:cs="Times New Roman" w:eastAsia="Times New Roman" w:hAnsi="Times New Roman"/>
          <w:sz w:val="24"/>
          <w:szCs w:val="24"/>
          <w:color w:val="222222"/>
        </w:rPr>
        <w:t xml:space="preserve"> kul</w:t>
      </w:r>
      <w:r>
        <w:rPr>
          <w:rFonts w:ascii="Times New Roman" w:cs="Times New Roman" w:eastAsia="Times New Roman" w:hAnsi="Times New Roman"/>
          <w:sz w:val="24"/>
          <w:szCs w:val="24"/>
          <w:color w:val="222222"/>
        </w:rPr>
        <w:t>lanıldığı görülmektedir. IFN alfa kullanan 5 ASM hastasının da tedavisine devam</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ettiği görüldü. İmatinib ve kladribin kullanan kohortumuzda birer hasta mevcuttu. </w:t>
      </w:r>
      <w:r>
        <w:rPr>
          <w:rFonts w:ascii="Times New Roman" w:cs="Times New Roman" w:eastAsia="Times New Roman" w:hAnsi="Times New Roman"/>
          <w:sz w:val="24"/>
          <w:szCs w:val="24"/>
          <w:color w:val="222222"/>
        </w:rPr>
        <w:t>Ülkemizde SM</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 xml:space="preserve">da midostaurin </w:t>
      </w:r>
      <w:r>
        <w:rPr>
          <w:rFonts w:ascii="Times New Roman" w:cs="Times New Roman" w:eastAsia="Times New Roman" w:hAnsi="Times New Roman"/>
          <w:sz w:val="24"/>
          <w:szCs w:val="24"/>
          <w:color w:val="222222"/>
        </w:rPr>
        <w:t>kullanımının özellikle yapılan son çalışmalar</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doğrultusunda ve ilacın geri ödemeye alınması sonrası artacağı ön</w:t>
      </w:r>
      <w:r>
        <w:rPr>
          <w:rFonts w:ascii="Times New Roman" w:cs="Times New Roman" w:eastAsia="Times New Roman" w:hAnsi="Times New Roman"/>
          <w:sz w:val="24"/>
          <w:szCs w:val="24"/>
          <w:color w:val="222222"/>
        </w:rPr>
        <w:t>görülebilir.</w:t>
      </w:r>
    </w:p>
    <w:p>
      <w:pPr>
        <w:sectPr>
          <w:pgSz w:w="11900" w:h="16838" w:orient="portrait"/>
          <w:cols w:equalWidth="0" w:num="1">
            <w:col w:w="9060"/>
          </w:cols>
          <w:pgMar w:left="1440" w:top="702" w:right="1406" w:bottom="1440" w:gutter="0" w:footer="0" w:header="0"/>
        </w:sectPr>
      </w:pPr>
    </w:p>
    <w:bookmarkStart w:id="55" w:name="page56"/>
    <w:bookmarkEnd w:id="55"/>
    <w:p>
      <w:pPr>
        <w:jc w:val="right"/>
        <w:spacing w:after="0"/>
        <w:rPr>
          <w:sz w:val="20"/>
          <w:szCs w:val="20"/>
          <w:color w:val="auto"/>
        </w:rPr>
      </w:pPr>
      <w:r>
        <w:rPr>
          <w:rFonts w:ascii="Calibri" w:cs="Calibri" w:eastAsia="Calibri" w:hAnsi="Calibri"/>
          <w:sz w:val="22"/>
          <w:szCs w:val="22"/>
          <w:color w:val="auto"/>
        </w:rPr>
        <w:t>45</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firstLine="708"/>
        <w:spacing w:after="0" w:line="357" w:lineRule="auto"/>
        <w:rPr>
          <w:sz w:val="20"/>
          <w:szCs w:val="20"/>
          <w:color w:val="auto"/>
        </w:rPr>
      </w:pPr>
      <w:r>
        <w:rPr>
          <w:rFonts w:ascii="Times New Roman" w:cs="Times New Roman" w:eastAsia="Times New Roman" w:hAnsi="Times New Roman"/>
          <w:sz w:val="24"/>
          <w:szCs w:val="24"/>
          <w:color w:val="222222"/>
        </w:rPr>
        <w:t xml:space="preserve">İSM </w:t>
      </w:r>
      <w:r>
        <w:rPr>
          <w:rFonts w:ascii="Times New Roman" w:cs="Times New Roman" w:eastAsia="Times New Roman" w:hAnsi="Times New Roman"/>
          <w:sz w:val="24"/>
          <w:szCs w:val="24"/>
          <w:color w:val="222222"/>
        </w:rPr>
        <w:t>ile takipli 15</w:t>
      </w:r>
      <w:r>
        <w:rPr>
          <w:rFonts w:ascii="Times New Roman" w:cs="Times New Roman" w:eastAsia="Times New Roman" w:hAnsi="Times New Roman"/>
          <w:sz w:val="24"/>
          <w:szCs w:val="24"/>
          <w:color w:val="222222"/>
        </w:rPr>
        <w:t xml:space="preserve"> hastanın tamamının izlenebilen süre </w:t>
      </w:r>
      <w:r>
        <w:rPr>
          <w:rFonts w:ascii="Times New Roman" w:cs="Times New Roman" w:eastAsia="Times New Roman" w:hAnsi="Times New Roman"/>
          <w:sz w:val="24"/>
          <w:szCs w:val="24"/>
          <w:color w:val="222222"/>
        </w:rPr>
        <w:t>(7,93[0-192] ay)</w:t>
      </w:r>
      <w:r>
        <w:rPr>
          <w:rFonts w:ascii="Times New Roman" w:cs="Times New Roman" w:eastAsia="Times New Roman" w:hAnsi="Times New Roman"/>
          <w:sz w:val="24"/>
          <w:szCs w:val="24"/>
          <w:color w:val="222222"/>
        </w:rPr>
        <w:t xml:space="preserve"> boyunca hayatta olduğu görüldü. ASM ile takipli 1</w:t>
      </w:r>
      <w:r>
        <w:rPr>
          <w:rFonts w:ascii="Times New Roman" w:cs="Times New Roman" w:eastAsia="Times New Roman" w:hAnsi="Times New Roman"/>
          <w:sz w:val="24"/>
          <w:szCs w:val="24"/>
          <w:color w:val="222222"/>
        </w:rPr>
        <w:t>0</w:t>
      </w:r>
      <w:r>
        <w:rPr>
          <w:rFonts w:ascii="Times New Roman" w:cs="Times New Roman" w:eastAsia="Times New Roman" w:hAnsi="Times New Roman"/>
          <w:sz w:val="24"/>
          <w:szCs w:val="24"/>
          <w:color w:val="222222"/>
        </w:rPr>
        <w:t xml:space="preserve"> hastanın bir tanesinin </w:t>
      </w:r>
      <w:r>
        <w:rPr>
          <w:rFonts w:ascii="Times New Roman" w:cs="Times New Roman" w:eastAsia="Times New Roman" w:hAnsi="Times New Roman"/>
          <w:sz w:val="24"/>
          <w:szCs w:val="24"/>
          <w:color w:val="222222"/>
        </w:rPr>
        <w:t>izlenebilen süre (11,81[0-97,37]ay) içerisi</w:t>
      </w:r>
      <w:r>
        <w:rPr>
          <w:rFonts w:ascii="Times New Roman" w:cs="Times New Roman" w:eastAsia="Times New Roman" w:hAnsi="Times New Roman"/>
          <w:sz w:val="24"/>
          <w:szCs w:val="24"/>
          <w:color w:val="222222"/>
        </w:rPr>
        <w:t>nde eks olduğu görüldü. SM</w:t>
      </w:r>
      <w:r>
        <w:rPr>
          <w:rFonts w:ascii="Times New Roman" w:cs="Times New Roman" w:eastAsia="Times New Roman" w:hAnsi="Times New Roman"/>
          <w:sz w:val="24"/>
          <w:szCs w:val="24"/>
          <w:color w:val="222222"/>
        </w:rPr>
        <w:t xml:space="preserve">-AHN ile takipli 4 hastadan ikisinin izlenebilen süre (7,11[4,63-13,83] ay) içerisinde eks </w:t>
      </w:r>
      <w:r>
        <w:rPr>
          <w:rFonts w:ascii="Times New Roman" w:cs="Times New Roman" w:eastAsia="Times New Roman" w:hAnsi="Times New Roman"/>
          <w:sz w:val="24"/>
          <w:szCs w:val="24"/>
          <w:color w:val="222222"/>
        </w:rPr>
        <w:t>olduğu görüldü.</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1367790</wp:posOffset>
            </wp:positionV>
            <wp:extent cx="4699000" cy="185420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02" w:right="1406" w:bottom="1440" w:gutter="0" w:footer="0" w:header="0"/>
        </w:sectPr>
      </w:pPr>
    </w:p>
    <w:bookmarkStart w:id="56" w:name="page57"/>
    <w:bookmarkEnd w:id="56"/>
    <w:p>
      <w:pPr>
        <w:ind w:left="8820"/>
        <w:spacing w:after="0"/>
        <w:rPr>
          <w:sz w:val="20"/>
          <w:szCs w:val="20"/>
          <w:color w:val="auto"/>
        </w:rPr>
      </w:pPr>
      <w:r>
        <w:rPr>
          <w:rFonts w:ascii="Calibri" w:cs="Calibri" w:eastAsia="Calibri" w:hAnsi="Calibri"/>
          <w:sz w:val="22"/>
          <w:szCs w:val="22"/>
          <w:color w:val="auto"/>
        </w:rPr>
        <w:t>46</w:t>
      </w: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3560"/>
        <w:spacing w:after="0"/>
        <w:rPr>
          <w:sz w:val="20"/>
          <w:szCs w:val="20"/>
          <w:color w:val="auto"/>
        </w:rPr>
      </w:pPr>
      <w:r>
        <w:rPr>
          <w:rFonts w:ascii="Times New Roman" w:cs="Times New Roman" w:eastAsia="Times New Roman" w:hAnsi="Times New Roman"/>
          <w:sz w:val="24"/>
          <w:szCs w:val="24"/>
          <w:b w:val="1"/>
          <w:bCs w:val="1"/>
          <w:color w:val="222222"/>
        </w:rPr>
        <w:t>6.</w:t>
      </w:r>
      <w:r>
        <w:rPr>
          <w:rFonts w:ascii="Times New Roman" w:cs="Times New Roman" w:eastAsia="Times New Roman" w:hAnsi="Times New Roman"/>
          <w:sz w:val="24"/>
          <w:szCs w:val="24"/>
          <w:b w:val="1"/>
          <w:bCs w:val="1"/>
          <w:color w:val="222222"/>
        </w:rPr>
        <w:t>SONUÇ VE ÖNERİLER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both"/>
        <w:ind w:left="820" w:firstLine="708"/>
        <w:spacing w:after="0" w:line="358" w:lineRule="auto"/>
        <w:rPr>
          <w:sz w:val="20"/>
          <w:szCs w:val="20"/>
          <w:color w:val="auto"/>
        </w:rPr>
      </w:pPr>
      <w:r>
        <w:rPr>
          <w:rFonts w:ascii="Times New Roman" w:cs="Times New Roman" w:eastAsia="Times New Roman" w:hAnsi="Times New Roman"/>
          <w:sz w:val="24"/>
          <w:szCs w:val="24"/>
          <w:color w:val="222222"/>
        </w:rPr>
        <w:t xml:space="preserve">SM </w:t>
      </w:r>
      <w:r>
        <w:rPr>
          <w:rFonts w:ascii="Times New Roman" w:cs="Times New Roman" w:eastAsia="Times New Roman" w:hAnsi="Times New Roman"/>
          <w:sz w:val="24"/>
          <w:szCs w:val="24"/>
          <w:color w:val="222222"/>
        </w:rPr>
        <w:t>nadir görülen ve çok geniş</w:t>
      </w:r>
      <w:r>
        <w:rPr>
          <w:rFonts w:ascii="Times New Roman" w:cs="Times New Roman" w:eastAsia="Times New Roman" w:hAnsi="Times New Roman"/>
          <w:sz w:val="24"/>
          <w:szCs w:val="24"/>
          <w:color w:val="222222"/>
        </w:rPr>
        <w:t xml:space="preserve"> klinik semptom ve bulgular ile seyreden bir </w:t>
      </w:r>
      <w:r>
        <w:rPr>
          <w:rFonts w:ascii="Times New Roman" w:cs="Times New Roman" w:eastAsia="Times New Roman" w:hAnsi="Times New Roman"/>
          <w:sz w:val="24"/>
          <w:szCs w:val="24"/>
          <w:color w:val="222222"/>
        </w:rPr>
        <w:t xml:space="preserve">hastalıktır.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nin klinik süreci alt tipler</w:t>
      </w:r>
      <w:r>
        <w:rPr>
          <w:rFonts w:ascii="Times New Roman" w:cs="Times New Roman" w:eastAsia="Times New Roman" w:hAnsi="Times New Roman"/>
          <w:sz w:val="24"/>
          <w:szCs w:val="24"/>
          <w:color w:val="222222"/>
        </w:rPr>
        <w:t xml:space="preserve"> arasında çok ciddi heterojenite </w:t>
      </w:r>
      <w:r>
        <w:rPr>
          <w:rFonts w:ascii="Times New Roman" w:cs="Times New Roman" w:eastAsia="Times New Roman" w:hAnsi="Times New Roman"/>
          <w:sz w:val="24"/>
          <w:szCs w:val="24"/>
          <w:color w:val="222222"/>
        </w:rPr>
        <w:t xml:space="preserve">göstermektedir. SM </w:t>
      </w:r>
      <w:r>
        <w:rPr>
          <w:rFonts w:ascii="Times New Roman" w:cs="Times New Roman" w:eastAsia="Times New Roman" w:hAnsi="Times New Roman"/>
          <w:sz w:val="24"/>
          <w:szCs w:val="24"/>
          <w:color w:val="222222"/>
        </w:rPr>
        <w:t>tanısının hastalığın erken dönemlerinde</w:t>
      </w:r>
      <w:r>
        <w:rPr>
          <w:rFonts w:ascii="Times New Roman" w:cs="Times New Roman" w:eastAsia="Times New Roman" w:hAnsi="Times New Roman"/>
          <w:sz w:val="24"/>
          <w:szCs w:val="24"/>
          <w:color w:val="222222"/>
        </w:rPr>
        <w:t xml:space="preserve"> konulabilmesi, organ </w:t>
      </w:r>
      <w:r>
        <w:rPr>
          <w:rFonts w:ascii="Times New Roman" w:cs="Times New Roman" w:eastAsia="Times New Roman" w:hAnsi="Times New Roman"/>
          <w:sz w:val="24"/>
          <w:szCs w:val="24"/>
          <w:color w:val="222222"/>
        </w:rPr>
        <w:t xml:space="preserve">disfonksiyonu ilişkili semptomların ve mediatör aracılı semptomların azaltılması ve </w:t>
      </w:r>
      <w:r>
        <w:rPr>
          <w:rFonts w:ascii="Times New Roman" w:cs="Times New Roman" w:eastAsia="Times New Roman" w:hAnsi="Times New Roman"/>
          <w:sz w:val="24"/>
          <w:szCs w:val="24"/>
          <w:color w:val="222222"/>
        </w:rPr>
        <w:t>önlenebilmesi için mutlak suretle multidisipliner bi</w:t>
      </w:r>
      <w:r>
        <w:rPr>
          <w:rFonts w:ascii="Times New Roman" w:cs="Times New Roman" w:eastAsia="Times New Roman" w:hAnsi="Times New Roman"/>
          <w:sz w:val="24"/>
          <w:szCs w:val="24"/>
          <w:color w:val="222222"/>
        </w:rPr>
        <w:t>r yaklaşım gerekmektedir. Hedefe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yönelik ajanların geliştirilmesiyle beraber şu an için kür edilemez görülen bu hastalık uzunca bir süre kontrol altında izlenebilmektedir. </w:t>
      </w:r>
      <w:r>
        <w:rPr>
          <w:rFonts w:ascii="Times New Roman" w:cs="Times New Roman" w:eastAsia="Times New Roman" w:hAnsi="Times New Roman"/>
          <w:sz w:val="24"/>
          <w:szCs w:val="24"/>
          <w:color w:val="000000"/>
        </w:rPr>
        <w:t>Bu çalışmanın amacı gelişmekte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000000"/>
        </w:rPr>
        <w:t xml:space="preserve">olan SM </w:t>
      </w:r>
      <w:r>
        <w:rPr>
          <w:rFonts w:ascii="Times New Roman" w:cs="Times New Roman" w:eastAsia="Times New Roman" w:hAnsi="Times New Roman"/>
          <w:sz w:val="24"/>
          <w:szCs w:val="24"/>
          <w:color w:val="000000"/>
        </w:rPr>
        <w:t>literatürüne katkıda bulunmak ve kliniğimizd</w:t>
      </w:r>
      <w:r>
        <w:rPr>
          <w:rFonts w:ascii="Times New Roman" w:cs="Times New Roman" w:eastAsia="Times New Roman" w:hAnsi="Times New Roman"/>
          <w:sz w:val="24"/>
          <w:szCs w:val="24"/>
          <w:color w:val="000000"/>
        </w:rPr>
        <w:t xml:space="preserve">eki SM </w:t>
      </w:r>
      <w:r>
        <w:rPr>
          <w:rFonts w:ascii="Times New Roman" w:cs="Times New Roman" w:eastAsia="Times New Roman" w:hAnsi="Times New Roman"/>
          <w:sz w:val="24"/>
          <w:szCs w:val="24"/>
          <w:color w:val="000000"/>
        </w:rPr>
        <w:t>hastalarının ve</w:t>
      </w:r>
      <w:r>
        <w:rPr>
          <w:rFonts w:ascii="Times New Roman" w:cs="Times New Roman" w:eastAsia="Times New Roman" w:hAnsi="Times New Roman"/>
          <w:sz w:val="24"/>
          <w:szCs w:val="24"/>
          <w:color w:val="000000"/>
        </w:rPr>
        <w:t xml:space="preserve"> SM </w:t>
      </w:r>
      <w:r>
        <w:rPr>
          <w:rFonts w:ascii="Times New Roman" w:cs="Times New Roman" w:eastAsia="Times New Roman" w:hAnsi="Times New Roman"/>
          <w:sz w:val="24"/>
          <w:szCs w:val="24"/>
          <w:color w:val="000000"/>
        </w:rPr>
        <w:t>subtiplerinin karakteristik özelliklerini tanımlamaktır.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-408940</wp:posOffset>
            </wp:positionV>
            <wp:extent cx="4699000" cy="185420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61" w:lineRule="exact"/>
        <w:rPr>
          <w:sz w:val="20"/>
          <w:szCs w:val="20"/>
          <w:color w:val="auto"/>
        </w:rPr>
      </w:pPr>
    </w:p>
    <w:p>
      <w:pPr>
        <w:jc w:val="both"/>
        <w:ind w:left="820" w:right="20" w:firstLine="708"/>
        <w:spacing w:after="0" w:line="359" w:lineRule="auto"/>
        <w:rPr>
          <w:sz w:val="20"/>
          <w:szCs w:val="20"/>
          <w:color w:val="auto"/>
        </w:rPr>
      </w:pPr>
      <w:r>
        <w:rPr>
          <w:rFonts w:ascii="Times New Roman" w:cs="Times New Roman" w:eastAsia="Times New Roman" w:hAnsi="Times New Roman"/>
          <w:sz w:val="24"/>
          <w:szCs w:val="24"/>
          <w:color w:val="auto"/>
        </w:rPr>
        <w:t xml:space="preserve">Çalışmaya dahil edilen hastaların en sık cilt döküntüsü ve kemik patolojisi ile başvurduğu ve tanı aldığı görülmektedir. Cilt döküntüsü ile tanı alan hastaların büyük çoğunluğunda karakteristik </w:t>
      </w:r>
      <w:r>
        <w:rPr>
          <w:rFonts w:ascii="Times New Roman" w:cs="Times New Roman" w:eastAsia="Times New Roman" w:hAnsi="Times New Roman"/>
          <w:sz w:val="24"/>
          <w:szCs w:val="24"/>
          <w:color w:val="auto"/>
        </w:rPr>
        <w:t>ÜP</w:t>
      </w:r>
      <w:r>
        <w:rPr>
          <w:rFonts w:ascii="Times New Roman" w:cs="Times New Roman" w:eastAsia="Times New Roman" w:hAnsi="Times New Roman"/>
          <w:sz w:val="24"/>
          <w:szCs w:val="24"/>
          <w:color w:val="auto"/>
        </w:rPr>
        <w:t xml:space="preserve"> görüldüğü saptanmıştır. Kütanöz mastositoz saptanan erişkin hastaların mutlaka </w:t>
      </w:r>
      <w:r>
        <w:rPr>
          <w:rFonts w:ascii="Times New Roman" w:cs="Times New Roman" w:eastAsia="Times New Roman" w:hAnsi="Times New Roman"/>
          <w:sz w:val="24"/>
          <w:szCs w:val="24"/>
          <w:color w:val="auto"/>
        </w:rPr>
        <w:t>SM</w:t>
      </w:r>
      <w:r>
        <w:rPr>
          <w:rFonts w:ascii="Times New Roman" w:cs="Times New Roman" w:eastAsia="Times New Roman" w:hAnsi="Times New Roman"/>
          <w:sz w:val="24"/>
          <w:szCs w:val="24"/>
          <w:color w:val="auto"/>
        </w:rPr>
        <w:t xml:space="preserve"> açısından değerlendirilmesi elzemdir. </w:t>
      </w:r>
      <w:r>
        <w:rPr>
          <w:rFonts w:ascii="Times New Roman" w:cs="Times New Roman" w:eastAsia="Times New Roman" w:hAnsi="Times New Roman"/>
          <w:sz w:val="24"/>
          <w:szCs w:val="24"/>
          <w:color w:val="auto"/>
        </w:rPr>
        <w:t>Bu</w:t>
      </w:r>
      <w:r>
        <w:rPr>
          <w:rFonts w:ascii="Times New Roman" w:cs="Times New Roman" w:eastAsia="Times New Roman" w:hAnsi="Times New Roman"/>
          <w:sz w:val="24"/>
          <w:szCs w:val="24"/>
          <w:color w:val="auto"/>
        </w:rPr>
        <w:t xml:space="preserve"> nedenle Dermatoloji ve Hematoloji bölümleri arasında işbirliği sağlanması </w:t>
      </w:r>
      <w:r>
        <w:rPr>
          <w:rFonts w:ascii="Times New Roman" w:cs="Times New Roman" w:eastAsia="Times New Roman" w:hAnsi="Times New Roman"/>
          <w:sz w:val="24"/>
          <w:szCs w:val="24"/>
          <w:color w:val="auto"/>
        </w:rPr>
        <w:t xml:space="preserve">gerekmektedir. </w:t>
      </w:r>
      <w:r>
        <w:rPr>
          <w:rFonts w:ascii="Times New Roman" w:cs="Times New Roman" w:eastAsia="Times New Roman" w:hAnsi="Times New Roman"/>
          <w:sz w:val="24"/>
          <w:szCs w:val="24"/>
          <w:color w:val="222222"/>
        </w:rPr>
        <w:t>Bizim çalışmamızdaki sonuçlar değerlendirildiğinde herhangi bir risk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 xml:space="preserve">faktörü olmayan sekonder osteoporoz vakalarında, sekonder osteoporozu olup vertebral çökme kırıklarıyla başvuran vakalarda, sklerotik ve litik kemik lezyonu saptanan vakalarda ayırıcı tanıda mutlaka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’NİN düşünülmesi gerekmektedir.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tanısı alan hastaların da mutlaka KMD ile değerlendirilmesi gerekmektedir. </w:t>
      </w:r>
      <w:r>
        <w:rPr>
          <w:rFonts w:ascii="Times New Roman" w:cs="Times New Roman" w:eastAsia="Times New Roman" w:hAnsi="Times New Roman"/>
          <w:sz w:val="24"/>
          <w:szCs w:val="24"/>
          <w:color w:val="222222"/>
        </w:rPr>
        <w:t>Kohortumuzda toplam 9 hastada anafilaks</w:t>
      </w:r>
      <w:r>
        <w:rPr>
          <w:rFonts w:ascii="Times New Roman" w:cs="Times New Roman" w:eastAsia="Times New Roman" w:hAnsi="Times New Roman"/>
          <w:sz w:val="24"/>
          <w:szCs w:val="24"/>
          <w:color w:val="222222"/>
        </w:rPr>
        <w:t>i görülmüştür.</w:t>
      </w:r>
      <w:r>
        <w:rPr>
          <w:rFonts w:ascii="Times New Roman" w:cs="Times New Roman" w:eastAsia="Times New Roman" w:hAnsi="Times New Roman"/>
          <w:sz w:val="24"/>
          <w:szCs w:val="24"/>
          <w:color w:val="222222"/>
        </w:rPr>
        <w:t xml:space="preserve"> SM </w:t>
      </w:r>
      <w:r>
        <w:rPr>
          <w:rFonts w:ascii="Times New Roman" w:cs="Times New Roman" w:eastAsia="Times New Roman" w:hAnsi="Times New Roman"/>
          <w:sz w:val="24"/>
          <w:szCs w:val="24"/>
          <w:color w:val="222222"/>
        </w:rPr>
        <w:t>ve anafilaksi ilişkisi net</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olarak bilinmektedir. Bu nedenle erişkin yaş grubunda tekrarlayan anafilaksileri olan, </w:t>
      </w:r>
      <w:r>
        <w:rPr>
          <w:rFonts w:ascii="Times New Roman" w:cs="Times New Roman" w:eastAsia="Times New Roman" w:hAnsi="Times New Roman"/>
          <w:sz w:val="24"/>
          <w:szCs w:val="24"/>
          <w:color w:val="222222"/>
        </w:rPr>
        <w:t xml:space="preserve">hymenoptera venomu nedeniyle anafilaksi geçiren ve idiopatik anafilaksi öyküsü olan hastalarda SM akla getirilmeli kan triptaz düzeyi görülmesi ve gerekmesi halinde </w:t>
      </w:r>
      <w:r>
        <w:rPr>
          <w:rFonts w:ascii="Times New Roman" w:cs="Times New Roman" w:eastAsia="Times New Roman" w:hAnsi="Times New Roman"/>
          <w:sz w:val="24"/>
          <w:szCs w:val="24"/>
          <w:color w:val="222222"/>
        </w:rPr>
        <w:t>KİAB yapılması gündeme gelmelidir. Bizim çalışmamızda rastlanmasa da</w:t>
      </w:r>
      <w:r>
        <w:rPr>
          <w:rFonts w:ascii="Times New Roman" w:cs="Times New Roman" w:eastAsia="Times New Roman" w:hAnsi="Times New Roman"/>
          <w:sz w:val="24"/>
          <w:szCs w:val="24"/>
          <w:color w:val="222222"/>
        </w:rPr>
        <w:t xml:space="preserve"> dirençli ishal ve malabsorbsiyonu olan hastalarda da SM </w:t>
      </w:r>
      <w:r>
        <w:rPr>
          <w:rFonts w:ascii="Times New Roman" w:cs="Times New Roman" w:eastAsia="Times New Roman" w:hAnsi="Times New Roman"/>
          <w:sz w:val="24"/>
          <w:szCs w:val="24"/>
          <w:color w:val="222222"/>
        </w:rPr>
        <w:t>tanısı</w:t>
      </w:r>
      <w:r>
        <w:rPr>
          <w:rFonts w:ascii="Times New Roman" w:cs="Times New Roman" w:eastAsia="Times New Roman" w:hAnsi="Times New Roman"/>
          <w:sz w:val="24"/>
          <w:szCs w:val="24"/>
          <w:color w:val="222222"/>
        </w:rPr>
        <w:t xml:space="preserve"> akla getirilmelidir. HSM, PHT </w:t>
      </w:r>
      <w:r>
        <w:rPr>
          <w:rFonts w:ascii="Times New Roman" w:cs="Times New Roman" w:eastAsia="Times New Roman" w:hAnsi="Times New Roman"/>
          <w:sz w:val="24"/>
          <w:szCs w:val="24"/>
          <w:color w:val="222222"/>
        </w:rPr>
        <w:t>ve hipersplenizmi olan vakalarda başka bir neden yok ve hasta mediatör</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aracılı semptomlar sergiliyorsa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akla gelmeli ve hastalık için gerekli değerlendirmeler yapılmalıdır.</w:t>
      </w:r>
    </w:p>
    <w:p>
      <w:pPr>
        <w:sectPr>
          <w:pgSz w:w="11900" w:h="16838" w:orient="portrait"/>
          <w:cols w:equalWidth="0" w:num="1">
            <w:col w:w="9060"/>
          </w:cols>
          <w:pgMar w:left="1440" w:top="702" w:right="1406" w:bottom="1440" w:gutter="0" w:footer="0" w:header="0"/>
        </w:sectPr>
      </w:pPr>
    </w:p>
    <w:bookmarkStart w:id="57" w:name="page58"/>
    <w:bookmarkEnd w:id="57"/>
    <w:p>
      <w:pPr>
        <w:ind w:left="8820"/>
        <w:spacing w:after="0"/>
        <w:rPr>
          <w:sz w:val="20"/>
          <w:szCs w:val="20"/>
          <w:color w:val="auto"/>
        </w:rPr>
      </w:pPr>
      <w:r>
        <w:rPr>
          <w:rFonts w:ascii="Calibri" w:cs="Calibri" w:eastAsia="Calibri" w:hAnsi="Calibri"/>
          <w:sz w:val="22"/>
          <w:szCs w:val="22"/>
          <w:color w:val="auto"/>
        </w:rPr>
        <w:t>47</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20" w:firstLine="708"/>
        <w:spacing w:after="0" w:line="356" w:lineRule="auto"/>
        <w:rPr>
          <w:sz w:val="20"/>
          <w:szCs w:val="20"/>
          <w:color w:val="auto"/>
        </w:rPr>
      </w:pPr>
      <w:r>
        <w:rPr>
          <w:rFonts w:ascii="Times New Roman" w:cs="Times New Roman" w:eastAsia="Times New Roman" w:hAnsi="Times New Roman"/>
          <w:sz w:val="24"/>
          <w:szCs w:val="24"/>
          <w:color w:val="222222"/>
        </w:rPr>
        <w:t xml:space="preserve">Kohortumuzda 16 hastanın triptaz düzeylerinin değerlendirildiği ve bu hastaların üç tanesinin triptaz düzeyinin &lt;20 ng/ml olduğu görülmüştür. Bu nedenle triptaz düzeyi düşük olan hastalarda klinik şüphe yüksekse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araştırmasına devam </w:t>
      </w:r>
      <w:r>
        <w:rPr>
          <w:rFonts w:ascii="Times New Roman" w:cs="Times New Roman" w:eastAsia="Times New Roman" w:hAnsi="Times New Roman"/>
          <w:sz w:val="24"/>
          <w:szCs w:val="24"/>
          <w:color w:val="222222"/>
        </w:rPr>
        <w:t>edilmesi gerekmektedir.</w:t>
      </w:r>
    </w:p>
    <w:p>
      <w:pPr>
        <w:spacing w:after="0" w:line="177" w:lineRule="exact"/>
        <w:rPr>
          <w:sz w:val="20"/>
          <w:szCs w:val="20"/>
          <w:color w:val="auto"/>
        </w:rPr>
      </w:pPr>
    </w:p>
    <w:p>
      <w:pPr>
        <w:jc w:val="both"/>
        <w:ind w:left="820" w:firstLine="708"/>
        <w:spacing w:after="0" w:line="359" w:lineRule="auto"/>
        <w:rPr>
          <w:sz w:val="20"/>
          <w:szCs w:val="20"/>
          <w:color w:val="auto"/>
        </w:rPr>
      </w:pPr>
      <w:r>
        <w:rPr>
          <w:rFonts w:ascii="Times New Roman" w:cs="Times New Roman" w:eastAsia="Times New Roman" w:hAnsi="Times New Roman"/>
          <w:sz w:val="24"/>
          <w:szCs w:val="24"/>
          <w:color w:val="222222"/>
        </w:rPr>
        <w:t xml:space="preserve">SM </w:t>
      </w:r>
      <w:r>
        <w:rPr>
          <w:rFonts w:ascii="Times New Roman" w:cs="Times New Roman" w:eastAsia="Times New Roman" w:hAnsi="Times New Roman"/>
          <w:sz w:val="24"/>
          <w:szCs w:val="24"/>
          <w:color w:val="222222"/>
        </w:rPr>
        <w:t>tanısı ko</w:t>
      </w:r>
      <w:r>
        <w:rPr>
          <w:rFonts w:ascii="Times New Roman" w:cs="Times New Roman" w:eastAsia="Times New Roman" w:hAnsi="Times New Roman"/>
          <w:sz w:val="24"/>
          <w:szCs w:val="24"/>
          <w:color w:val="222222"/>
        </w:rPr>
        <w:t>n</w:t>
      </w:r>
      <w:r>
        <w:rPr>
          <w:rFonts w:ascii="Times New Roman" w:cs="Times New Roman" w:eastAsia="Times New Roman" w:hAnsi="Times New Roman"/>
          <w:sz w:val="24"/>
          <w:szCs w:val="24"/>
          <w:color w:val="222222"/>
        </w:rPr>
        <w:t>firme edildikten sonra hastalığın mutlaka</w:t>
      </w:r>
      <w:r>
        <w:rPr>
          <w:rFonts w:ascii="Times New Roman" w:cs="Times New Roman" w:eastAsia="Times New Roman" w:hAnsi="Times New Roman"/>
          <w:sz w:val="24"/>
          <w:szCs w:val="24"/>
          <w:color w:val="222222"/>
        </w:rPr>
        <w:t xml:space="preserve"> hangi alt tipe ait ol</w:t>
      </w:r>
      <w:r>
        <w:rPr>
          <w:rFonts w:ascii="Times New Roman" w:cs="Times New Roman" w:eastAsia="Times New Roman" w:hAnsi="Times New Roman"/>
          <w:sz w:val="24"/>
          <w:szCs w:val="24"/>
          <w:color w:val="222222"/>
        </w:rPr>
        <w:t>duğunun belirlenmesi gereklidir. Çünkü İSM hastalarının ve diğer agresif</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hastalıkların yönetimi tamamen farklıdır. ASM tanısı alan hastaya destek tedavilerinin yanısıra mutlaka sitoredüktif tedavi başlanması gerekmektedir. Hastaların ortalama yaşam süreleri de subtiplere göre farklılık göstermektedir. Lim ve arkadaşlarının yaptığı çalışmada İSM hastalarının sağ kalım süreleri normal popülasyon ile aynıyken, ASM hastalarının ortalama yaşam süreleri 41 ay olarak görülmüştür </w:t>
      </w:r>
      <w:r>
        <w:rPr>
          <w:rFonts w:ascii="Times New Roman" w:cs="Times New Roman" w:eastAsia="Times New Roman" w:hAnsi="Times New Roman"/>
          <w:sz w:val="24"/>
          <w:szCs w:val="24"/>
          <w:color w:val="222222"/>
        </w:rPr>
        <w:t>(8)</w:t>
      </w:r>
      <w:r>
        <w:rPr>
          <w:rFonts w:ascii="Times New Roman" w:cs="Times New Roman" w:eastAsia="Times New Roman" w:hAnsi="Times New Roman"/>
          <w:sz w:val="24"/>
          <w:szCs w:val="24"/>
          <w:color w:val="222222"/>
        </w:rPr>
        <w:t xml:space="preserve">. Tüm bu nedenlerden dolayı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tanısı konfirme edildikten sonra hastalığın hem B hem de C bulgularının araştırılması gerekir.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tanısı alan hastalara rutin tetkiklerin yanısıra organomegali değerlendirilmesi ve PHT değerlendirilmesi açısından abdomen görü</w:t>
      </w:r>
      <w:r>
        <w:rPr>
          <w:rFonts w:ascii="Times New Roman" w:cs="Times New Roman" w:eastAsia="Times New Roman" w:hAnsi="Times New Roman"/>
          <w:sz w:val="24"/>
          <w:szCs w:val="24"/>
          <w:color w:val="222222"/>
        </w:rPr>
        <w:t>ntülemesi(Abdomen BT, portal doppler</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USG vb)</w:t>
      </w:r>
      <w:r>
        <w:rPr>
          <w:rFonts w:ascii="Times New Roman" w:cs="Times New Roman" w:eastAsia="Times New Roman" w:hAnsi="Times New Roman"/>
          <w:sz w:val="24"/>
          <w:szCs w:val="24"/>
          <w:color w:val="222222"/>
        </w:rPr>
        <w:t>, kemik patolojilerinin değerlendirilmesi için</w:t>
      </w:r>
      <w:r>
        <w:rPr>
          <w:rFonts w:ascii="Times New Roman" w:cs="Times New Roman" w:eastAsia="Times New Roman" w:hAnsi="Times New Roman"/>
          <w:sz w:val="24"/>
          <w:szCs w:val="24"/>
          <w:color w:val="222222"/>
        </w:rPr>
        <w:t xml:space="preserve"> kemik survey, kemik sintigrafisi, tüm vücut BT veya MRG, uyumlu semptomlar ya da bulgular varsa </w:t>
      </w:r>
      <w:r>
        <w:rPr>
          <w:rFonts w:ascii="Times New Roman" w:cs="Times New Roman" w:eastAsia="Times New Roman" w:hAnsi="Times New Roman"/>
          <w:sz w:val="24"/>
          <w:szCs w:val="24"/>
          <w:color w:val="222222"/>
        </w:rPr>
        <w:t xml:space="preserve">malabsorbsiyon açısından </w:t>
      </w:r>
      <w:r>
        <w:rPr>
          <w:rFonts w:ascii="Times New Roman" w:cs="Times New Roman" w:eastAsia="Times New Roman" w:hAnsi="Times New Roman"/>
          <w:sz w:val="24"/>
          <w:szCs w:val="24"/>
          <w:color w:val="222222"/>
        </w:rPr>
        <w:t>e</w:t>
      </w:r>
      <w:r>
        <w:rPr>
          <w:rFonts w:ascii="Times New Roman" w:cs="Times New Roman" w:eastAsia="Times New Roman" w:hAnsi="Times New Roman"/>
          <w:sz w:val="24"/>
          <w:szCs w:val="24"/>
          <w:color w:val="222222"/>
        </w:rPr>
        <w:t xml:space="preserve">ndoskopi ve sitopeni değerlendirilmesi için tam kan sayımı, demir parametreleri, B12 vitamini ve folik asit tetkiklerinin yapılması </w:t>
      </w:r>
      <w:r>
        <w:rPr>
          <w:rFonts w:ascii="Times New Roman" w:cs="Times New Roman" w:eastAsia="Times New Roman" w:hAnsi="Times New Roman"/>
          <w:sz w:val="24"/>
          <w:szCs w:val="24"/>
          <w:color w:val="222222"/>
        </w:rPr>
        <w:t xml:space="preserve">gereklidir. </w:t>
      </w:r>
      <w:r>
        <w:rPr>
          <w:rFonts w:ascii="Times New Roman" w:cs="Times New Roman" w:eastAsia="Times New Roman" w:hAnsi="Times New Roman"/>
          <w:sz w:val="24"/>
          <w:szCs w:val="24"/>
          <w:color w:val="222222"/>
        </w:rPr>
        <w:t>Hastaların semptomlarına göre ek tetkikler yapılabilir.</w:t>
      </w:r>
      <w:r>
        <w:rPr>
          <w:rFonts w:ascii="Times New Roman" w:cs="Times New Roman" w:eastAsia="Times New Roman" w:hAnsi="Times New Roman"/>
          <w:sz w:val="24"/>
          <w:szCs w:val="24"/>
          <w:color w:val="222222"/>
        </w:rPr>
        <w:t xml:space="preserve"> Tümör yükü </w:t>
      </w:r>
      <w:r>
        <w:rPr>
          <w:rFonts w:ascii="Times New Roman" w:cs="Times New Roman" w:eastAsia="Times New Roman" w:hAnsi="Times New Roman"/>
          <w:sz w:val="24"/>
          <w:szCs w:val="24"/>
          <w:color w:val="222222"/>
        </w:rPr>
        <w:t xml:space="preserve">değerlendirilmesi açısından değerlendirilmediyse eğer </w:t>
      </w:r>
      <w:r>
        <w:rPr>
          <w:rFonts w:ascii="Times New Roman" w:cs="Times New Roman" w:eastAsia="Times New Roman" w:hAnsi="Times New Roman"/>
          <w:sz w:val="24"/>
          <w:szCs w:val="24"/>
          <w:color w:val="222222"/>
        </w:rPr>
        <w:t>triptaz düzeyi görülmeli ve</w:t>
      </w:r>
      <w:r>
        <w:rPr>
          <w:rFonts w:ascii="Times New Roman" w:cs="Times New Roman" w:eastAsia="Times New Roman" w:hAnsi="Times New Roman"/>
          <w:sz w:val="24"/>
          <w:szCs w:val="24"/>
          <w:color w:val="222222"/>
        </w:rPr>
        <w:t xml:space="preserve"> KİAB mutlaka yapılmalıdır.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-3198495</wp:posOffset>
            </wp:positionV>
            <wp:extent cx="4699000" cy="18542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63" w:lineRule="exact"/>
        <w:rPr>
          <w:sz w:val="20"/>
          <w:szCs w:val="20"/>
          <w:color w:val="auto"/>
        </w:rPr>
      </w:pPr>
    </w:p>
    <w:p>
      <w:pPr>
        <w:jc w:val="both"/>
        <w:ind w:left="820" w:right="20" w:firstLine="708"/>
        <w:spacing w:after="0" w:line="358" w:lineRule="auto"/>
        <w:rPr>
          <w:sz w:val="20"/>
          <w:szCs w:val="20"/>
          <w:color w:val="auto"/>
        </w:rPr>
      </w:pPr>
      <w:r>
        <w:rPr>
          <w:rFonts w:ascii="Times New Roman" w:cs="Times New Roman" w:eastAsia="Times New Roman" w:hAnsi="Times New Roman"/>
          <w:sz w:val="24"/>
          <w:szCs w:val="24"/>
          <w:color w:val="222222"/>
        </w:rPr>
        <w:t xml:space="preserve">SM </w:t>
      </w:r>
      <w:r>
        <w:rPr>
          <w:rFonts w:ascii="Times New Roman" w:cs="Times New Roman" w:eastAsia="Times New Roman" w:hAnsi="Times New Roman"/>
          <w:sz w:val="24"/>
          <w:szCs w:val="24"/>
          <w:color w:val="222222"/>
        </w:rPr>
        <w:t>ile takipli olan hastalarda mediatör aracılı semptomlar hayat kalitesinde</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ciddi düşüşe neden olmanın yanında osteoporoz gibi tedavi gerektiren morbiditelere de neden olmaktadır.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hastalarının mutlaka mediatör aracılı semptomlar açısından </w:t>
      </w:r>
      <w:r>
        <w:rPr>
          <w:rFonts w:ascii="Times New Roman" w:cs="Times New Roman" w:eastAsia="Times New Roman" w:hAnsi="Times New Roman"/>
          <w:sz w:val="24"/>
          <w:szCs w:val="24"/>
          <w:color w:val="222222"/>
        </w:rPr>
        <w:t>her vizitte sor</w:t>
      </w:r>
      <w:r>
        <w:rPr>
          <w:rFonts w:ascii="Times New Roman" w:cs="Times New Roman" w:eastAsia="Times New Roman" w:hAnsi="Times New Roman"/>
          <w:sz w:val="24"/>
          <w:szCs w:val="24"/>
          <w:color w:val="222222"/>
        </w:rPr>
        <w:t>gulanması gerekmektedir. Sorgulamada mevcut kullanılan tedavilerin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de etkinliği değerlendirilmeli ve gerekmesi halinde ilgili bölümlere konsülte edilmesi ya da tedavide basamak arttırılması gerekmektedir. Mediatör aracılı semptomların </w:t>
      </w:r>
      <w:r>
        <w:rPr>
          <w:rFonts w:ascii="Times New Roman" w:cs="Times New Roman" w:eastAsia="Times New Roman" w:hAnsi="Times New Roman"/>
          <w:sz w:val="24"/>
          <w:szCs w:val="24"/>
          <w:color w:val="222222"/>
        </w:rPr>
        <w:t>mutlaka ilgili bölüml</w:t>
      </w:r>
      <w:r>
        <w:rPr>
          <w:rFonts w:ascii="Times New Roman" w:cs="Times New Roman" w:eastAsia="Times New Roman" w:hAnsi="Times New Roman"/>
          <w:sz w:val="24"/>
          <w:szCs w:val="24"/>
          <w:color w:val="222222"/>
        </w:rPr>
        <w:t>erce de değerlendirilmesi ve hastaların multidisipliner bir</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yaklaşımla takip edilmesi gerekmektedir. Bizim kohortumuzda hastaların %40’ının almakta olduğu enjekte edilebilir adrenalinin bütün hastalar</w:t>
      </w:r>
      <w:r>
        <w:rPr>
          <w:rFonts w:ascii="Times New Roman" w:cs="Times New Roman" w:eastAsia="Times New Roman" w:hAnsi="Times New Roman"/>
          <w:sz w:val="24"/>
          <w:szCs w:val="24"/>
          <w:color w:val="222222"/>
        </w:rPr>
        <w:t>a reçete edilmesi,</w:t>
      </w:r>
      <w:r>
        <w:rPr>
          <w:rFonts w:ascii="Times New Roman" w:cs="Times New Roman" w:eastAsia="Times New Roman" w:hAnsi="Times New Roman"/>
          <w:sz w:val="24"/>
          <w:szCs w:val="24"/>
          <w:color w:val="222222"/>
        </w:rPr>
        <w:t xml:space="preserve"> anafilaksi semptom ve bulgularının anlatılması ve semptomları tetikleyebilen</w:t>
      </w:r>
    </w:p>
    <w:p>
      <w:pPr>
        <w:sectPr>
          <w:pgSz w:w="11900" w:h="16838" w:orient="portrait"/>
          <w:cols w:equalWidth="0" w:num="1">
            <w:col w:w="9060"/>
          </w:cols>
          <w:pgMar w:left="1440" w:top="702" w:right="1406" w:bottom="1018" w:gutter="0" w:footer="0" w:header="0"/>
        </w:sectPr>
      </w:pPr>
    </w:p>
    <w:bookmarkStart w:id="58" w:name="page59"/>
    <w:bookmarkEnd w:id="58"/>
    <w:p>
      <w:pPr>
        <w:jc w:val="right"/>
        <w:spacing w:after="0"/>
        <w:rPr>
          <w:sz w:val="20"/>
          <w:szCs w:val="20"/>
          <w:color w:val="auto"/>
        </w:rPr>
      </w:pPr>
      <w:r>
        <w:rPr>
          <w:rFonts w:ascii="Calibri" w:cs="Calibri" w:eastAsia="Calibri" w:hAnsi="Calibri"/>
          <w:sz w:val="22"/>
          <w:szCs w:val="22"/>
          <w:color w:val="auto"/>
        </w:rPr>
        <w:t>48</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20"/>
        <w:spacing w:after="0" w:line="354" w:lineRule="auto"/>
        <w:rPr>
          <w:sz w:val="20"/>
          <w:szCs w:val="20"/>
          <w:color w:val="auto"/>
        </w:rPr>
      </w:pPr>
      <w:r>
        <w:rPr>
          <w:rFonts w:ascii="Times New Roman" w:cs="Times New Roman" w:eastAsia="Times New Roman" w:hAnsi="Times New Roman"/>
          <w:sz w:val="24"/>
          <w:szCs w:val="24"/>
          <w:color w:val="222222"/>
        </w:rPr>
        <w:t>ajanlardan ya da faaliyetlerden uzak durulmasının eğitimi verilmelidir. Yapılacak girişimsel işlemler, anestezi gerektiren işlemler gibi durumlar öncesi mutlaka multidisipliner yaklaşımla hastanın değerlendirilmesi ö</w:t>
      </w:r>
      <w:r>
        <w:rPr>
          <w:rFonts w:ascii="Times New Roman" w:cs="Times New Roman" w:eastAsia="Times New Roman" w:hAnsi="Times New Roman"/>
          <w:sz w:val="24"/>
          <w:szCs w:val="24"/>
          <w:color w:val="222222"/>
        </w:rPr>
        <w:t>nem arz etmektedir.</w:t>
      </w:r>
    </w:p>
    <w:p>
      <w:pPr>
        <w:spacing w:after="0" w:line="180" w:lineRule="exact"/>
        <w:rPr>
          <w:sz w:val="20"/>
          <w:szCs w:val="20"/>
          <w:color w:val="auto"/>
        </w:rPr>
      </w:pPr>
    </w:p>
    <w:p>
      <w:pPr>
        <w:jc w:val="both"/>
        <w:ind w:left="820" w:right="20" w:firstLine="708"/>
        <w:spacing w:after="0" w:line="356" w:lineRule="auto"/>
        <w:rPr>
          <w:sz w:val="20"/>
          <w:szCs w:val="20"/>
          <w:color w:val="auto"/>
        </w:rPr>
      </w:pPr>
      <w:r>
        <w:rPr>
          <w:rFonts w:ascii="Times New Roman" w:cs="Times New Roman" w:eastAsia="Times New Roman" w:hAnsi="Times New Roman"/>
          <w:sz w:val="24"/>
          <w:szCs w:val="24"/>
          <w:color w:val="222222"/>
        </w:rPr>
        <w:t xml:space="preserve">ASM tedavisinde midostaurin </w:t>
      </w:r>
      <w:r>
        <w:rPr>
          <w:rFonts w:ascii="Times New Roman" w:cs="Times New Roman" w:eastAsia="Times New Roman" w:hAnsi="Times New Roman"/>
          <w:sz w:val="24"/>
          <w:szCs w:val="24"/>
          <w:color w:val="222222"/>
        </w:rPr>
        <w:t>artık birinci sıra ilaç olarak görülmektedir.</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 xml:space="preserve">Bizim kohortumuzda ASM ile takipli üç hastanın Midostaurin kullandığı görüldü. İlerleyen yıllarda ASM hastalarında </w:t>
      </w:r>
      <w:r>
        <w:rPr>
          <w:rFonts w:ascii="Times New Roman" w:cs="Times New Roman" w:eastAsia="Times New Roman" w:hAnsi="Times New Roman"/>
          <w:sz w:val="24"/>
          <w:szCs w:val="24"/>
          <w:color w:val="222222"/>
        </w:rPr>
        <w:t>midostaurin</w:t>
      </w:r>
      <w:r>
        <w:rPr>
          <w:rFonts w:ascii="Times New Roman" w:cs="Times New Roman" w:eastAsia="Times New Roman" w:hAnsi="Times New Roman"/>
          <w:sz w:val="24"/>
          <w:szCs w:val="24"/>
          <w:color w:val="222222"/>
        </w:rPr>
        <w:t xml:space="preserve"> ve geliştirilmekte olan yeni hedef</w:t>
      </w:r>
      <w:r>
        <w:rPr>
          <w:rFonts w:ascii="Times New Roman" w:cs="Times New Roman" w:eastAsia="Times New Roman" w:hAnsi="Times New Roman"/>
          <w:sz w:val="24"/>
          <w:szCs w:val="24"/>
          <w:color w:val="222222"/>
        </w:rPr>
        <w:t>e</w:t>
      </w:r>
      <w:r>
        <w:rPr>
          <w:rFonts w:ascii="Times New Roman" w:cs="Times New Roman" w:eastAsia="Times New Roman" w:hAnsi="Times New Roman"/>
          <w:sz w:val="24"/>
          <w:szCs w:val="24"/>
          <w:color w:val="222222"/>
        </w:rPr>
        <w:t xml:space="preserve"> yönelik tedavilerin artış göstereceği öngörülebilir.</w:t>
      </w:r>
    </w:p>
    <w:p>
      <w:pPr>
        <w:spacing w:after="0" w:line="177" w:lineRule="exact"/>
        <w:rPr>
          <w:sz w:val="20"/>
          <w:szCs w:val="20"/>
          <w:color w:val="auto"/>
        </w:rPr>
      </w:pPr>
    </w:p>
    <w:p>
      <w:pPr>
        <w:jc w:val="both"/>
        <w:ind w:left="820" w:right="20" w:firstLine="708"/>
        <w:spacing w:after="0" w:line="357" w:lineRule="auto"/>
        <w:rPr>
          <w:sz w:val="20"/>
          <w:szCs w:val="20"/>
          <w:color w:val="auto"/>
        </w:rPr>
      </w:pPr>
      <w:r>
        <w:rPr>
          <w:rFonts w:ascii="Times New Roman" w:cs="Times New Roman" w:eastAsia="Times New Roman" w:hAnsi="Times New Roman"/>
          <w:sz w:val="24"/>
          <w:szCs w:val="24"/>
          <w:color w:val="222222"/>
        </w:rPr>
        <w:t>Son olarak g</w:t>
      </w:r>
      <w:r>
        <w:rPr>
          <w:rFonts w:ascii="Times New Roman" w:cs="Times New Roman" w:eastAsia="Times New Roman" w:hAnsi="Times New Roman"/>
          <w:sz w:val="24"/>
          <w:szCs w:val="24"/>
          <w:color w:val="222222"/>
        </w:rPr>
        <w:t>elişmekte olan tedavilerin etkinliğinin artması</w:t>
      </w:r>
      <w:r>
        <w:rPr>
          <w:rFonts w:ascii="Times New Roman" w:cs="Times New Roman" w:eastAsia="Times New Roman" w:hAnsi="Times New Roman"/>
          <w:sz w:val="24"/>
          <w:szCs w:val="24"/>
          <w:color w:val="222222"/>
        </w:rPr>
        <w:t xml:space="preserve"> ve hastalarda yüz </w:t>
      </w:r>
      <w:r>
        <w:rPr>
          <w:rFonts w:ascii="Times New Roman" w:cs="Times New Roman" w:eastAsia="Times New Roman" w:hAnsi="Times New Roman"/>
          <w:sz w:val="24"/>
          <w:szCs w:val="24"/>
          <w:color w:val="222222"/>
        </w:rPr>
        <w:t xml:space="preserve">güldürücü sonuçların görülmesi ile beraber </w:t>
      </w:r>
      <w:r>
        <w:rPr>
          <w:rFonts w:ascii="Times New Roman" w:cs="Times New Roman" w:eastAsia="Times New Roman" w:hAnsi="Times New Roman"/>
          <w:sz w:val="24"/>
          <w:szCs w:val="24"/>
          <w:color w:val="222222"/>
        </w:rPr>
        <w:t>SM</w:t>
      </w:r>
      <w:r>
        <w:rPr>
          <w:rFonts w:ascii="Times New Roman" w:cs="Times New Roman" w:eastAsia="Times New Roman" w:hAnsi="Times New Roman"/>
          <w:sz w:val="24"/>
          <w:szCs w:val="24"/>
          <w:color w:val="222222"/>
        </w:rPr>
        <w:t xml:space="preserve"> tanısının erken dönemde konulması önem arz etmektedir. Hastaların mutlaka multidisipliner değerlendirilmesi ve takip </w:t>
      </w:r>
      <w:r>
        <w:rPr>
          <w:rFonts w:ascii="Times New Roman" w:cs="Times New Roman" w:eastAsia="Times New Roman" w:hAnsi="Times New Roman"/>
          <w:sz w:val="24"/>
          <w:szCs w:val="24"/>
          <w:color w:val="222222"/>
        </w:rPr>
        <w:t>edilmesi önerilir.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-412750</wp:posOffset>
            </wp:positionV>
            <wp:extent cx="4699000" cy="185420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02" w:right="1406" w:bottom="1440" w:gutter="0" w:footer="0" w:header="0"/>
        </w:sectPr>
      </w:pPr>
    </w:p>
    <w:bookmarkStart w:id="59" w:name="page60"/>
    <w:bookmarkEnd w:id="59"/>
    <w:p>
      <w:pPr>
        <w:ind w:left="8820"/>
        <w:spacing w:after="0"/>
        <w:rPr>
          <w:sz w:val="20"/>
          <w:szCs w:val="20"/>
          <w:color w:val="auto"/>
        </w:rPr>
      </w:pPr>
      <w:r>
        <w:rPr>
          <w:rFonts w:ascii="Calibri" w:cs="Calibri" w:eastAsia="Calibri" w:hAnsi="Calibri"/>
          <w:sz w:val="22"/>
          <w:szCs w:val="22"/>
          <w:color w:val="auto"/>
        </w:rPr>
        <w:t>49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464185</wp:posOffset>
            </wp:positionV>
            <wp:extent cx="5389880" cy="752411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extLst>
                    </a:blip>
                    <a:srcRect/>
                    <a:stretch>
                      <a:fillRect/>
                    </a:stretch>
                  </pic:blipFill>
                  <pic:spPr bwMode="auto">
                    <a:xfrm>
                      <a:off x="0" y="0"/>
                      <a:ext cx="5389880" cy="7524115"/>
                    </a:xfrm>
                    <a:prstGeom prst="rect">
                      <a:avLst/>
                    </a:prstGeom>
                    <a:noFill/>
                  </pic:spPr>
                </pic:pic>
              </a:graphicData>
            </a:graphic>
          </wp:anchor>
        </w:drawing>
      </w:r>
    </w:p>
    <w:p>
      <w:pPr>
        <w:sectPr>
          <w:pgSz w:w="11900" w:h="16838" w:orient="portrait"/>
          <w:cols w:equalWidth="0" w:num="1">
            <w:col w:w="9060"/>
          </w:cols>
          <w:pgMar w:left="1440" w:top="702" w:right="1406" w:bottom="1440" w:gutter="0" w:footer="0" w:header="0"/>
        </w:sectPr>
      </w:pPr>
    </w:p>
    <w:bookmarkStart w:id="60" w:name="page61"/>
    <w:bookmarkEnd w:id="60"/>
    <w:p>
      <w:pPr>
        <w:jc w:val="right"/>
        <w:spacing w:after="0"/>
        <w:rPr>
          <w:sz w:val="20"/>
          <w:szCs w:val="20"/>
          <w:color w:val="auto"/>
        </w:rPr>
      </w:pPr>
      <w:r>
        <w:rPr>
          <w:rFonts w:ascii="Calibri" w:cs="Calibri" w:eastAsia="Calibri" w:hAnsi="Calibri"/>
          <w:sz w:val="22"/>
          <w:szCs w:val="22"/>
          <w:color w:val="auto"/>
        </w:rPr>
        <w:t>50</w:t>
      </w: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3680"/>
        <w:spacing w:after="0"/>
        <w:rPr>
          <w:sz w:val="20"/>
          <w:szCs w:val="20"/>
          <w:color w:val="auto"/>
        </w:rPr>
      </w:pPr>
      <w:r>
        <w:rPr>
          <w:rFonts w:ascii="Times New Roman" w:cs="Times New Roman" w:eastAsia="Times New Roman" w:hAnsi="Times New Roman"/>
          <w:sz w:val="24"/>
          <w:szCs w:val="24"/>
          <w:b w:val="1"/>
          <w:bCs w:val="1"/>
          <w:color w:val="auto"/>
        </w:rPr>
        <w:t>Kaynaklar</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820" w:right="20" w:firstLine="8"/>
        <w:spacing w:after="0" w:line="234"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Brunning RD, McKenna RW, Rosai J, Parkin JL, Risdall R. Systemic mastocytosis. Extracutaneous manifestations. Am J Surg Pathol. 1983;7(5):425-38.</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Horny HP, Parwaresch MR, Lennert K. Bone marrow findings in systemic mastocytosis. Hum Pathol. 1985;16(8):808-14.</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6"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Stevens EC, Rosenthal NS. Bone marrow mast cell morphologic features and hematopoietic dyspoiesis in systemic mast cell disease. Am J Clin Pathol. 2001;116(2):177-82.</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Azaña JM, Torrelo A, Mediero IG, Zambrano A. Urticaria pigmentosa: a review of 67 pediatric cases. Pediatr Dermatol. 1994;11(2):102-6.</w:t>
      </w:r>
    </w:p>
    <w:p>
      <w:pPr>
        <w:spacing w:after="0" w:line="14" w:lineRule="exact"/>
        <w:rPr>
          <w:rFonts w:ascii="Times New Roman" w:cs="Times New Roman" w:eastAsia="Times New Roman" w:hAnsi="Times New Roman"/>
          <w:sz w:val="24"/>
          <w:szCs w:val="24"/>
          <w:color w:val="auto"/>
        </w:rPr>
      </w:pPr>
    </w:p>
    <w:p>
      <w:pPr>
        <w:ind w:left="820" w:firstLine="8"/>
        <w:spacing w:after="0" w:line="234"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Caplan RM. The natural course of urticaria pigmentosa. Analysis and follow-up of 112 cases. Arch Dermatol. 1963;87:146-57.</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Kettelhut BV, Metcalfe DD. Pediatric mastocytosis. Ann Allergy. 1994;73(3):197-202; quiz -7.</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Uzzaman A, Maric I, Noel P, Kettelhut BV, Metcalfe DD, Carter MC. Pediatric-onset mastocytosis: a long term clinical follow-up and correlation with bone marrow histopathology. Pediatr Blood Cancer. 2009;53(4):629-34.</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6"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Lim KH, Tefferi A, Lasho TL, Finke C, Patnaik M, Butterfield JH, et al. Systemic mastocytosis in 342 consecutive adults: survival studies and prognostic factors. Blood. 2009;113(23):5727-36.</w:t>
      </w:r>
    </w:p>
    <w:p>
      <w:pPr>
        <w:spacing w:after="0" w:line="1" w:lineRule="exact"/>
        <w:rPr>
          <w:rFonts w:ascii="Times New Roman" w:cs="Times New Roman" w:eastAsia="Times New Roman" w:hAnsi="Times New Roman"/>
          <w:sz w:val="24"/>
          <w:szCs w:val="24"/>
          <w:color w:val="auto"/>
        </w:rPr>
      </w:pPr>
    </w:p>
    <w:p>
      <w:pPr>
        <w:ind w:left="1540" w:hanging="712"/>
        <w:spacing w:after="0"/>
        <w:tabs>
          <w:tab w:leader="none" w:pos="1540"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Metcalfe DD. Mast cells and mastocytosis. Blood. 2008;112(4):946-56.</w:t>
      </w:r>
    </w:p>
    <w:p>
      <w:pPr>
        <w:spacing w:after="0" w:line="12"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Parwaresch MR, Horny HP, Lennert K. Tissue mast cells in health and disease. Pathol Res Pract. 1985;179(4-5):439-61.</w:t>
      </w:r>
    </w:p>
    <w:p>
      <w:pPr>
        <w:spacing w:after="0" w:line="14"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Valent P, Akin C, Sperr WR, Horny HP, Arock M, Lechner K, et al. Diagnosis and treatment of systemic mastocytosis: state of the art. Br J Haematol. 2003;122(5):695-717.</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Doyle LA, Sepehr GJ, Hamilton MJ, Akin C, Castells MC, Hornick JL. A clinicopathologic study of 24 cases of systemic mastocytosis involving the gastrointestinal tract and assessment of mucosal mast cell density in irritable bowel syndrome and asymptomatic patients. Am J Surg Pathol. 2014;38(6):832-43.</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Lidor C, Frisch B, Gazit D, Gepstein R, Hallel T, Mekori YA. Osteoporosis as the sole presentation of bone marrow mastocytosis. J Bone Miner Res. 1990;5(8):871-6.</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Smith JH, Snyder MR, Weiler CR, Cutrer FM, Butterfield JH. Lack of evidence for intrathecal tryptase synthesis in patients with systemic mastocytosis. J Allergy Clin Immunol. 2013;132(4):996-7.</w:t>
      </w:r>
    </w:p>
    <w:p>
      <w:pPr>
        <w:spacing w:after="0" w:line="14"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Boyce JA, editor The biology of the mast cell. Allergy &amp; Asthma Proceedings; 2004.</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Echtenacher B, Männel DN, Hültner L. Critical protective role of mast cells in a model of acute septic peritonitis. Nature. 1996;381(6577):75-7.</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Marshall JS, Jawdat DM. Mast cells in innate immunity. Journal of allergy and clinical immunology. 2004;114(1):21-7.</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Gurish MF, Boyce JA. Mast cells: ontogeny, homing, and recruitment of a unique innate effector cell. Journal of Allergy and Clinical Immunology. 2006;117(6):1285-91.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-5612130</wp:posOffset>
            </wp:positionV>
            <wp:extent cx="4699000" cy="185420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02" w:right="1406" w:bottom="1440" w:gutter="0" w:footer="0" w:header="0"/>
        </w:sectPr>
      </w:pPr>
    </w:p>
    <w:bookmarkStart w:id="61" w:name="page62"/>
    <w:bookmarkEnd w:id="61"/>
    <w:p>
      <w:pPr>
        <w:jc w:val="right"/>
        <w:spacing w:after="0"/>
        <w:rPr>
          <w:sz w:val="20"/>
          <w:szCs w:val="20"/>
          <w:color w:val="auto"/>
        </w:rPr>
      </w:pPr>
      <w:r>
        <w:rPr>
          <w:rFonts w:ascii="Calibri" w:cs="Calibri" w:eastAsia="Calibri" w:hAnsi="Calibri"/>
          <w:sz w:val="22"/>
          <w:szCs w:val="22"/>
          <w:color w:val="auto"/>
        </w:rPr>
        <w:t>51</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20" w:firstLine="8"/>
        <w:spacing w:after="0" w:line="236"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Kirshenbaum AS, Kessler SW, Goff JP, Metcalfe DD. Demonstration of the origin of human mast cells from CD34+ bone marrow progenitor cells. The Journal of immunology. 1991;146(5):1410-5.</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Maaninka K, Lappalainen J, Kovanen PT. Human mast cells arise from a common circulating progenitor. Journal of allergy and clinical immunology. 2013;132(2):463-9. e3.</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Arinobu Y, Iwasaki H, Gurish MF, Mizuno S-i, Shigematsu H, Ozawa H, et al. Developmental checkpoints of the basophil/mast cell lineages in adult murine hematopoiesis. Proceedings of the National Academy of Sciences. 2005;102(50):18105-10.</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Kirschenbaum A, Goff J, Semere T. Demonstration that human mast cells arise from a progenitor cell population that is CD34 (+), c-kit (+) and expresses aminopeptidases N (CD13). Blood. 1999;94:2333-42.</w:t>
      </w:r>
    </w:p>
    <w:p>
      <w:pPr>
        <w:spacing w:after="0" w:line="14"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Kitamura Y, Oboki K, Ito A. Molecular mechanisms of mast cell development. Immunology and Allergy Clinics. 2006;26(3):387-405.</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6"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Toru H, Ra C, Nonoyama S, Suzuki K, Yata J-i, Nakahata T. Induction of the high-affinity IgE receptor (Fc</w:t>
      </w:r>
      <w:r>
        <w:rPr>
          <w:rFonts w:ascii="Times New Roman" w:cs="Times New Roman" w:eastAsia="Times New Roman" w:hAnsi="Times New Roman"/>
          <w:sz w:val="24"/>
          <w:szCs w:val="24"/>
          <w:color w:val="auto"/>
        </w:rPr>
        <w:t>ɛ</w:t>
      </w:r>
      <w:r>
        <w:rPr>
          <w:rFonts w:ascii="Times New Roman" w:cs="Times New Roman" w:eastAsia="Times New Roman" w:hAnsi="Times New Roman"/>
          <w:sz w:val="24"/>
          <w:szCs w:val="24"/>
          <w:color w:val="auto"/>
        </w:rPr>
        <w:t>RI) on human mast cells by IL-4. International immunology. 1996;8(9):1367-73.</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Galli SJ, Tsai M, Wershil BK. The c-kit receptor, stem cell factor, and mast cells. What each is teaching us about the others. The American journal of pathology. 1993;142(4):965.</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 L, Li Y, Reddel SW, Cherrian M, Friend DS, Stevens RL, et al. Identification of basophilic cells that express mast cell granule proteases in the peripheral blood of asthma, allergy, and drug-reactive patients. The Journal of Immunology. 1998;161(9):5079-86.</w:t>
      </w:r>
    </w:p>
    <w:p>
      <w:pPr>
        <w:spacing w:after="0" w:line="11"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Abonia JP, Austen KF, Rollins BJ, Joshi SK, Flavell RA, Kuziel WA, et al. Constitutive homing of mast cell progenitors to the intestine depends on autologous expression of the chemokine receptor CXCR2. Blood. 2005;105(11):4308-13.</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6"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Abonia JP, Hallgren J, Jones T, Shi T, Xu Y, Koni P, et al. Alpha-4 integrins and VCAM-1, but not MAdCAM-1, are essential for recruitment of mast cell progenitors to the inflamed lung. Blood. 2006;108(5):1588-94.</w:t>
      </w:r>
    </w:p>
    <w:p>
      <w:pPr>
        <w:spacing w:after="0" w:line="1" w:lineRule="exact"/>
        <w:rPr>
          <w:rFonts w:ascii="Times New Roman" w:cs="Times New Roman" w:eastAsia="Times New Roman" w:hAnsi="Times New Roman"/>
          <w:sz w:val="24"/>
          <w:szCs w:val="24"/>
          <w:color w:val="auto"/>
        </w:rPr>
      </w:pPr>
    </w:p>
    <w:p>
      <w:pPr>
        <w:ind w:left="1540" w:hanging="712"/>
        <w:spacing w:after="0"/>
        <w:tabs>
          <w:tab w:leader="none" w:pos="1540"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Gurish  MF,  Tao  H,  Abonia  JP,  Arya  A,  Friend  DS,  Parker  CM,  et  al.</w:t>
      </w:r>
    </w:p>
    <w:p>
      <w:pPr>
        <w:spacing w:after="0" w:line="12" w:lineRule="exact"/>
        <w:rPr>
          <w:rFonts w:ascii="Times New Roman" w:cs="Times New Roman" w:eastAsia="Times New Roman" w:hAnsi="Times New Roman"/>
          <w:sz w:val="24"/>
          <w:szCs w:val="24"/>
          <w:color w:val="auto"/>
        </w:rPr>
      </w:pPr>
    </w:p>
    <w:p>
      <w:pPr>
        <w:ind w:left="820"/>
        <w:spacing w:after="0" w:line="23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Intestinal mast cell progenitors require CD49dβ7 (α4β7 integrin) for tissue</w:t>
      </w:r>
      <w:r>
        <w:rPr>
          <w:rFonts w:ascii="Times New Roman" w:cs="Times New Roman" w:eastAsia="Times New Roman" w:hAnsi="Times New Roman"/>
          <w:sz w:val="24"/>
          <w:szCs w:val="24"/>
          <w:color w:val="auto"/>
        </w:rPr>
        <w:t>-specific</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homing. The Journal of experimental medicine. 2001;194(9):1243-52.</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Dvorak A. The fine structure of human basophils and mast cells. Mast cells, mediators and disease: Springer; 1988. p. 29-97.</w:t>
      </w:r>
    </w:p>
    <w:p>
      <w:pPr>
        <w:spacing w:after="0" w:line="13" w:lineRule="exact"/>
        <w:rPr>
          <w:rFonts w:ascii="Times New Roman" w:cs="Times New Roman" w:eastAsia="Times New Roman" w:hAnsi="Times New Roman"/>
          <w:sz w:val="24"/>
          <w:szCs w:val="24"/>
          <w:color w:val="auto"/>
        </w:rPr>
      </w:pPr>
    </w:p>
    <w:p>
      <w:pPr>
        <w:ind w:left="820" w:firstLine="8"/>
        <w:spacing w:after="0" w:line="234"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Benditt EP, Lagunoff D. The mast cell: its structure and function. Progress in Allergy Vol 8. 8: Karger Publishers; 1964. p. 195-223.</w:t>
      </w:r>
    </w:p>
    <w:p>
      <w:pPr>
        <w:spacing w:after="0" w:line="14"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Boyce JA. Mast cells: beyond IgE. The Journal of allergy and clinical immunology. 2003;111(1):24-32; quiz 3.</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Galli SJ, Maurer M, Lantz CS. Mast cells as sentinels of innate immunity. Current opinion in immunology. 1999;11(1):53-9.</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6"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Suto H, Nakae S, Kakurai M, Sedgwick JD, Tsai M, Galli SJ. Mast cell-associated TNF promotes dendritic cell migration. The Journal of Immunology. 2006;176(7):4102-12.</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 Nardo A, Vitiello A, Gallo RL. Cutting edge: mast cell antimicrobial activity is mediated by expression of cathelicidin antimicrobial peptide. The Journal of Immunology. 2003;170(5):2274-8.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-5730875</wp:posOffset>
            </wp:positionV>
            <wp:extent cx="4699000" cy="185420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02" w:right="1406" w:bottom="1440" w:gutter="0" w:footer="0" w:header="0"/>
        </w:sectPr>
      </w:pPr>
    </w:p>
    <w:bookmarkStart w:id="62" w:name="page63"/>
    <w:bookmarkEnd w:id="62"/>
    <w:p>
      <w:pPr>
        <w:jc w:val="right"/>
        <w:spacing w:after="0"/>
        <w:rPr>
          <w:sz w:val="20"/>
          <w:szCs w:val="20"/>
          <w:color w:val="auto"/>
        </w:rPr>
      </w:pPr>
      <w:r>
        <w:rPr>
          <w:rFonts w:ascii="Calibri" w:cs="Calibri" w:eastAsia="Calibri" w:hAnsi="Calibri"/>
          <w:sz w:val="22"/>
          <w:szCs w:val="22"/>
          <w:color w:val="auto"/>
        </w:rPr>
        <w:t>52</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20" w:firstLine="8"/>
        <w:spacing w:after="0" w:line="236" w:lineRule="auto"/>
        <w:tabs>
          <w:tab w:leader="none" w:pos="1528"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Williams CM, Galli SJ. The diverse potential effector and immunoregulatory roles of mast cells in allergic disease. Journal of Allergy and Clinical Immunology. 2000;105(5):847-59.</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Robertson I, Greaves M. Responses of human skin blood vessels to synthetic histamine analogues. British journal of clinical pharmacology. 1978;5(4):319-22.</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Lemanske Jr RF, Kaliner MA. Late phase allergic reactions. International journal of dermatology. 1983;22(7):401-9.</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6" w:lineRule="auto"/>
        <w:tabs>
          <w:tab w:leader="none" w:pos="1528"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Xu X, Zhang D, Zhang H, Wolters PJ, Killeen NP, Sullivan BM, et al. Neutrophil histamine contributes to inflammation in mycoplasma pneumonia. The Journal of experimental medicine. 2006;203(13):2907-17.</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Bryce PJ, Mathias CB, Harrison KL, Watanabe T, Geha RS, Oettgen HC. The H1 histamine receptor regulates allergic lung responses. The Journal of clinical investigation. 2006;116(6):1624-32.</w:t>
      </w:r>
    </w:p>
    <w:p>
      <w:pPr>
        <w:spacing w:after="0" w:line="14"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András F, Merétey K. Histamine: an early messenger in inflammatory and immune reactions. Immunology today. 1992;13(5):154-6.</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6" w:lineRule="auto"/>
        <w:tabs>
          <w:tab w:leader="none" w:pos="1528"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Leino L, Lilius E-M. Histamine receptors on leukocytes are expressed differently in vitro and ex vivo. International Archives of Allergy and Immunology. 1990;91(1):30-5.</w:t>
      </w:r>
    </w:p>
    <w:p>
      <w:pPr>
        <w:spacing w:after="0" w:line="13" w:lineRule="exact"/>
        <w:rPr>
          <w:rFonts w:ascii="Times New Roman" w:cs="Times New Roman" w:eastAsia="Times New Roman" w:hAnsi="Times New Roman"/>
          <w:sz w:val="24"/>
          <w:szCs w:val="24"/>
          <w:color w:val="auto"/>
        </w:rPr>
      </w:pPr>
    </w:p>
    <w:p>
      <w:pPr>
        <w:ind w:left="820" w:right="20" w:firstLine="8"/>
        <w:spacing w:after="0" w:line="270" w:lineRule="exact"/>
        <w:tabs>
          <w:tab w:leader="none" w:pos="1528" w:val="left"/>
        </w:tabs>
        <w:numPr>
          <w:ilvl w:val="0"/>
          <w:numId w:val="22"/>
        </w:numPr>
        <w:rPr>
          <w:rFonts w:ascii="Times New Roman" w:cs="Times New Roman" w:eastAsia="Times New Roman" w:hAnsi="Times New Roman"/>
          <w:sz w:val="24"/>
          <w:szCs w:val="24"/>
          <w:color w:val="auto"/>
        </w:rPr>
      </w:pPr>
      <w:r>
        <w:rPr>
          <w:rFonts w:ascii="MS PGothic" w:cs="MS PGothic" w:eastAsia="MS PGothic" w:hAnsi="MS PGothic"/>
          <w:sz w:val="24"/>
          <w:szCs w:val="24"/>
          <w:color w:val="auto"/>
        </w:rPr>
        <w:t xml:space="preserve">Arrang JM, Devaux B, Chodkiewicz JP, Schwartz JC. H3‐receptors control </w:t>
      </w:r>
      <w:r>
        <w:rPr>
          <w:rFonts w:ascii="Times New Roman" w:cs="Times New Roman" w:eastAsia="Times New Roman" w:hAnsi="Times New Roman"/>
          <w:sz w:val="24"/>
          <w:szCs w:val="24"/>
          <w:color w:val="auto"/>
        </w:rPr>
        <w:t>histamine release in human brain. Journal of neurochemistry. 1988;51(1):105-8.</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Ling P, Ngo K, Nguyen S, Thurmond RL, Edwards JP, Karlsson L, et al. Histamine H4 receptor mediates eosinophil chemotaxis with cell shape change and adhesion molecule upregulation. British journal of pharmacology. 2004;142(1):161-</w:t>
      </w:r>
    </w:p>
    <w:p>
      <w:pPr>
        <w:spacing w:after="0" w:line="13" w:lineRule="exact"/>
        <w:rPr>
          <w:rFonts w:ascii="Times New Roman" w:cs="Times New Roman" w:eastAsia="Times New Roman" w:hAnsi="Times New Roman"/>
          <w:sz w:val="24"/>
          <w:szCs w:val="24"/>
          <w:color w:val="auto"/>
        </w:rPr>
      </w:pPr>
    </w:p>
    <w:p>
      <w:pPr>
        <w:spacing w:after="0"/>
        <w:tabs>
          <w:tab w:leader="none" w:pos="0" w:val="left"/>
        </w:tabs>
        <w:numPr>
          <w:ilvl w:val="0"/>
          <w:numId w:val="23"/>
        </w:numPr>
        <w:rPr>
          <w:rFonts w:ascii="Times New Roman" w:cs="Times New Roman" w:eastAsia="Times New Roman" w:hAnsi="Times New Roman"/>
          <w:sz w:val="24"/>
          <w:szCs w:val="24"/>
          <w:color w:val="auto"/>
        </w:rPr>
      </w:pPr>
    </w:p>
    <w:p>
      <w:pPr>
        <w:jc w:val="both"/>
        <w:ind w:left="820" w:right="20" w:firstLine="8"/>
        <w:spacing w:after="0" w:line="235" w:lineRule="auto"/>
        <w:tabs>
          <w:tab w:leader="none" w:pos="1528"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Stevens RL, Fox CC, Lichtenstein LM, Austen KF. Identification of chondroitin sulfate E proteoglycans and heparin proteoglycans in the secretory granules of human lung mast cells. Proc Natl Acad Sci U S A. 1988;85(7):2284-7.</w:t>
      </w:r>
    </w:p>
    <w:p>
      <w:pPr>
        <w:spacing w:after="0" w:line="15"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Goldstein SM, Leong J, Schwartz LB, Cooke D. Protease composition of exocytosed human skin mast cell protease-proteoglycan complexes. Tryptase resides in a complex distinct from chymase and carboxypeptidase. J Immunol. 1992;148(8):2475-82.</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Gospodarowicz D, Cheng J. Heparin protects basic and acidic FGF from inactivation. J Cell Physiol. 1986;128(3):475-84.</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Thompson HL, Schulman ES, Metcalfe DD. Identification of chondroitin sulfate E in human lung mast cells. J Immunol. 1988;140(8):2708-13.</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Schwartz LB. Effector cells of anaphylaxis: mast cells and basophils. Novartis Found Symp. 2004;257:65-74; discussion -9, 98-100, 276-85.</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Schwartz LB, Irani AM, Roller K, Castells MC, Schechter NM. Quantitation of histamine, tryptase, and chymase in dispersed human T and TC mast cells. J Immunol. 1987;138(8):2611-5.</w:t>
      </w:r>
    </w:p>
    <w:p>
      <w:pPr>
        <w:spacing w:after="0" w:line="14"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Castells MC, Irani AM, Schwartz LB. Evaluation of human peripheral blood leukocytes for mast cell tryptase. J Immunol. 1987;138(7):2184-9.</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Caughey GH. Tryptase genetics and anaphylaxis. J Allergy Clin Immunol. 2006;117(6):1411-4.</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6" w:lineRule="auto"/>
        <w:tabs>
          <w:tab w:leader="none" w:pos="1528"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Maun HR, Jackman JK, Choy DF, Loyet KM, Staton TL, Jia G, et al. An Allosteric Anti-tryptase Antibody for the Treatment of Mast Cell-Mediated Severe Asthma. Cell. 2019;179(2):417-31.e19.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-5555615</wp:posOffset>
            </wp:positionV>
            <wp:extent cx="4699000" cy="185420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02" w:right="1406" w:bottom="1440" w:gutter="0" w:footer="0" w:header="0"/>
        </w:sectPr>
      </w:pPr>
    </w:p>
    <w:bookmarkStart w:id="63" w:name="page64"/>
    <w:bookmarkEnd w:id="63"/>
    <w:p>
      <w:pPr>
        <w:ind w:left="8820"/>
        <w:spacing w:after="0"/>
        <w:rPr>
          <w:sz w:val="20"/>
          <w:szCs w:val="20"/>
          <w:color w:val="auto"/>
        </w:rPr>
      </w:pPr>
      <w:r>
        <w:rPr>
          <w:rFonts w:ascii="Calibri" w:cs="Calibri" w:eastAsia="Calibri" w:hAnsi="Calibri"/>
          <w:sz w:val="22"/>
          <w:szCs w:val="22"/>
          <w:color w:val="auto"/>
        </w:rPr>
        <w:t>53</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firstLine="8"/>
        <w:spacing w:after="0" w:line="236" w:lineRule="auto"/>
        <w:tabs>
          <w:tab w:leader="none" w:pos="1528" w:val="left"/>
        </w:tabs>
        <w:numPr>
          <w:ilvl w:val="0"/>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Prieto-García A, Castells MC, Hansbro PM, Stevens RL. Mast cell-restricted tetramer-forming tryptases and their beneficial roles in hemostasis and blood coagulation. Immunol Allergy Clin North Am. 2014;34(2):263-81.</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Schwartz LB, Bradford TR, Littman BH, Wintroub BU. The fibrinogenolytic activity of purified tryptase from human lung mast cells. J Immunol. 1985;135(4):2762-7.</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Walls AF, He S, Teran LM, Buckley MG, Jung KS, Holgate ST, et al. Granulocyte recruitment by human mast cell tryptase. Int Arch Allergy Immunol. 1995;107(1-3):372-3.</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Cairns JA, Walls AF. Mast cell tryptase is a mitogen for epithelial cells. Stimulation of IL-8 production and intercellular adhesion molecule-1 expression. J Immunol. 1996;156(1):275-83.</w:t>
      </w:r>
    </w:p>
    <w:p>
      <w:pPr>
        <w:spacing w:after="0" w:line="14"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Tam EK, Caughey GH. Degradation of airway neuropeptides by human lung tryptase. Am J Respir Cell Mol Biol. 1990;3(1):27-32.</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Irani AM, Goldstein SM, Wintroub BU, Bradford T, Schwartz LB. Human mast cell carboxypeptidase. Selective localization to MCTC cells. J Immunol. 1991;147(1):247-53.</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4" w:lineRule="auto"/>
        <w:tabs>
          <w:tab w:leader="none" w:pos="1528" w:val="left"/>
        </w:tabs>
        <w:numPr>
          <w:ilvl w:val="0"/>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Goldstein SM, Kaempfer CE, Kealey JT, Wintroub BU. Human mast cell carboxypeptidase. Purification and characterization. J Clin Invest. 1989;83(5):1630-</w:t>
      </w:r>
    </w:p>
    <w:p>
      <w:pPr>
        <w:spacing w:after="0" w:line="13" w:lineRule="exact"/>
        <w:rPr>
          <w:rFonts w:ascii="Times New Roman" w:cs="Times New Roman" w:eastAsia="Times New Roman" w:hAnsi="Times New Roman"/>
          <w:sz w:val="24"/>
          <w:szCs w:val="24"/>
          <w:color w:val="auto"/>
        </w:rPr>
      </w:pPr>
    </w:p>
    <w:p>
      <w:pPr>
        <w:spacing w:after="0"/>
        <w:tabs>
          <w:tab w:leader="none" w:pos="0" w:val="left"/>
        </w:tabs>
        <w:numPr>
          <w:ilvl w:val="0"/>
          <w:numId w:val="26"/>
        </w:numPr>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Goldstein SM, Leong J, Bunnett NW. Human mast cell proteases hydrolyze neurotensin, kinetensin and Leu5-enkephalin. Peptides. 1991;12(5):995-1000.</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Reilly CF, Schechter NB, Travis J. Inactivation of bradykinin and kallidin by cathepsin G and mast cell chymase. Biochem Biophys Res Commun. 1985;127(2):443-9.</w:t>
      </w:r>
    </w:p>
    <w:p>
      <w:pPr>
        <w:spacing w:after="0" w:line="11"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Caughey GH, Leidig F, Viro NF, Nadel JA. Substance P and vasoactive intestinal peptide degradation by mast cell tryptase and chymase. J Pharmacol Exp Ther. 1988;244(1):133-7.</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Wintroub BU, Schechter NB, Lazarus GS, Kaempfer CE, Schwartz LB. Angiotensin I conversion by human and rat chymotryptic proteinases. J Invest Dermatol. 1984;83(5):336-9.</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Flower RJ, Harvey EA, Kingston WP. Inflammatory effects of prostaglandin D2 in rat and human skin. Br J Pharmacol. 1976;56(2):229-33.</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6" w:lineRule="auto"/>
        <w:tabs>
          <w:tab w:leader="none" w:pos="1528"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Hardy CC, Robinson C, Tattersfield AE, Holgate ST. The bronchoconstrictor effect of inhaled prostaglandin D2 in normal and asthmatic men. N Engl J Med. 1984;311(4):209-13.</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7" w:lineRule="auto"/>
        <w:tabs>
          <w:tab w:leader="none" w:pos="1528"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Pugliese G, Spokas EG, Marcinkiewicz E, Wong PY. Hepatic transformation of prostaglandin D2 to a new prostanoid, 9 alpha,11 beta-prostaglandin F2, that inhibits platelet aggregation and constricts blood vessels. J Biol Chem. 1985;260(27):14621-5.</w:t>
      </w:r>
    </w:p>
    <w:p>
      <w:pPr>
        <w:spacing w:after="0" w:line="14"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Goetzl EJ. Oxygenation products of arachidonic acid as mediators of hypersensitivity and inflammation. Med Clin North Am. 1981;65(4):809-28.</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Raible DG, Schulman ES, DiMuzio J, Cardillo R, Post TJ. Mast cell mediators prostaglandin-D2 and histamine activate human eosinophils. J Immunol. 1992;148(11):3536-42.</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O'Sullivan S, Dahlén B, Dahlén SE, Kumlin M. Increased urinary excretion of the prostaglandin D2 metabolite 9 alpha, 11 beta-prostaglandin F2 after aspirin challenge supports mast cell activation in aspirin-induced airway obstruction. J Allergy Clin Immunol. 1996;98(2):421-32.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-5906135</wp:posOffset>
            </wp:positionV>
            <wp:extent cx="4699000" cy="185420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02" w:right="1406" w:bottom="1053" w:gutter="0" w:footer="0" w:header="0"/>
        </w:sectPr>
      </w:pPr>
    </w:p>
    <w:bookmarkStart w:id="64" w:name="page65"/>
    <w:bookmarkEnd w:id="64"/>
    <w:p>
      <w:pPr>
        <w:ind w:left="8820"/>
        <w:spacing w:after="0"/>
        <w:rPr>
          <w:sz w:val="20"/>
          <w:szCs w:val="20"/>
          <w:color w:val="auto"/>
        </w:rPr>
      </w:pPr>
      <w:r>
        <w:rPr>
          <w:rFonts w:ascii="Calibri" w:cs="Calibri" w:eastAsia="Calibri" w:hAnsi="Calibri"/>
          <w:sz w:val="22"/>
          <w:szCs w:val="22"/>
          <w:color w:val="auto"/>
        </w:rPr>
        <w:t>54</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firstLine="8"/>
        <w:spacing w:after="0" w:line="236" w:lineRule="auto"/>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Roberts LJ, 2nd, Sweetman BJ, Lewis RA, Austen KF, Oates JA. Increased production of prostaglandin D2 in patients with systemic mastocytosis. N Engl J Med. 1980;303(24):1400-4.</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Juhlin L, Hammarström S. Effects of intradermally injected leukotriene C4 and histamine in patients with urticaria, psoriasis and atopic dermatitis. Br J Dermatol. 1982;107 Suppl 23:106-10.</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Thivierge M, Rola-Pleszczynski M. Platelet-activating factor enhances interleukin-6 production by alveolar macrophages. J Allergy Clin Immunol. 1992;90(5):796-802.</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Okada S, Kita H, George TJ, Gleich GJ, Leiferman KM. Transmigration of eosinophils through basement membrane components in vitro: synergistic effects of platelet-activating factor and eosinophil-active cytokines. American journal of respiratory cell and molecular biology. 1997;16(4):455-63.</w:t>
      </w:r>
    </w:p>
    <w:p>
      <w:pPr>
        <w:spacing w:after="0" w:line="14"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Czarnetzki B. Increased monocyte chemotaxis towards leukotriene B4 and platelet activating factor in patients with inflammatory dermatoses. Clin Exp Immunol. 1983;54(2):486-92.</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Zimmerman GA, McIntyre TM, Prescott SM. Adhesion and signaling in vascular cell--cell interactions. The Journal of clinical investigation. 1996;98(8):1699-702.</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Smith LJ. The Role of Platelet-activating Factor in Asthma1. 2. Lancet. 1986;2:189-92.</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Valent P, Akin C, Metcalfe DD. Mastocytosis: 2016 updated WHO classification and novel emerging treatment concepts. Blood, The Journal of the American Society of Hematology. 2017;129(11):1420-7.</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5" w:lineRule="auto"/>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Arber DA, Orazi A, Hasserjian R, et al. The 2016 revision to the World Health Organization classification of myeloid neoplasms and acute leukemia. Blood. 2016;127(20):2391-2405. Blood. 2016;128(3):462-3.</w:t>
      </w:r>
    </w:p>
    <w:p>
      <w:pPr>
        <w:spacing w:after="0" w:line="15" w:lineRule="exact"/>
        <w:rPr>
          <w:rFonts w:ascii="Times New Roman" w:cs="Times New Roman" w:eastAsia="Times New Roman" w:hAnsi="Times New Roman"/>
          <w:sz w:val="24"/>
          <w:szCs w:val="24"/>
          <w:color w:val="auto"/>
        </w:rPr>
      </w:pPr>
    </w:p>
    <w:p>
      <w:pPr>
        <w:jc w:val="both"/>
        <w:ind w:left="820" w:firstLine="8"/>
        <w:spacing w:after="0" w:line="236" w:lineRule="auto"/>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Cohen SS, Skovbo S, Vestergaard H, Kristensen T, Møller M, Bindslev-Jensen C, et al. Epidemiology of systemic mastocytosis in Denmark. Br J Haematol. 2014;166(4):521-8.</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Miettinen M, Lasota J. KIT (CD117): a review on expression in normal and neoplastic tissues, and mutations and their clinicopathologic correlation. Appl Immunohistochem Mol Morphol. 2005;13(3):205-20.</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7" w:lineRule="auto"/>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Valent P, Spanblöchl E, Sperr WR, Sillaber C, Zsebo KM, Agis H, et al. Induction of differentiation of human mast cells from bone marrow and peripheral blood mononuclear cells by recombinant human stem cell factor/kit-ligand in long-term culture. Blood. 1992;80(9):2237-45.</w:t>
      </w:r>
    </w:p>
    <w:p>
      <w:pPr>
        <w:spacing w:after="0" w:line="13" w:lineRule="exact"/>
        <w:rPr>
          <w:rFonts w:ascii="Times New Roman" w:cs="Times New Roman" w:eastAsia="Times New Roman" w:hAnsi="Times New Roman"/>
          <w:sz w:val="24"/>
          <w:szCs w:val="24"/>
          <w:color w:val="auto"/>
        </w:rPr>
      </w:pPr>
    </w:p>
    <w:p>
      <w:pPr>
        <w:jc w:val="both"/>
        <w:ind w:left="820" w:firstLine="8"/>
        <w:spacing w:after="0"/>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Garcia-Montero AC, Jara-Acevedo M, Teodosio C, Sanchez ML, Nunez R, Prados A, et al. KIT mutation in mast cells and other bone marrow hematopoietic cell lineages in systemic mast cell disorders: a prospective study of the Spanish Network on Mastocytosis (REMA) in a series of 113 patients. Blood. 2006;108(7):2366-72.</w:t>
      </w:r>
    </w:p>
    <w:p>
      <w:pPr>
        <w:spacing w:after="0" w:line="276"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Lim K-H, Tefferi A, Lasho TL, Finke C, Patnaik M, Butterfield JH, et al. Systemic mastocytosis in 342 consecutive adults: survival studies and prognostic factors. Blood, The Journal of the American Society of Hematology. 2009;113(23):5727-36.</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4" w:lineRule="auto"/>
        <w:tabs>
          <w:tab w:leader="none" w:pos="1528"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Harir N, Boudot C, Friedbichler K, Sonneck K, Kondo R, Martin-Lannerée S, et al. Oncogenic Kit controls neoplastic mast cell growth through a Stat5/PI3-kinase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-5730875</wp:posOffset>
            </wp:positionV>
            <wp:extent cx="4699000" cy="185420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02" w:right="1406" w:bottom="1440" w:gutter="0" w:footer="0" w:header="0"/>
        </w:sectPr>
      </w:pPr>
    </w:p>
    <w:bookmarkStart w:id="65" w:name="page66"/>
    <w:bookmarkEnd w:id="65"/>
    <w:p>
      <w:pPr>
        <w:jc w:val="right"/>
        <w:spacing w:after="0"/>
        <w:rPr>
          <w:sz w:val="20"/>
          <w:szCs w:val="20"/>
          <w:color w:val="auto"/>
        </w:rPr>
      </w:pPr>
      <w:r>
        <w:rPr>
          <w:rFonts w:ascii="Calibri" w:cs="Calibri" w:eastAsia="Calibri" w:hAnsi="Calibri"/>
          <w:sz w:val="22"/>
          <w:szCs w:val="22"/>
          <w:color w:val="auto"/>
        </w:rPr>
        <w:t>55</w:t>
      </w: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signaling cascade. Blood, The Journal of  the  American Society of Hematology.</w:t>
      </w:r>
    </w:p>
    <w:p>
      <w:pPr>
        <w:ind w:left="820"/>
        <w:spacing w:after="0"/>
        <w:rPr>
          <w:sz w:val="20"/>
          <w:szCs w:val="20"/>
          <w:color w:val="auto"/>
        </w:rPr>
      </w:pPr>
      <w:r>
        <w:rPr>
          <w:rFonts w:ascii="Times New Roman" w:cs="Times New Roman" w:eastAsia="Times New Roman" w:hAnsi="Times New Roman"/>
          <w:sz w:val="24"/>
          <w:szCs w:val="24"/>
          <w:color w:val="auto"/>
        </w:rPr>
        <w:t>2008;112(6):2463-73.</w:t>
      </w:r>
    </w:p>
    <w:p>
      <w:pPr>
        <w:spacing w:after="0" w:line="12" w:lineRule="exact"/>
        <w:rPr>
          <w:sz w:val="20"/>
          <w:szCs w:val="20"/>
          <w:color w:val="auto"/>
        </w:rPr>
      </w:pPr>
    </w:p>
    <w:p>
      <w:pPr>
        <w:jc w:val="both"/>
        <w:ind w:left="820" w:firstLine="8"/>
        <w:spacing w:after="0" w:line="237" w:lineRule="auto"/>
        <w:tabs>
          <w:tab w:leader="none" w:pos="1528" w:val="left"/>
        </w:tabs>
        <w:numPr>
          <w:ilvl w:val="0"/>
          <w:numId w:val="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Nagata H, Worobec AS, Oh CK, Chowdhury BA, Tannenbaum S, Suzuki Y, et al. Identification of a point mutation in the catalytic domain of the protooncogene c-kit in peripheral blood mononuclear cells of patients who have mastocytosis with an associated hematologic disorder. Proceedings of the National Academy of Sciences. 1995;92(23):10560-4.</w:t>
      </w:r>
    </w:p>
    <w:p>
      <w:pPr>
        <w:spacing w:after="0" w:line="17" w:lineRule="exact"/>
        <w:rPr>
          <w:rFonts w:ascii="Times New Roman" w:cs="Times New Roman" w:eastAsia="Times New Roman" w:hAnsi="Times New Roman"/>
          <w:sz w:val="24"/>
          <w:szCs w:val="24"/>
          <w:color w:val="auto"/>
        </w:rPr>
      </w:pPr>
    </w:p>
    <w:p>
      <w:pPr>
        <w:jc w:val="both"/>
        <w:ind w:left="820" w:right="20" w:firstLine="8"/>
        <w:spacing w:after="0" w:line="273" w:lineRule="exact"/>
        <w:tabs>
          <w:tab w:leader="none" w:pos="1528" w:val="left"/>
        </w:tabs>
        <w:numPr>
          <w:ilvl w:val="0"/>
          <w:numId w:val="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Worobec AS, Semere T, Nagata H, Metcalfe DD. Clinical correlates of the </w:t>
      </w:r>
      <w:r>
        <w:rPr>
          <w:rFonts w:ascii="MS PGothic" w:cs="MS PGothic" w:eastAsia="MS PGothic" w:hAnsi="MS PGothic"/>
          <w:sz w:val="24"/>
          <w:szCs w:val="24"/>
          <w:color w:val="auto"/>
        </w:rPr>
        <w:t xml:space="preserve">presence of the Asp816Val c‐kit mutation in the peripheral blood mononuclear cells </w:t>
      </w:r>
      <w:r>
        <w:rPr>
          <w:rFonts w:ascii="Times New Roman" w:cs="Times New Roman" w:eastAsia="Times New Roman" w:hAnsi="Times New Roman"/>
          <w:sz w:val="24"/>
          <w:szCs w:val="24"/>
          <w:color w:val="auto"/>
        </w:rPr>
        <w:t>of patients with mastocytosis. Cancer: Interdisciplinary International Journal of the American Cancer Society. 1998;83(10):2120-9.</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Beghini A, Cairoli R, Morra E, Larizza L. In VivoDifferentiation of Mast Cells from Acute Myeloid Leukemia Blasts Carrying a Novel Activating Ligand-Independent C-kit Mutation. Blood Cells, Molecules, and Diseases. 1998;24(2):262-</w:t>
      </w:r>
    </w:p>
    <w:p>
      <w:pPr>
        <w:spacing w:after="0" w:line="14" w:lineRule="exact"/>
        <w:rPr>
          <w:rFonts w:ascii="Times New Roman" w:cs="Times New Roman" w:eastAsia="Times New Roman" w:hAnsi="Times New Roman"/>
          <w:sz w:val="24"/>
          <w:szCs w:val="24"/>
          <w:color w:val="auto"/>
        </w:rPr>
      </w:pPr>
    </w:p>
    <w:p>
      <w:pPr>
        <w:spacing w:after="0"/>
        <w:tabs>
          <w:tab w:leader="none" w:pos="0" w:val="left"/>
        </w:tabs>
        <w:numPr>
          <w:ilvl w:val="0"/>
          <w:numId w:val="30"/>
        </w:numPr>
        <w:rPr>
          <w:rFonts w:ascii="Times New Roman" w:cs="Times New Roman" w:eastAsia="Times New Roman" w:hAnsi="Times New Roman"/>
          <w:sz w:val="24"/>
          <w:szCs w:val="24"/>
          <w:color w:val="auto"/>
        </w:rPr>
      </w:pPr>
    </w:p>
    <w:p>
      <w:pPr>
        <w:jc w:val="both"/>
        <w:ind w:left="820" w:firstLine="8"/>
        <w:spacing w:after="0" w:line="237" w:lineRule="auto"/>
        <w:tabs>
          <w:tab w:leader="none" w:pos="1528" w:val="left"/>
        </w:tabs>
        <w:numPr>
          <w:ilvl w:val="0"/>
          <w:numId w:val="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Büttner C, Henz BM, Welker P, Sepp NT, Grabbe J. Identification of activating c-kit mutations in adult-, but not in childhood-onset indolent mastocytosis: a possible explanation for divergent clinical behavior. J Invest Dermatol. 1998;111(6):1227-31.</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Pullarkat VA, Pullarkat ST, Calverley DC, Brynes RK. Mast cell disease associated with acute myeloid leukemia: detection of a new c-kit mutation Asp816His. Am J Hematol. 2000;65(4):307-9.</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Sotlar K, Escribano L, Landt O, Möhrle S, Herrero S, Torrelo A, et al. One-step detection of c-kit point mutations using peptide nucleic acid-mediated polymerase chain reaction clamping and hybridization probes. Am J Pathol. 2003;162(3):737-46.</w:t>
      </w:r>
    </w:p>
    <w:p>
      <w:pPr>
        <w:spacing w:after="0" w:line="16"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Akin C, Fumo G, Yavuz AS, Lipsky PE, Neckers L, Metcalfe DD. A novel form of mastocytosis associated with a transmembrane c-kit mutation and response to imatinib. Blood. 2004;103(8):3222-5.</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Tang X, Boxer M, Drummond A, Ogston P, Hodgins M, Burden A. A germline mutation in KIT in familial diffuse cutaneous mastocytosis. Journal of medical genetics. 2004;41(6):e88-e.</w:t>
      </w:r>
    </w:p>
    <w:p>
      <w:pPr>
        <w:spacing w:after="0" w:line="1" w:lineRule="exact"/>
        <w:rPr>
          <w:rFonts w:ascii="Times New Roman" w:cs="Times New Roman" w:eastAsia="Times New Roman" w:hAnsi="Times New Roman"/>
          <w:sz w:val="24"/>
          <w:szCs w:val="24"/>
          <w:color w:val="auto"/>
        </w:rPr>
      </w:pPr>
    </w:p>
    <w:p>
      <w:pPr>
        <w:ind w:left="1540" w:hanging="712"/>
        <w:spacing w:after="0"/>
        <w:tabs>
          <w:tab w:leader="none" w:pos="1540" w:val="left"/>
        </w:tabs>
        <w:numPr>
          <w:ilvl w:val="0"/>
          <w:numId w:val="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Pardanani A, Lasho T, Elala Y, Wassie E, Finke C, Reichard KK, et al.</w:t>
      </w:r>
    </w:p>
    <w:p>
      <w:pPr>
        <w:spacing w:after="0" w:line="12" w:lineRule="exact"/>
        <w:rPr>
          <w:rFonts w:ascii="Times New Roman" w:cs="Times New Roman" w:eastAsia="Times New Roman" w:hAnsi="Times New Roman"/>
          <w:sz w:val="24"/>
          <w:szCs w:val="24"/>
          <w:color w:val="auto"/>
        </w:rPr>
      </w:pPr>
    </w:p>
    <w:p>
      <w:pPr>
        <w:jc w:val="both"/>
        <w:ind w:left="820" w:right="20"/>
        <w:spacing w:after="0" w:line="272" w:lineRule="exact"/>
        <w:rPr>
          <w:rFonts w:ascii="Times New Roman" w:cs="Times New Roman" w:eastAsia="Times New Roman" w:hAnsi="Times New Roman"/>
          <w:sz w:val="24"/>
          <w:szCs w:val="24"/>
          <w:color w:val="auto"/>
        </w:rPr>
      </w:pPr>
      <w:r>
        <w:rPr>
          <w:rFonts w:ascii="MS PGothic" w:cs="MS PGothic" w:eastAsia="MS PGothic" w:hAnsi="MS PGothic"/>
          <w:sz w:val="24"/>
          <w:szCs w:val="24"/>
          <w:color w:val="auto"/>
        </w:rPr>
        <w:t xml:space="preserve">Next‐generation sequencing in systemic mastocytosis: derivation of a </w:t>
      </w:r>
      <w:r>
        <w:rPr>
          <w:rFonts w:ascii="Times New Roman" w:cs="Times New Roman" w:eastAsia="Times New Roman" w:hAnsi="Times New Roman"/>
          <w:sz w:val="24"/>
          <w:szCs w:val="24"/>
          <w:color w:val="auto"/>
        </w:rPr>
        <w:t>mutati</w:t>
      </w:r>
      <w:r>
        <w:rPr>
          <w:rFonts w:ascii="MS PGothic" w:cs="MS PGothic" w:eastAsia="MS PGothic" w:hAnsi="MS PGothic"/>
          <w:sz w:val="24"/>
          <w:szCs w:val="24"/>
          <w:color w:val="auto"/>
        </w:rPr>
        <w:t>on‐augmented clinical prognostic model for survival. American journal of</w:t>
      </w:r>
      <w:r>
        <w:rPr>
          <w:rFonts w:ascii="Times New Roman" w:cs="Times New Roman" w:eastAsia="Times New Roman" w:hAnsi="Times New Roman"/>
          <w:sz w:val="24"/>
          <w:szCs w:val="24"/>
          <w:color w:val="auto"/>
        </w:rPr>
        <w:t xml:space="preserve"> hematology. 2016;91(9):888-93.</w:t>
      </w:r>
    </w:p>
    <w:p>
      <w:pPr>
        <w:spacing w:after="0" w:line="12"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Jawhar M, Schwaab J, Schnittger S, Meggendorfer M, Pfirrmann M, Sotlar K, et al. Additional mutations in SRSF2, ASXL1 and/or RUNX1 identify a high-risk group of patients with KIT D816V+ advanced systemic mastocytosis. Leukemia. 2016;30(1):136-43.</w:t>
      </w:r>
    </w:p>
    <w:p>
      <w:pPr>
        <w:spacing w:after="0" w:line="14"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Jawhar M, Schwaab J, Hausmann D, Clemens J, Naumann N, Henzler T, et al. Splenomegaly, elevated alkaline phosphatase and mutations in the SRSF2/ASXL1/RUNX1 gene panel are strong adverse prognostic markers in patients with systemic mastocytosis. Leukemia. 2016;30(12):2342-50.</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Horny H, Sotlar K, Sperr W, Valent P. Systemic mastocytosis with associated clonal haematological non-mast cell lineage diseases: a histopathological challenge. Journal of clinical pathology. 2004;57(6):604-8.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-5555615</wp:posOffset>
            </wp:positionV>
            <wp:extent cx="4699000" cy="185420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02" w:right="1406" w:bottom="1440" w:gutter="0" w:footer="0" w:header="0"/>
        </w:sectPr>
      </w:pPr>
    </w:p>
    <w:bookmarkStart w:id="66" w:name="page67"/>
    <w:bookmarkEnd w:id="66"/>
    <w:p>
      <w:pPr>
        <w:ind w:left="8820"/>
        <w:spacing w:after="0"/>
        <w:rPr>
          <w:sz w:val="20"/>
          <w:szCs w:val="20"/>
          <w:color w:val="auto"/>
        </w:rPr>
      </w:pPr>
      <w:r>
        <w:rPr>
          <w:rFonts w:ascii="Calibri" w:cs="Calibri" w:eastAsia="Calibri" w:hAnsi="Calibri"/>
          <w:sz w:val="22"/>
          <w:szCs w:val="22"/>
          <w:color w:val="auto"/>
        </w:rPr>
        <w:t>56</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20" w:firstLine="8"/>
        <w:spacing w:after="0" w:line="236" w:lineRule="auto"/>
        <w:tabs>
          <w:tab w:leader="none" w:pos="1528"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Travis WD, Li CY, Yam LT, Bergstralh EJ, Swee RG. Significance of systemic mast cell disease with associated hematologic disorders. Cancer. 1988;62(5):965-72.</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Parker RI. Hematologic aspects of systemic mastocytosis. Hematology/oncology clinics of North America. 2000;14(3):557-68.</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6" w:lineRule="auto"/>
        <w:tabs>
          <w:tab w:leader="none" w:pos="1528"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Horny H-P, Sillaber C, Menke D, Kaiserling E, Wehrmann M, Stehberger B, et al. Diagnostic value of immunostaining for tryptase in patients with mastocytosis. The American journal of surgical pathology. 1998;22(9):1132-40.</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Horny H-P, Valent P. Histopathological and immunohistochemical aspects of mastocytosis. International archives of allergy and immunology. 2002;127(2):115-7.</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Sotlar K, Horny H-P, Simonitsch I, Krokowski M, Aichberger KJ, Mayerhofer M, et al. CD25 indicates the neoplastic phenotype of mast cells: a novel immunohistochemical marker for the diagnosis of systemic mastocytosis (SM) in routinely processed bone marrow biopsy specimens. The American journal of surgical pathology. 2004;28(10):1319-25.</w:t>
      </w:r>
    </w:p>
    <w:p>
      <w:pPr>
        <w:spacing w:after="0" w:line="17" w:lineRule="exact"/>
        <w:rPr>
          <w:rFonts w:ascii="Times New Roman" w:cs="Times New Roman" w:eastAsia="Times New Roman" w:hAnsi="Times New Roman"/>
          <w:sz w:val="24"/>
          <w:szCs w:val="24"/>
          <w:color w:val="auto"/>
        </w:rPr>
      </w:pPr>
    </w:p>
    <w:p>
      <w:pPr>
        <w:jc w:val="both"/>
        <w:ind w:left="820" w:firstLine="8"/>
        <w:spacing w:after="0" w:line="273" w:lineRule="exact"/>
        <w:tabs>
          <w:tab w:leader="none" w:pos="1528"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Valent P, Sperr WR, Schwartz LB, Horny H-P. Diagnosis and classification of mast cell proliferative disorders: delineation from immunologic diseases and non</w:t>
      </w:r>
      <w:r>
        <w:rPr>
          <w:rFonts w:ascii="MS PGothic" w:cs="MS PGothic" w:eastAsia="MS PGothic" w:hAnsi="MS PGothic"/>
          <w:sz w:val="24"/>
          <w:szCs w:val="24"/>
          <w:color w:val="auto"/>
        </w:rPr>
        <w:t>–</w:t>
      </w:r>
      <w:r>
        <w:rPr>
          <w:rFonts w:ascii="Times New Roman" w:cs="Times New Roman" w:eastAsia="Times New Roman" w:hAnsi="Times New Roman"/>
          <w:sz w:val="24"/>
          <w:szCs w:val="24"/>
          <w:color w:val="auto"/>
        </w:rPr>
        <w:t xml:space="preserve"> mast cell hematopoietic neoplasms. Journal of allergy and clinical immunology. 2004;114(1):3-11.</w:t>
      </w:r>
    </w:p>
    <w:p>
      <w:pPr>
        <w:spacing w:after="0" w:line="1" w:lineRule="exact"/>
        <w:rPr>
          <w:rFonts w:ascii="Times New Roman" w:cs="Times New Roman" w:eastAsia="Times New Roman" w:hAnsi="Times New Roman"/>
          <w:sz w:val="24"/>
          <w:szCs w:val="24"/>
          <w:color w:val="auto"/>
        </w:rPr>
      </w:pPr>
    </w:p>
    <w:p>
      <w:pPr>
        <w:jc w:val="both"/>
        <w:ind w:left="820" w:right="20" w:firstLine="8"/>
        <w:spacing w:after="0" w:line="276" w:lineRule="exact"/>
        <w:tabs>
          <w:tab w:leader="none" w:pos="1528"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Escribano L, Orfao A, D</w:t>
      </w:r>
      <w:r>
        <w:rPr>
          <w:rFonts w:ascii="MS PGothic" w:cs="MS PGothic" w:eastAsia="MS PGothic" w:hAnsi="MS PGothic"/>
          <w:sz w:val="24"/>
          <w:szCs w:val="24"/>
          <w:color w:val="auto"/>
        </w:rPr>
        <w:t>ı</w:t>
      </w:r>
      <w:r>
        <w:rPr>
          <w:rFonts w:ascii="Times New Roman" w:cs="Times New Roman" w:eastAsia="Times New Roman" w:hAnsi="Times New Roman"/>
          <w:sz w:val="24"/>
          <w:szCs w:val="24"/>
          <w:color w:val="auto"/>
        </w:rPr>
        <w:t>az</w:t>
      </w:r>
      <w:r>
        <w:rPr>
          <w:rFonts w:ascii="MS PGothic" w:cs="MS PGothic" w:eastAsia="MS PGothic" w:hAnsi="MS PGothic"/>
          <w:sz w:val="48"/>
          <w:szCs w:val="48"/>
          <w:color w:val="auto"/>
          <w:vertAlign w:val="subscript"/>
        </w:rPr>
        <w:t>́</w:t>
      </w:r>
      <w:r>
        <w:rPr>
          <w:rFonts w:ascii="Times New Roman" w:cs="Times New Roman" w:eastAsia="Times New Roman" w:hAnsi="Times New Roman"/>
          <w:sz w:val="24"/>
          <w:szCs w:val="24"/>
          <w:color w:val="auto"/>
        </w:rPr>
        <w:t>-Agustin B, Villarrubia J, Cerveró C, López A, et al. Indolent systemic mast cell disease in adults: immunophenotypic characterization of bone marrow mast cells and its diagnostic implications. Blood, The Journal of the American Society of Hematology. 1998;91(8):2731-6.</w:t>
      </w:r>
    </w:p>
    <w:p>
      <w:pPr>
        <w:spacing w:after="0" w:line="12"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Valent P, Akin C, Arock M, Brockow K, Butterfield JH, Carter MC, et al. Definitions, criteria and global classification of mast cell disorders with special reference to mast cell activation syndromes: a consensus proposal. International archives of allergy and immunology. 2012;157(3):215-25.</w:t>
      </w:r>
    </w:p>
    <w:p>
      <w:pPr>
        <w:spacing w:after="0" w:line="4" w:lineRule="exact"/>
        <w:rPr>
          <w:rFonts w:ascii="Times New Roman" w:cs="Times New Roman" w:eastAsia="Times New Roman" w:hAnsi="Times New Roman"/>
          <w:sz w:val="24"/>
          <w:szCs w:val="24"/>
          <w:color w:val="auto"/>
        </w:rPr>
      </w:pPr>
    </w:p>
    <w:p>
      <w:pPr>
        <w:ind w:left="1540" w:hanging="712"/>
        <w:spacing w:after="0" w:line="276" w:lineRule="exact"/>
        <w:tabs>
          <w:tab w:leader="none" w:pos="1540" w:val="left"/>
        </w:tabs>
        <w:numPr>
          <w:ilvl w:val="0"/>
          <w:numId w:val="32"/>
        </w:numPr>
        <w:rPr>
          <w:rFonts w:ascii="Times New Roman" w:cs="Times New Roman" w:eastAsia="Times New Roman" w:hAnsi="Times New Roman"/>
          <w:sz w:val="24"/>
          <w:szCs w:val="24"/>
          <w:color w:val="auto"/>
        </w:rPr>
      </w:pPr>
      <w:r>
        <w:rPr>
          <w:rFonts w:ascii="MS PGothic" w:cs="MS PGothic" w:eastAsia="MS PGothic" w:hAnsi="MS PGothic"/>
          <w:sz w:val="24"/>
          <w:szCs w:val="24"/>
          <w:color w:val="auto"/>
        </w:rPr>
        <w:t>Sperr W, El‐Samahi A, Kundi M, Girschikofsky M, Winkler S, Lutz D, et al.</w:t>
      </w:r>
    </w:p>
    <w:p>
      <w:pPr>
        <w:spacing w:after="0" w:line="12" w:lineRule="exact"/>
        <w:rPr>
          <w:rFonts w:ascii="Times New Roman" w:cs="Times New Roman" w:eastAsia="Times New Roman" w:hAnsi="Times New Roman"/>
          <w:sz w:val="24"/>
          <w:szCs w:val="24"/>
          <w:color w:val="auto"/>
        </w:rPr>
      </w:pPr>
    </w:p>
    <w:p>
      <w:pPr>
        <w:jc w:val="both"/>
        <w:ind w:left="820" w:right="20"/>
        <w:spacing w:after="0" w:line="23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Elevated tryptase levels selectively cluster in myeloid neoplasms: a novel diagnostic approach and screen marker in clinical haematology. European journal of clinical investigation. 2009;39(10):914-23.</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Kristensen T, Vestergaard H, Møller MB. Improved detection of the KIT D816V mutation in patients with systemic mastocytosis using a quantitative and highly sensitive real-time qPCR assay. The Journal of molecular diagnostics. 2011;13(2):180-8.</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73" w:lineRule="exact"/>
        <w:tabs>
          <w:tab w:leader="none" w:pos="1528" w:val="left"/>
        </w:tabs>
        <w:numPr>
          <w:ilvl w:val="0"/>
          <w:numId w:val="32"/>
        </w:numPr>
        <w:rPr>
          <w:rFonts w:ascii="Times New Roman" w:cs="Times New Roman" w:eastAsia="Times New Roman" w:hAnsi="Times New Roman"/>
          <w:sz w:val="24"/>
          <w:szCs w:val="24"/>
          <w:color w:val="auto"/>
        </w:rPr>
      </w:pPr>
      <w:r>
        <w:rPr>
          <w:rFonts w:ascii="MS PGothic" w:cs="MS PGothic" w:eastAsia="MS PGothic" w:hAnsi="MS PGothic"/>
          <w:sz w:val="24"/>
          <w:szCs w:val="24"/>
          <w:color w:val="auto"/>
        </w:rPr>
        <w:t>Kristensen T, Broesby‐Olsen S, Vestergaard H, Bindslev‐Jensen</w:t>
      </w:r>
      <w:r>
        <w:rPr>
          <w:rFonts w:ascii="Times New Roman" w:cs="Times New Roman" w:eastAsia="Times New Roman" w:hAnsi="Times New Roman"/>
          <w:sz w:val="24"/>
          <w:szCs w:val="24"/>
          <w:color w:val="auto"/>
        </w:rPr>
        <w:t xml:space="preserve"> C, Møller </w:t>
      </w:r>
      <w:r>
        <w:rPr>
          <w:rFonts w:ascii="MS PGothic" w:cs="MS PGothic" w:eastAsia="MS PGothic" w:hAnsi="MS PGothic"/>
          <w:sz w:val="24"/>
          <w:szCs w:val="24"/>
          <w:color w:val="auto"/>
        </w:rPr>
        <w:t xml:space="preserve">MB, Hospital MCOU. Circulating KIT D 816 V mutation‐positive non‐mast cells in </w:t>
      </w:r>
      <w:r>
        <w:rPr>
          <w:rFonts w:ascii="Times New Roman" w:cs="Times New Roman" w:eastAsia="Times New Roman" w:hAnsi="Times New Roman"/>
          <w:sz w:val="24"/>
          <w:szCs w:val="24"/>
          <w:color w:val="auto"/>
        </w:rPr>
        <w:t>peripheral blood are characteristic of indolent systemic mastocytosis. European journal of haematology. 2012;89(1):42-6.</w:t>
      </w:r>
    </w:p>
    <w:p>
      <w:pPr>
        <w:spacing w:after="0" w:line="14"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Akin C. Molecular diagnosis of mast cell disorders: a paper from the 2005 William Beaumont Hospital Symposium on Molecular Pathology. The Journal of molecular diagnostics. 2006;8(4):412-9.</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Garcia-Montero AC, Jara-Acevedo M, Teodosio C, Sanchez ML, Nunez R, Prados A, et al. KIT mutation in mast cells and other bone marrow hematopoietic cell lineages in systemic mast cell disorders: a prospective study of the Spanish Network on Mastocytosis (REMA) in a series of 113 patients. Blood. 2006;108(7):2366-72.</w:t>
      </w:r>
    </w:p>
    <w:p>
      <w:pPr>
        <w:spacing w:after="0" w:line="17"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Pardanani A. Systemic mastocytosis in adults: 2019 update on diagnosis, risk stratification and management. Am J Hematol. 2019;94(3):363-77.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-5906135</wp:posOffset>
            </wp:positionV>
            <wp:extent cx="4699000" cy="185420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02" w:right="1406" w:bottom="1053" w:gutter="0" w:footer="0" w:header="0"/>
        </w:sectPr>
      </w:pPr>
    </w:p>
    <w:bookmarkStart w:id="67" w:name="page68"/>
    <w:bookmarkEnd w:id="67"/>
    <w:p>
      <w:pPr>
        <w:ind w:left="8820"/>
        <w:spacing w:after="0"/>
        <w:rPr>
          <w:sz w:val="20"/>
          <w:szCs w:val="20"/>
          <w:color w:val="auto"/>
        </w:rPr>
      </w:pPr>
      <w:r>
        <w:rPr>
          <w:rFonts w:ascii="Calibri" w:cs="Calibri" w:eastAsia="Calibri" w:hAnsi="Calibri"/>
          <w:sz w:val="22"/>
          <w:szCs w:val="22"/>
          <w:color w:val="auto"/>
        </w:rPr>
        <w:t>57</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20" w:firstLine="8"/>
        <w:spacing w:after="0" w:line="236" w:lineRule="auto"/>
        <w:tabs>
          <w:tab w:leader="none" w:pos="1528"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Arber DA, Orazi A, Hasserjian R, Thiele J, Borowitz MJ, Le Beau MM, et al. The 2016 revision to the World Health Organization classification of myeloid neoplasms and acute leukemia. Blood. 2016;127(20):2391-405.</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Metcalfe DD. Classification and diagnosis of mastocytosis: current status. Journal of Investigative Dermatology. 1991;96(3):S2-S4.</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Zanotti R, Bonadonna P, Bonifacio M, Artuso A, Schena D, Rossini M, et al. Isolated bone marrow mastocytosis: an underestimated subvariant of indolent systemic mastocytosis. Haematologica. 2011;96(3):482-4.</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Tefferi A, Shah S, Reichard KK, Hanson CA, Pardanani A. Smoldering mastocytosis: Survival comparisons with indolent and aggressive mastocytosis. Am J Hematol. 2019;94(1):E1-e2.</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Escribano L, Alvarez-Twose I, Sánchez-Muñoz L, Garcia-Montero A, Núñez R, Almeida J, et al. Prognosis in adult indolent systemic mastocytosis: a long-term study of the Spanish Network on Mastocytosis in a series of 145 patients. J Allergy Clin Immunol. 2009;124(3):514-21.</w:t>
      </w:r>
    </w:p>
    <w:p>
      <w:pPr>
        <w:spacing w:after="0" w:line="14" w:lineRule="exact"/>
        <w:rPr>
          <w:rFonts w:ascii="Times New Roman" w:cs="Times New Roman" w:eastAsia="Times New Roman" w:hAnsi="Times New Roman"/>
          <w:sz w:val="24"/>
          <w:szCs w:val="24"/>
          <w:color w:val="auto"/>
        </w:rPr>
      </w:pPr>
    </w:p>
    <w:p>
      <w:pPr>
        <w:jc w:val="both"/>
        <w:ind w:left="820" w:right="20" w:firstLine="8"/>
        <w:spacing w:after="0" w:line="234" w:lineRule="auto"/>
        <w:tabs>
          <w:tab w:leader="none" w:pos="1528"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Pardanani A. Systemic mastocytosis in adults: 2015 update on diagnosis, risk stratification, and management. American journal of hematology. 2015;90(3):250-62.</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Georgin-Lavialle S, Lhermitte L, Dubreuil P, Chandesris MO, Hermine O, Damaj G. Mast cell leukemia. Blood. 2013;121(8):1285-95.</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Vano-Galvan S, án Álvarez-Twose I, De las Heras E, Morgado J, Matito A, Plana MN, et al. Dermoscopic features of skin lesions in patients with mastocytosis. Archives of dermatology. 2011;147(8):932-40.</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Matito A, Azaña JM, Torrelo A, Alvarez-Twose I. Cutaneous Mastocytosis in Adults and Children: New Classification and Prognostic Factors. Immunol Allergy Clin North Am. 2018;38(3):351-63.</w:t>
      </w:r>
    </w:p>
    <w:p>
      <w:pPr>
        <w:spacing w:after="0" w:line="11"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Soter NA. Mastocytosis and the skin. Hematology/oncology clinics of North America. 2000;14(3):537-55.</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Potier A, Lavigne C, Chappard D, Verret J, Chevailler A, Nicolie B, et al. Cutaneous manifestations in Hymenoptera and Diptera anaphylaxis: relationship with basal serum tryptase. Clinical &amp; Experimental Allergy. 2009;39(5):717-25.</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7" w:lineRule="auto"/>
        <w:tabs>
          <w:tab w:leader="none" w:pos="1528"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González de Olano D, de la Hoz Caballer B, Núñez López R, Sánchez Muñoz L, Cuevas Agustín M, Diéguez MC, et al. Prevalence of allergy and anaphylactic symptoms in 210 adult and pediatric patients with mastocytosis in Spain: a study of the Spanish network on mastocytosis (REMA). Clin Exp Allergy. 2007;37(10):1547-</w:t>
      </w:r>
    </w:p>
    <w:p>
      <w:pPr>
        <w:spacing w:after="0" w:line="13" w:lineRule="exact"/>
        <w:rPr>
          <w:rFonts w:ascii="Times New Roman" w:cs="Times New Roman" w:eastAsia="Times New Roman" w:hAnsi="Times New Roman"/>
          <w:sz w:val="24"/>
          <w:szCs w:val="24"/>
          <w:color w:val="auto"/>
        </w:rPr>
      </w:pPr>
    </w:p>
    <w:p>
      <w:pPr>
        <w:spacing w:after="0"/>
        <w:tabs>
          <w:tab w:leader="none" w:pos="0" w:val="left"/>
        </w:tabs>
        <w:numPr>
          <w:ilvl w:val="0"/>
          <w:numId w:val="34"/>
        </w:numPr>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Brumsen C, Papapoulos S, Lentjes E, Kluin P, Hamdy N. A potential role for the mast cell in the pathogenesis of idiopathic osteoporosis in men. Bone. 2002;31(5):556-61.</w:t>
      </w:r>
    </w:p>
    <w:p>
      <w:pPr>
        <w:spacing w:after="0" w:line="14" w:lineRule="exact"/>
        <w:rPr>
          <w:rFonts w:ascii="Times New Roman" w:cs="Times New Roman" w:eastAsia="Times New Roman" w:hAnsi="Times New Roman"/>
          <w:sz w:val="24"/>
          <w:szCs w:val="24"/>
          <w:color w:val="auto"/>
        </w:rPr>
      </w:pPr>
    </w:p>
    <w:p>
      <w:pPr>
        <w:jc w:val="both"/>
        <w:ind w:left="820" w:firstLine="8"/>
        <w:spacing w:after="0" w:line="237" w:lineRule="auto"/>
        <w:tabs>
          <w:tab w:leader="none" w:pos="1528" w:val="left"/>
        </w:tabs>
        <w:numPr>
          <w:ilvl w:val="0"/>
          <w:numId w:val="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Guillaume N, Desoutter J, Chandesris O, Merlusca L, Henry I, Georgin-Lavialle S, et al. Bone complications of mastocytosis: a link between clinical and biological characteristics. The American journal of medicine. 2013;126(1):75. e1-. e7.</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Bonadonna P, Lombardo C. Drug allergy in mastocytosis. Immunology and Allergy Clinics. 2014;34(2):397-405.</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Ludolph-Hauser D, Ruëff F, Fries C, Schöpf P, Przybilla B. Constitutively raised serum concentrations of mast-cell tryptase and severe anaphylactic reactions to Hymenoptera stings. The lancet. 2001;357(9253):361-2.</w:t>
      </w:r>
    </w:p>
    <w:p>
      <w:pPr>
        <w:spacing w:after="0" w:line="13" w:lineRule="exact"/>
        <w:rPr>
          <w:rFonts w:ascii="Times New Roman" w:cs="Times New Roman" w:eastAsia="Times New Roman" w:hAnsi="Times New Roman"/>
          <w:sz w:val="24"/>
          <w:szCs w:val="24"/>
          <w:color w:val="auto"/>
        </w:rPr>
      </w:pPr>
    </w:p>
    <w:p>
      <w:pPr>
        <w:ind w:left="820" w:firstLine="8"/>
        <w:spacing w:after="0" w:line="234" w:lineRule="auto"/>
        <w:tabs>
          <w:tab w:leader="none" w:pos="1528" w:val="left"/>
        </w:tabs>
        <w:numPr>
          <w:ilvl w:val="0"/>
          <w:numId w:val="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Koide T, Nakajima T, Makifuchi T, Fukuhara N. Systemic mastocytosis and recurrent anaphylactic shock. The Lancet. 2002;359(9323):2084.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-5906135</wp:posOffset>
            </wp:positionV>
            <wp:extent cx="4699000" cy="185420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02" w:right="1406" w:bottom="1053" w:gutter="0" w:footer="0" w:header="0"/>
        </w:sectPr>
      </w:pPr>
    </w:p>
    <w:bookmarkStart w:id="68" w:name="page69"/>
    <w:bookmarkEnd w:id="68"/>
    <w:p>
      <w:pPr>
        <w:jc w:val="right"/>
        <w:spacing w:after="0"/>
        <w:rPr>
          <w:sz w:val="20"/>
          <w:szCs w:val="20"/>
          <w:color w:val="auto"/>
        </w:rPr>
      </w:pPr>
      <w:r>
        <w:rPr>
          <w:rFonts w:ascii="Calibri" w:cs="Calibri" w:eastAsia="Calibri" w:hAnsi="Calibri"/>
          <w:sz w:val="22"/>
          <w:szCs w:val="22"/>
          <w:color w:val="auto"/>
        </w:rPr>
        <w:t>58</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20" w:firstLine="8"/>
        <w:spacing w:after="0" w:line="236"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Gotlib J, Akin C, editors. Mast cells and eosinophils in mastocytosis, chronic eosinophilic leukemia, and non-clonal disorders. Seminars in hematology; 2012: Elsevier.</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Koenig M, Morel J, Reynaud J, Varvat C, Cathébras P. An unusual cause of spontaneous bleeding in the intensive care unit - mastocytosis: a case report. Cases J. 2008;1(1):100.</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Kauhanen P, Kovanen PT, Reunala T, Lassila R. Effects of skin mast cells on bleeding time and coagulation activation at the site of platelet plug formation. Thrombosis and haemostasis. 1998;79(04):843-7.</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Travis W, Li C. Pathology of the lymph node and spleen in systemic mast cell disease. Modern pathology: an official journal of the United States and Canadian Academy of Pathology, Inc. 1988;1(1):4-14.</w:t>
      </w:r>
    </w:p>
    <w:p>
      <w:pPr>
        <w:spacing w:after="0" w:line="14"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Mican JM, Di Bisceglie AM, Fong TL, Travis WD, Kleiner DE, Baker B, et al. Hepatic involvement in mastocytosis: clinicopathologic correlations in 41 cases. Hepatology. 1995;22(4):1163-70.</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Mekori YA. Lymphoid tissues and the immune system in mastocytosis. Hematology/oncology clinics of North America. 2000;14(3):569-77.</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Sokol H, Georgin-Lavialle S, Canioni D, Barete S, Damaj G, Soucie E, et al. Gastrointestinal manifestations in mastocytosis: a study of 83 patients. Journal of allergy and clinical immunology. 2013;132(4):866-73. e3.</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Slapnicar C, Trinkaus M, Hicks L, Vadas P. Efficacy of Omalizumab in Indolent Systemic Mastocytosis. Case Rep Hematol. 2019;2019:3787586.</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Pardanani A. How I treat patients with indolent and smoldering mastocytosis (rare conditions but difficult to manage). Blood. 2013;121(16):3085-94.</w:t>
      </w:r>
    </w:p>
    <w:p>
      <w:pPr>
        <w:spacing w:after="0" w:line="13" w:lineRule="exact"/>
        <w:rPr>
          <w:rFonts w:ascii="Times New Roman" w:cs="Times New Roman" w:eastAsia="Times New Roman" w:hAnsi="Times New Roman"/>
          <w:sz w:val="24"/>
          <w:szCs w:val="24"/>
          <w:color w:val="auto"/>
        </w:rPr>
      </w:pPr>
    </w:p>
    <w:p>
      <w:pPr>
        <w:ind w:left="820" w:right="20" w:firstLine="8"/>
        <w:spacing w:after="0" w:line="233"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Castells M, Austen KF. Mastocytosis: mediator-related signs and symptoms. International archives of allergy and immunology. 2002;127(2):147-52.</w:t>
      </w:r>
    </w:p>
    <w:p>
      <w:pPr>
        <w:spacing w:after="0" w:line="14"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Jagdis A, Vadas P. Omalizumab effectively prevents recurrent refractory anaphylaxis in a patient with monoclonal mast cell activation syndrome. Ann Allergy Asthma Immunol. 2014;113(1):115-6.</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Gotlib J, Kluin-Nelemans HC, George TI, Akin C, Sotlar K, Hermine O, et al. Efficacy and Safety of Midostaurin in Advanced Systemic Mastocytosis. N Engl J Med. 2016;374(26):2530-41.</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DeAngelo D, George T, Linder A, Langford C, Perkins C, Ma J, et al. Efficacy and safety of midostaurin in patients with advanced systemic mastocytosis: 10-year median follow-up of a phase II trial. Leukemia. 2018;32(2):470-8.</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Fabbro D, Ruetz S, Bodis S, Pruschy M, Csermak K, Man A, et al. PKC412-a protein kinase inhibitor with a broad therapeutic potential. Anti-cancer drug design. 2000;15(1):17-28.</w:t>
      </w:r>
    </w:p>
    <w:p>
      <w:pPr>
        <w:spacing w:after="0" w:line="14" w:lineRule="exact"/>
        <w:rPr>
          <w:rFonts w:ascii="Times New Roman" w:cs="Times New Roman" w:eastAsia="Times New Roman" w:hAnsi="Times New Roman"/>
          <w:sz w:val="24"/>
          <w:szCs w:val="24"/>
          <w:color w:val="auto"/>
        </w:rPr>
      </w:pPr>
    </w:p>
    <w:p>
      <w:pPr>
        <w:jc w:val="both"/>
        <w:ind w:left="820" w:right="20" w:firstLine="8"/>
        <w:spacing w:after="0" w:line="273" w:lineRule="exact"/>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Lim KH, Pardanani A, Butterfield JH, Li CY, Tefferi A. Cytoreductive therapy in 108 adults with systemic mastocytosis: Outcome analysis and response </w:t>
      </w:r>
      <w:r>
        <w:rPr>
          <w:rFonts w:ascii="MS PGothic" w:cs="MS PGothic" w:eastAsia="MS PGothic" w:hAnsi="MS PGothic"/>
          <w:sz w:val="24"/>
          <w:szCs w:val="24"/>
          <w:color w:val="auto"/>
        </w:rPr>
        <w:t>prediction during treatment with interferon‐alpha, hydroxyurea, imatinib mesylate or 2‐chlorodeoxyadenosine. American journal of hematology. 2009;84(12):790</w:t>
      </w:r>
      <w:r>
        <w:rPr>
          <w:rFonts w:ascii="Times New Roman" w:cs="Times New Roman" w:eastAsia="Times New Roman" w:hAnsi="Times New Roman"/>
          <w:sz w:val="24"/>
          <w:szCs w:val="24"/>
          <w:color w:val="auto"/>
        </w:rPr>
        <w:t>-4.</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Aichberger K, Sperr W, Gleixner K, Kretschmer A, Valent P. Treatment responses to cladribine and dasatinib in rapidly progressing aggressive mastocytosis. European journal of clinical investigation. 2008;38(11):869-73.</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Pardanani A. How I treat patients with indolent and smoldering mastocytosis (rare conditions but difficult to manage). Blood, The Journal of the American Society of Hematology. 2013;121(16):3085-94.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-5730875</wp:posOffset>
            </wp:positionV>
            <wp:extent cx="4699000" cy="185420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02" w:right="1406" w:bottom="1440" w:gutter="0" w:footer="0" w:header="0"/>
        </w:sectPr>
      </w:pPr>
    </w:p>
    <w:bookmarkStart w:id="69" w:name="page70"/>
    <w:bookmarkEnd w:id="69"/>
    <w:p>
      <w:pPr>
        <w:jc w:val="right"/>
        <w:spacing w:after="0"/>
        <w:rPr>
          <w:sz w:val="20"/>
          <w:szCs w:val="20"/>
          <w:color w:val="auto"/>
        </w:rPr>
      </w:pPr>
      <w:r>
        <w:rPr>
          <w:rFonts w:ascii="Calibri" w:cs="Calibri" w:eastAsia="Calibri" w:hAnsi="Calibri"/>
          <w:sz w:val="22"/>
          <w:szCs w:val="22"/>
          <w:color w:val="auto"/>
        </w:rPr>
        <w:t>59</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20" w:firstLine="8"/>
        <w:spacing w:after="0" w:line="236"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Vega-Ruiz A, Cortes JE, Sever M, Manshouri T, Quintás-Cardama A, Luthra R, et al. Phase II study of imatinib mesylate as therapy for patients with systemic mastocytosis. Leukemia research. 2009;33(11):1481-4.</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Verstovsek S, Tefferi A, Cortes J, O'Brien S, Garcia-Manero G, Pardanani A, et al. Phase II study of dasatinib in Philadelphia chromosome</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negative acute and chronic myeloid diseases, including systemic mastocytosis. Clinical Cancer Research. 2008;14(12):3906-15.</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Valent P, Sperr WR, Akin C. How I treat patients with advanced systemic mastocytosis. Blood, The Journal of the American Society of Hematology. 2010;116(26):5812-7.</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Zermati Y, De Sepulveda P, Feger F, Letard S, Kersual J, Casteran N, et al. Effect of tyrosine kinase inhibitor STI571 on the kinase activity of wild-type and various mutated c-kit receptors found in mast cell neoplasms. Oncogene. 2003;22(5):660-4.</w:t>
      </w:r>
    </w:p>
    <w:p>
      <w:pPr>
        <w:spacing w:after="0" w:line="14" w:lineRule="exact"/>
        <w:rPr>
          <w:rFonts w:ascii="Times New Roman" w:cs="Times New Roman" w:eastAsia="Times New Roman" w:hAnsi="Times New Roman"/>
          <w:sz w:val="24"/>
          <w:szCs w:val="24"/>
          <w:color w:val="auto"/>
        </w:rPr>
      </w:pPr>
    </w:p>
    <w:p>
      <w:pPr>
        <w:jc w:val="both"/>
        <w:ind w:left="820" w:firstLine="8"/>
        <w:spacing w:after="0" w:line="237"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Hauswirth AW, Simonitsch-Klupp I, Uffmann M, Koller E, Sperr WR, Lechner K, et al. Response to therapy with interferon alpha-2b and prednisolone in aggressive systemic mastocytosis: report of five cases and review of the literature. Leukemia research. 2004;28(3):249-57.</w:t>
      </w:r>
    </w:p>
    <w:p>
      <w:pPr>
        <w:spacing w:after="0" w:line="13" w:lineRule="exact"/>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Butterfield J. Response of severe systemic mastocytosis to interferon alpha. The British journal of dermatology. 1998;138(3):489-95.</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Butterfield JH, Tefferi A, Kozuh GF. Successful treatment of systemic mastocytosis with high-dose interferon-alfa: long-term follow-up of a case. Leuk Res. 2005;29(2):131-4.</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5"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Lehmann T, Beyeler C, Lämmle B, Hunziker T, Vock P, Olah AJ, et al. Severe osteoporosis due to systemic mast cell disease: successful treatment with interferon alpha-2B. Rheumatology. 1996;35(9):898-900.</w:t>
      </w:r>
    </w:p>
    <w:p>
      <w:pPr>
        <w:spacing w:after="0" w:line="15"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Simon J, Lortholary O, Caillat-Vigneron N, Raphael M, Martin A, Briere J, et al. Interest of interferon alpha in systemic mastocytosis. The French experience and review of the literature. Pathologie Biologie. 2004;52(5):294-9.</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6"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Pardini S, Bosincu L, Bonfigli S, Dore F, Longinotti M. Anaphylactic-like syndrome in systemic mastocytosis treated with alpha-2-interferon. Acta haematologica. 1991;85(4):220-.</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Ustun C, Gotlib J, Popat U, Artz A, Litzow M, Reiter A, et al. Consensus Opinion on Allogeneic Hematopoietic Cell Transplantation in Advanced Systemic Mastocytosis. Biol Blood Marrow Transplant. 2016;22(8):1348-56.</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Ustun C, Reiter A, Scott BL, Nakamura R, Damaj G, Kreil S, et al. Hematopoietic stem-cell transplantation for advanced systemic mastocytosis. J Clin Oncol. 2014;32(29):3264-74.</w:t>
      </w:r>
    </w:p>
    <w:p>
      <w:pPr>
        <w:spacing w:after="0" w:line="14"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Morton AJ, Gooley T, Hansen JA, Appelbaum FR, Bruemmer B, Bjerke JW, et al. Association between pretransplant interferon-</w:t>
      </w:r>
      <w:r>
        <w:rPr>
          <w:rFonts w:ascii="Times New Roman" w:cs="Times New Roman" w:eastAsia="Times New Roman" w:hAnsi="Times New Roman"/>
          <w:sz w:val="24"/>
          <w:szCs w:val="24"/>
          <w:color w:val="auto"/>
        </w:rPr>
        <w:t>α and outcome after unrelated</w:t>
      </w:r>
      <w:r>
        <w:rPr>
          <w:rFonts w:ascii="Times New Roman" w:cs="Times New Roman" w:eastAsia="Times New Roman" w:hAnsi="Times New Roman"/>
          <w:sz w:val="24"/>
          <w:szCs w:val="24"/>
          <w:color w:val="auto"/>
        </w:rPr>
        <w:t xml:space="preserve"> donor marrow transplantation for chronic myelogenous leukemia in chronic phase. Blood, The Journal of the American Society of Hematology. 1998;92(2):394-401.</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Pardanani A, Lim K-H, Lasho TL, Finke CM, McClure RF, Li C-y, et al. WHO subvariants of indolent mastocytosis: clinical details and prognostic evaluation in 159 consecutive adults. Blood, The Journal of the American Society of Hematology. 2010;115(1):150-1.</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4" w:lineRule="auto"/>
        <w:tabs>
          <w:tab w:leader="none" w:pos="1528"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Escribano L, Álvarez-Twose I, Sánchez-Muñoz L, Garcia-Montero A, Núñez R, Almeida J, et al. Prognosis in adult indolent systemic mastocytosis: a long-term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-5730875</wp:posOffset>
            </wp:positionV>
            <wp:extent cx="4699000" cy="185420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ectPr>
          <w:pgSz w:w="11900" w:h="16838" w:orient="portrait"/>
          <w:cols w:equalWidth="0" w:num="1">
            <w:col w:w="9060"/>
          </w:cols>
          <w:pgMar w:left="1440" w:top="702" w:right="1406" w:bottom="1440" w:gutter="0" w:footer="0" w:header="0"/>
        </w:sectPr>
      </w:pPr>
    </w:p>
    <w:bookmarkStart w:id="70" w:name="page71"/>
    <w:bookmarkEnd w:id="70"/>
    <w:p>
      <w:pPr>
        <w:jc w:val="right"/>
        <w:spacing w:after="0"/>
        <w:rPr>
          <w:sz w:val="20"/>
          <w:szCs w:val="20"/>
          <w:color w:val="auto"/>
        </w:rPr>
      </w:pPr>
      <w:r>
        <w:rPr>
          <w:rFonts w:ascii="Calibri" w:cs="Calibri" w:eastAsia="Calibri" w:hAnsi="Calibri"/>
          <w:sz w:val="22"/>
          <w:szCs w:val="22"/>
          <w:color w:val="auto"/>
        </w:rPr>
        <w:t>60</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both"/>
        <w:ind w:left="820" w:right="20"/>
        <w:spacing w:after="0" w:line="234" w:lineRule="auto"/>
        <w:rPr>
          <w:sz w:val="20"/>
          <w:szCs w:val="20"/>
          <w:color w:val="auto"/>
        </w:rPr>
      </w:pPr>
      <w:r>
        <w:rPr>
          <w:rFonts w:ascii="Times New Roman" w:cs="Times New Roman" w:eastAsia="Times New Roman" w:hAnsi="Times New Roman"/>
          <w:sz w:val="24"/>
          <w:szCs w:val="24"/>
          <w:color w:val="auto"/>
        </w:rPr>
        <w:t>study of the Spanish Network on Mastocytosis in a series of 145 patients. Journal of Allergy and Clinical Immunology. 2009;124(3):514-21.</w:t>
      </w:r>
    </w:p>
    <w:p>
      <w:pPr>
        <w:spacing w:after="0" w:line="14" w:lineRule="exact"/>
        <w:rPr>
          <w:sz w:val="20"/>
          <w:szCs w:val="20"/>
          <w:color w:val="auto"/>
        </w:rPr>
      </w:pPr>
    </w:p>
    <w:p>
      <w:pPr>
        <w:jc w:val="both"/>
        <w:ind w:left="820" w:firstLine="8"/>
        <w:spacing w:after="0" w:line="236" w:lineRule="auto"/>
        <w:tabs>
          <w:tab w:leader="none" w:pos="1528" w:val="left"/>
        </w:tabs>
        <w:numPr>
          <w:ilvl w:val="0"/>
          <w:numId w:val="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Pardanani A, Shah S, Mannelli F, Elala YC, Guglielmelli P, Lasho TL, et al. Mayo alliance prognostic system for mastocytosis: clinical and hybrid clinical-molecular models. Blood advances. 2018;2(21):2964-72.</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7" w:lineRule="auto"/>
        <w:tabs>
          <w:tab w:leader="none" w:pos="1528" w:val="left"/>
        </w:tabs>
        <w:numPr>
          <w:ilvl w:val="0"/>
          <w:numId w:val="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Valent P, Arock M, Bonadonna P, Brockow K, Broesby-Olsen S, Escribano L, et al. European Competence Network on Mastocytosis (ECNM): 10-year jubilee, update, and future perspectives. Wiener klinische Wochenschrift. 2012;124(23-24):807-14.</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Pieri L, Bonadonna P, Elena C, Papayannidis C, Grifoni FI, Rondoni M, et al. Clinical presentation and management practice of systemic mastocytosis. A survey on 460 Italian patients. American journal of hematology. 2016;91(7):692-9.</w:t>
      </w:r>
    </w:p>
    <w:p>
      <w:pPr>
        <w:spacing w:after="0" w:line="14"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Gülen T, Hägglund H, Dahlén B, Nilsson G. Mastocytosis: the puzzling clinical spectrum and challenging diagnostic aspects of an enigmatic disease. Journal of internal medicine. 2016;279(3):211-28.</w:t>
      </w:r>
    </w:p>
    <w:p>
      <w:pPr>
        <w:spacing w:after="0" w:line="13" w:lineRule="exact"/>
        <w:rPr>
          <w:rFonts w:ascii="Times New Roman" w:cs="Times New Roman" w:eastAsia="Times New Roman" w:hAnsi="Times New Roman"/>
          <w:sz w:val="24"/>
          <w:szCs w:val="24"/>
          <w:color w:val="auto"/>
        </w:rPr>
      </w:pPr>
    </w:p>
    <w:p>
      <w:pPr>
        <w:jc w:val="both"/>
        <w:ind w:left="820" w:firstLine="8"/>
        <w:spacing w:after="0" w:line="236" w:lineRule="auto"/>
        <w:tabs>
          <w:tab w:leader="none" w:pos="1528" w:val="left"/>
        </w:tabs>
        <w:numPr>
          <w:ilvl w:val="0"/>
          <w:numId w:val="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Hermans MA, Rietveld MJ, van Laar JA, Dalm VA, Verburg M, Pasmans SG, et al. Systemic mastocytosis: A cohort study on clinical characteristics of 136 patients in a large tertiary centre. European journal of internal medicine. 2016;30:25-</w:t>
      </w:r>
    </w:p>
    <w:p>
      <w:pPr>
        <w:spacing w:after="0" w:line="13" w:lineRule="exact"/>
        <w:rPr>
          <w:rFonts w:ascii="Times New Roman" w:cs="Times New Roman" w:eastAsia="Times New Roman" w:hAnsi="Times New Roman"/>
          <w:sz w:val="24"/>
          <w:szCs w:val="24"/>
          <w:color w:val="auto"/>
        </w:rPr>
      </w:pPr>
    </w:p>
    <w:p>
      <w:pPr>
        <w:spacing w:after="0"/>
        <w:tabs>
          <w:tab w:leader="none" w:pos="0" w:val="left"/>
        </w:tabs>
        <w:numPr>
          <w:ilvl w:val="0"/>
          <w:numId w:val="39"/>
        </w:numPr>
        <w:rPr>
          <w:rFonts w:ascii="Times New Roman" w:cs="Times New Roman" w:eastAsia="Times New Roman" w:hAnsi="Times New Roman"/>
          <w:sz w:val="24"/>
          <w:szCs w:val="24"/>
          <w:color w:val="auto"/>
        </w:rPr>
      </w:pPr>
    </w:p>
    <w:p>
      <w:pPr>
        <w:ind w:left="820" w:right="20" w:firstLine="8"/>
        <w:spacing w:after="0" w:line="234" w:lineRule="auto"/>
        <w:tabs>
          <w:tab w:leader="none" w:pos="1528" w:val="left"/>
        </w:tabs>
        <w:numPr>
          <w:ilvl w:val="0"/>
          <w:numId w:val="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Bonadonna P, Lombardo C, Zanotti R. Mastocytosis and allergic diseases. J Investig Allergol Clin Immunol. 2014;24(5):288-97; quiz 3 p preceding 97.</w:t>
      </w:r>
    </w:p>
    <w:p>
      <w:pPr>
        <w:spacing w:after="0" w:line="13" w:lineRule="exact"/>
        <w:rPr>
          <w:rFonts w:ascii="Times New Roman" w:cs="Times New Roman" w:eastAsia="Times New Roman" w:hAnsi="Times New Roman"/>
          <w:sz w:val="24"/>
          <w:szCs w:val="24"/>
          <w:color w:val="auto"/>
        </w:rPr>
      </w:pPr>
    </w:p>
    <w:p>
      <w:pPr>
        <w:jc w:val="both"/>
        <w:ind w:left="820" w:right="20" w:firstLine="8"/>
        <w:spacing w:after="0" w:line="237" w:lineRule="auto"/>
        <w:tabs>
          <w:tab w:leader="none" w:pos="1528" w:val="left"/>
        </w:tabs>
        <w:numPr>
          <w:ilvl w:val="0"/>
          <w:numId w:val="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Lim KH, Pardanani A, Butterfield JH, Li CY, Tefferi A. Cytoreductive therapy in 108 adults with systemic mastocytosis: Outcome analysis and response prediction during treatment with interferon-alpha, hydroxyurea, imatinib mesylate or 2-chlorodeoxyadenosine. Am J Hematol. 2009;84(12):790-4.</w:t>
      </w:r>
    </w:p>
    <w:p>
      <w:pPr>
        <w:spacing w:after="0" w:line="11" w:lineRule="exact"/>
        <w:rPr>
          <w:rFonts w:ascii="Times New Roman" w:cs="Times New Roman" w:eastAsia="Times New Roman" w:hAnsi="Times New Roman"/>
          <w:sz w:val="24"/>
          <w:szCs w:val="24"/>
          <w:color w:val="auto"/>
        </w:rPr>
      </w:pPr>
    </w:p>
    <w:p>
      <w:pPr>
        <w:jc w:val="both"/>
        <w:ind w:left="820" w:right="20" w:firstLine="8"/>
        <w:spacing w:after="0" w:line="236" w:lineRule="auto"/>
        <w:tabs>
          <w:tab w:leader="none" w:pos="1528" w:val="left"/>
        </w:tabs>
        <w:numPr>
          <w:ilvl w:val="0"/>
          <w:numId w:val="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DeAngelo DJ, George TI, Linder A, Langford C, Perkins C, Ma J, et al. Efficacy and safety of midostaurin in patients with advanced systemic mastocytosis: 10-year median follow-up of a phase II trial. Leukemia. 2018;32(2):470-8.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-2225675</wp:posOffset>
            </wp:positionV>
            <wp:extent cx="4699000" cy="185420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sectPr>
      <w:pgSz w:w="11900" w:h="16838" w:orient="portrait"/>
      <w:cols w:equalWidth="0" w:num="1">
        <w:col w:w="9060"/>
      </w:cols>
      <w:pgMar w:left="1440" w:top="702" w:right="1406" w:bottom="1440" w:gutter="0" w:footer="0" w:header="0"/>
    </w:sectPr>
  </w:body>
</w:document>
</file>

<file path=word/fontTable.xml><?xml version="1.0" encoding="utf-8"?>
<w:fonts xmlns:w="http://schemas.openxmlformats.org/wordprocessingml/2006/main">
  <w:font w:name="Calibri">
    <w:panose1 w:val="020F0502020204030204"/>
    <w:charset w:val="A2"/>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MS PGothic">
    <w:panose1 w:val="020B0600070205080204"/>
    <w:charset w:val="80"/>
    <w:family w:val="swiss"/>
    <w:pitch w:val="variable"/>
    <w:sig w:usb0="E00002FF" w:usb1="6AC7FDFB" w:usb2="08000012" w:usb3="00000000" w:csb0="4002009F" w:csb1="DFD70000"/>
  </w:font>
  <w:font w:name="Cambria Math">
    <w:panose1 w:val="02040503050406030204"/>
    <w:charset w:val="00"/>
    <w:family w:val="roman"/>
    <w:pitch w:val="variable"/>
    <w:sig w:usb0="E00002FF" w:usb1="420024FF" w:usb2="00000000" w:usb3="00000000" w:csb0="2000019F" w:csb1="0000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436C6125"/>
    <w:multiLevelType w:val="hybridMultilevel"/>
    <w:lvl w:ilvl="0">
      <w:lvlJc w:val="left"/>
      <w:lvlText w:val="%1."/>
      <w:numFmt w:val="decimal"/>
      <w:start w:val="1"/>
    </w:lvl>
  </w:abstractNum>
  <w:abstractNum w:abstractNumId="1">
    <w:nsid w:val="628C895D"/>
    <w:multiLevelType w:val="hybridMultilevel"/>
    <w:lvl w:ilvl="0">
      <w:lvlJc w:val="left"/>
      <w:lvlText w:val="%1."/>
      <w:numFmt w:val="decimal"/>
      <w:start w:val="816"/>
    </w:lvl>
  </w:abstractNum>
  <w:abstractNum w:abstractNumId="2">
    <w:nsid w:val="333AB105"/>
    <w:multiLevelType w:val="hybridMultilevel"/>
    <w:lvl w:ilvl="0">
      <w:lvlJc w:val="left"/>
      <w:lvlText w:val="%1)"/>
      <w:numFmt w:val="lowerLetter"/>
      <w:start w:val="2"/>
    </w:lvl>
  </w:abstractNum>
  <w:abstractNum w:abstractNumId="3">
    <w:nsid w:val="721DA317"/>
    <w:multiLevelType w:val="hybridMultilevel"/>
    <w:lvl w:ilvl="0">
      <w:lvlJc w:val="left"/>
      <w:lvlText w:val="%1."/>
      <w:numFmt w:val="decimal"/>
      <w:start w:val="1"/>
    </w:lvl>
  </w:abstractNum>
  <w:abstractNum w:abstractNumId="4">
    <w:nsid w:val="2443A858"/>
    <w:multiLevelType w:val="hybridMultilevel"/>
    <w:lvl w:ilvl="0">
      <w:lvlJc w:val="left"/>
      <w:lvlText w:val="%1."/>
      <w:numFmt w:val="decimal"/>
      <w:start w:val="2"/>
    </w:lvl>
  </w:abstractNum>
  <w:abstractNum w:abstractNumId="5">
    <w:nsid w:val="2D1D5AE9"/>
    <w:multiLevelType w:val="hybridMultilevel"/>
    <w:lvl w:ilvl="0">
      <w:lvlJc w:val="left"/>
      <w:lvlText w:val="%1."/>
      <w:numFmt w:val="decimal"/>
      <w:start w:val="3"/>
    </w:lvl>
  </w:abstractNum>
  <w:abstractNum w:abstractNumId="6">
    <w:nsid w:val="6763845E"/>
    <w:multiLevelType w:val="hybridMultilevel"/>
    <w:lvl w:ilvl="0">
      <w:lvlJc w:val="left"/>
      <w:lvlText w:val="%1."/>
      <w:numFmt w:val="decimal"/>
      <w:start w:val="1"/>
    </w:lvl>
  </w:abstractNum>
  <w:abstractNum w:abstractNumId="7">
    <w:nsid w:val="75A2A8D4"/>
    <w:multiLevelType w:val="hybridMultilevel"/>
    <w:lvl w:ilvl="0">
      <w:lvlJc w:val="left"/>
      <w:lvlText w:val="&lt;"/>
      <w:numFmt w:val="bullet"/>
      <w:start w:val="1"/>
    </w:lvl>
  </w:abstractNum>
  <w:abstractNum w:abstractNumId="8">
    <w:nsid w:val="8EDBDAB"/>
    <w:multiLevelType w:val="hybridMultilevel"/>
    <w:lvl w:ilvl="0">
      <w:lvlJc w:val="left"/>
      <w:lvlText w:val="%1."/>
      <w:numFmt w:val="decimal"/>
      <w:start w:val="2"/>
    </w:lvl>
  </w:abstractNum>
  <w:abstractNum w:abstractNumId="9">
    <w:nsid w:val="79838CB2"/>
    <w:multiLevelType w:val="hybridMultilevel"/>
    <w:lvl w:ilvl="0">
      <w:lvlJc w:val="left"/>
      <w:lvlText w:val="%1."/>
      <w:numFmt w:val="decimal"/>
      <w:start w:val="3"/>
    </w:lvl>
  </w:abstractNum>
  <w:abstractNum w:abstractNumId="10">
    <w:nsid w:val="4353D0CD"/>
    <w:multiLevelType w:val="hybridMultilevel"/>
    <w:lvl w:ilvl="0">
      <w:lvlJc w:val="left"/>
      <w:lvlText w:val="•"/>
      <w:numFmt w:val="bullet"/>
      <w:start w:val="1"/>
    </w:lvl>
  </w:abstractNum>
  <w:abstractNum w:abstractNumId="11">
    <w:nsid w:val="B03E0C6"/>
    <w:multiLevelType w:val="hybridMultilevel"/>
    <w:lvl w:ilvl="0">
      <w:lvlJc w:val="left"/>
      <w:lvlText w:val="•"/>
      <w:numFmt w:val="bullet"/>
      <w:start w:val="1"/>
    </w:lvl>
  </w:abstractNum>
  <w:abstractNum w:abstractNumId="12">
    <w:nsid w:val="189A769B"/>
    <w:multiLevelType w:val="hybridMultilevel"/>
    <w:lvl w:ilvl="0">
      <w:lvlJc w:val="left"/>
      <w:lvlText w:val="•"/>
      <w:numFmt w:val="bullet"/>
      <w:start w:val="1"/>
    </w:lvl>
  </w:abstractNum>
  <w:abstractNum w:abstractNumId="13">
    <w:nsid w:val="54E49EB4"/>
    <w:multiLevelType w:val="hybridMultilevel"/>
    <w:lvl w:ilvl="0">
      <w:lvlJc w:val="left"/>
      <w:lvlText w:val="(%1)"/>
      <w:numFmt w:val="lowerRoman"/>
      <w:start w:val="1"/>
    </w:lvl>
  </w:abstractNum>
  <w:abstractNum w:abstractNumId="14">
    <w:nsid w:val="71F32454"/>
    <w:multiLevelType w:val="hybridMultilevel"/>
    <w:lvl w:ilvl="0">
      <w:lvlJc w:val="left"/>
      <w:lvlText w:val="(%1)"/>
      <w:numFmt w:val="lowerRoman"/>
      <w:start w:val="1"/>
    </w:lvl>
  </w:abstractNum>
  <w:abstractNum w:abstractNumId="15">
    <w:nsid w:val="2CA88611"/>
    <w:multiLevelType w:val="hybridMultilevel"/>
    <w:lvl w:ilvl="0">
      <w:lvlJc w:val="left"/>
      <w:lvlText w:val="(%1)"/>
      <w:numFmt w:val="lowerRoman"/>
      <w:start w:val="1"/>
    </w:lvl>
  </w:abstractNum>
  <w:abstractNum w:abstractNumId="16">
    <w:nsid w:val="836C40E"/>
    <w:multiLevelType w:val="hybridMultilevel"/>
    <w:lvl w:ilvl="0">
      <w:lvlJc w:val="left"/>
      <w:lvlText w:val="•"/>
      <w:numFmt w:val="bullet"/>
      <w:start w:val="1"/>
    </w:lvl>
  </w:abstractNum>
  <w:abstractNum w:abstractNumId="17">
    <w:nsid w:val="2901D82"/>
    <w:multiLevelType w:val="hybridMultilevel"/>
    <w:lvl w:ilvl="0">
      <w:lvlJc w:val="left"/>
      <w:lvlText w:val="•"/>
      <w:numFmt w:val="bullet"/>
      <w:start w:val="1"/>
    </w:lvl>
  </w:abstractNum>
  <w:abstractNum w:abstractNumId="18">
    <w:nsid w:val="3A95F874"/>
    <w:multiLevelType w:val="hybridMultilevel"/>
    <w:lvl w:ilvl="0">
      <w:lvlJc w:val="left"/>
      <w:lvlText w:val="%1)"/>
      <w:numFmt w:val="decimal"/>
      <w:start w:val="165"/>
    </w:lvl>
  </w:abstractNum>
  <w:abstractNum w:abstractNumId="19">
    <w:nsid w:val="8138641"/>
    <w:multiLevelType w:val="hybridMultilevel"/>
    <w:lvl w:ilvl="0">
      <w:lvlJc w:val="left"/>
      <w:lvlText w:val="%1."/>
      <w:numFmt w:val="decimal"/>
      <w:start w:val="1"/>
    </w:lvl>
  </w:abstractNum>
  <w:abstractNum w:abstractNumId="20">
    <w:nsid w:val="1E7FF521"/>
    <w:multiLevelType w:val="hybridMultilevel"/>
    <w:lvl w:ilvl="0">
      <w:lvlJc w:val="left"/>
      <w:lvlText w:val="%1."/>
      <w:numFmt w:val="decimal"/>
      <w:start w:val="19"/>
    </w:lvl>
  </w:abstractNum>
  <w:abstractNum w:abstractNumId="21">
    <w:nsid w:val="7C3DBD3D"/>
    <w:multiLevelType w:val="hybridMultilevel"/>
    <w:lvl w:ilvl="0">
      <w:lvlJc w:val="left"/>
      <w:lvlText w:val="%1."/>
      <w:numFmt w:val="decimal"/>
      <w:start w:val="36"/>
    </w:lvl>
  </w:abstractNum>
  <w:abstractNum w:abstractNumId="22">
    <w:nsid w:val="737B8DDC"/>
    <w:multiLevelType w:val="hybridMultilevel"/>
    <w:lvl w:ilvl="0">
      <w:lvlJc w:val="left"/>
      <w:lvlText w:val="%1."/>
      <w:numFmt w:val="decimal"/>
      <w:start w:val="71"/>
    </w:lvl>
  </w:abstractNum>
  <w:abstractNum w:abstractNumId="23">
    <w:nsid w:val="6CEAF087"/>
    <w:multiLevelType w:val="hybridMultilevel"/>
    <w:lvl w:ilvl="0">
      <w:lvlJc w:val="left"/>
      <w:lvlText w:val="%1."/>
      <w:numFmt w:val="decimal"/>
      <w:start w:val="45"/>
    </w:lvl>
  </w:abstractNum>
  <w:abstractNum w:abstractNumId="24">
    <w:nsid w:val="22221A70"/>
    <w:multiLevelType w:val="hybridMultilevel"/>
    <w:lvl w:ilvl="0">
      <w:lvlJc w:val="left"/>
      <w:lvlText w:val="%1."/>
      <w:numFmt w:val="decimal"/>
      <w:start w:val="54"/>
    </w:lvl>
  </w:abstractNum>
  <w:abstractNum w:abstractNumId="25">
    <w:nsid w:val="4516DDE9"/>
    <w:multiLevelType w:val="hybridMultilevel"/>
    <w:lvl w:ilvl="0">
      <w:lvlJc w:val="left"/>
      <w:lvlText w:val="%1."/>
      <w:numFmt w:val="decimal"/>
      <w:start w:val="6"/>
    </w:lvl>
  </w:abstractNum>
  <w:abstractNum w:abstractNumId="26">
    <w:nsid w:val="3006C83E"/>
    <w:multiLevelType w:val="hybridMultilevel"/>
    <w:lvl w:ilvl="0">
      <w:lvlJc w:val="left"/>
      <w:lvlText w:val="%1."/>
      <w:numFmt w:val="decimal"/>
      <w:start w:val="61"/>
    </w:lvl>
  </w:abstractNum>
  <w:abstractNum w:abstractNumId="27">
    <w:nsid w:val="614FD4A1"/>
    <w:multiLevelType w:val="hybridMultilevel"/>
    <w:lvl w:ilvl="0">
      <w:lvlJc w:val="left"/>
      <w:lvlText w:val="%1."/>
      <w:numFmt w:val="decimal"/>
      <w:start w:val="71"/>
    </w:lvl>
  </w:abstractNum>
  <w:abstractNum w:abstractNumId="28">
    <w:nsid w:val="419AC241"/>
    <w:multiLevelType w:val="hybridMultilevel"/>
    <w:lvl w:ilvl="0">
      <w:lvlJc w:val="left"/>
      <w:lvlText w:val="%1."/>
      <w:numFmt w:val="decimal"/>
      <w:start w:val="86"/>
    </w:lvl>
  </w:abstractNum>
  <w:abstractNum w:abstractNumId="29">
    <w:nsid w:val="5577F8E1"/>
    <w:multiLevelType w:val="hybridMultilevel"/>
    <w:lvl w:ilvl="0">
      <w:lvlJc w:val="left"/>
      <w:lvlText w:val="%1."/>
      <w:numFmt w:val="decimal"/>
      <w:start w:val="70"/>
    </w:lvl>
  </w:abstractNum>
  <w:abstractNum w:abstractNumId="30">
    <w:nsid w:val="440BADFC"/>
    <w:multiLevelType w:val="hybridMultilevel"/>
    <w:lvl w:ilvl="0">
      <w:lvlJc w:val="left"/>
      <w:lvlText w:val="%1."/>
      <w:numFmt w:val="decimal"/>
      <w:start w:val="89"/>
    </w:lvl>
  </w:abstractNum>
  <w:abstractNum w:abstractNumId="31">
    <w:nsid w:val="5072367"/>
    <w:multiLevelType w:val="hybridMultilevel"/>
    <w:lvl w:ilvl="0">
      <w:lvlJc w:val="left"/>
      <w:lvlText w:val="%1."/>
      <w:numFmt w:val="decimal"/>
      <w:start w:val="98"/>
    </w:lvl>
  </w:abstractNum>
  <w:abstractNum w:abstractNumId="32">
    <w:nsid w:val="3804823E"/>
    <w:multiLevelType w:val="hybridMultilevel"/>
    <w:lvl w:ilvl="0">
      <w:lvlJc w:val="left"/>
      <w:lvlText w:val="%1."/>
      <w:numFmt w:val="decimal"/>
      <w:start w:val="112"/>
    </w:lvl>
  </w:abstractNum>
  <w:abstractNum w:abstractNumId="33">
    <w:nsid w:val="77465F01"/>
    <w:multiLevelType w:val="hybridMultilevel"/>
    <w:lvl w:ilvl="0">
      <w:lvlJc w:val="left"/>
      <w:lvlText w:val="%1."/>
      <w:numFmt w:val="decimal"/>
      <w:start w:val="55"/>
    </w:lvl>
  </w:abstractNum>
  <w:abstractNum w:abstractNumId="34">
    <w:nsid w:val="7724C67E"/>
    <w:multiLevelType w:val="hybridMultilevel"/>
    <w:lvl w:ilvl="0">
      <w:lvlJc w:val="left"/>
      <w:lvlText w:val="%1."/>
      <w:numFmt w:val="decimal"/>
      <w:start w:val="124"/>
    </w:lvl>
  </w:abstractNum>
  <w:abstractNum w:abstractNumId="35">
    <w:nsid w:val="5C482A97"/>
    <w:multiLevelType w:val="hybridMultilevel"/>
    <w:lvl w:ilvl="0">
      <w:lvlJc w:val="left"/>
      <w:lvlText w:val="%1."/>
      <w:numFmt w:val="decimal"/>
      <w:start w:val="129"/>
    </w:lvl>
  </w:abstractNum>
  <w:abstractNum w:abstractNumId="36">
    <w:nsid w:val="2463B9EA"/>
    <w:multiLevelType w:val="hybridMultilevel"/>
    <w:lvl w:ilvl="0">
      <w:lvlJc w:val="left"/>
      <w:lvlText w:val="%1."/>
      <w:numFmt w:val="decimal"/>
      <w:start w:val="146"/>
    </w:lvl>
  </w:abstractNum>
  <w:abstractNum w:abstractNumId="37">
    <w:nsid w:val="5E884ADC"/>
    <w:multiLevelType w:val="hybridMultilevel"/>
    <w:lvl w:ilvl="0">
      <w:lvlJc w:val="left"/>
      <w:lvlText w:val="%1."/>
      <w:numFmt w:val="decimal"/>
      <w:start w:val="161"/>
    </w:lvl>
  </w:abstractNum>
  <w:abstractNum w:abstractNumId="38">
    <w:nsid w:val="51EAD36B"/>
    <w:multiLevelType w:val="hybridMultilevel"/>
    <w:lvl w:ilvl="0">
      <w:lvlJc w:val="left"/>
      <w:lvlText w:val="%1."/>
      <w:numFmt w:val="decimal"/>
      <w:start w:val="30"/>
    </w:lvl>
  </w:abstractNum>
  <w:abstractNum w:abstractNumId="39">
    <w:nsid w:val="2D517796"/>
    <w:multiLevelType w:val="hybridMultilevel"/>
    <w:lvl w:ilvl="0">
      <w:lvlJc w:val="left"/>
      <w:lvlText w:val="%1."/>
      <w:numFmt w:val="decimal"/>
      <w:start w:val="166"/>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pn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pn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pn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pn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2020-12-27T17:52:58Z</dcterms:created>
  <dcterms:modified xsi:type="dcterms:W3CDTF">2020-12-27T17:52:58Z</dcterms:modified>
</cp:coreProperties>
</file>