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05078125" w:line="240" w:lineRule="auto"/>
        <w:ind w:left="147.9199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4061511</wp:posOffset>
            </wp:positionH>
            <wp:positionV relativeFrom="paragraph">
              <wp:posOffset>7621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8701171875" w:line="240" w:lineRule="auto"/>
        <w:ind w:left="155.59997558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3.919677734375" w:line="240" w:lineRule="auto"/>
        <w:ind w:left="0" w:right="1725.198974609375" w:firstLine="0"/>
        <w:jc w:val="righ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1f3864"/>
          <w:sz w:val="48"/>
          <w:szCs w:val="48"/>
          <w:rtl w:val="0"/>
        </w:rPr>
        <w:t xml:space="preserve">Guía 2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  <w:rtl w:val="0"/>
        </w:rPr>
        <w:t xml:space="preserve">. Desarrollo Proyecto APT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3984375" w:line="240" w:lineRule="auto"/>
        <w:ind w:left="1898.9601135253906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f3864"/>
          <w:sz w:val="48"/>
          <w:szCs w:val="48"/>
          <w:u w:val="none"/>
          <w:shd w:fill="auto" w:val="clear"/>
          <w:vertAlign w:val="baseline"/>
          <w:rtl w:val="0"/>
        </w:rPr>
        <w:t xml:space="preserve">Asignatura Capstone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3984375" w:line="240" w:lineRule="auto"/>
        <w:ind w:left="1898.9601135253906" w:right="0" w:firstLine="0"/>
        <w:jc w:val="left"/>
        <w:rPr>
          <w:rFonts w:ascii="Carlito" w:cs="Carlito" w:eastAsia="Carlito" w:hAnsi="Carlito"/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00228881836" w:type="dxa"/>
        <w:jc w:val="left"/>
        <w:tblInd w:w="155.9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.000228881836"/>
        <w:tblGridChange w:id="0">
          <w:tblGrid>
            <w:gridCol w:w="9640.000228881836"/>
          </w:tblGrid>
        </w:tblGridChange>
      </w:tblGrid>
      <w:tr>
        <w:trPr>
          <w:cantSplit w:val="0"/>
          <w:trHeight w:val="5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5999450683594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7997436523438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00228881836" w:type="dxa"/>
        <w:jc w:val="left"/>
        <w:tblInd w:w="155.9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8.0001068115234"/>
        <w:gridCol w:w="7112.0001220703125"/>
        <w:tblGridChange w:id="0">
          <w:tblGrid>
            <w:gridCol w:w="2528.0001068115234"/>
            <w:gridCol w:w="7112.0001220703125"/>
          </w:tblGrid>
        </w:tblGridChange>
      </w:tblGrid>
      <w:tr>
        <w:trPr>
          <w:cantSplit w:val="0"/>
          <w:trHeight w:val="164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avance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135.1799774169922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MEDLINK es una plataforma web que centraliza y organiza la información médica personal. Busca resolver la fragmentación de los registros de salud mediante la carga de documentos, la extracción de información y un historial de salud trazable. El proyecto es desarrollado por Camilo Pérez, Nicolás Yáñez y Felipe Chavarría.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Fase 1 (completada):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se definió el proyecto, los roles del equipo y el stack tecnológico (backend en Python/Django/DRF con PostgreSQL; frontend en React/TypeScript/Vite/Tailwind), y se elaboró una Carta Gantt de 16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Fase 2 (en curso):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los mockups de la plataforma no se entregaron en la Fase 1 porque el equipo no quedó conforme con el resultado. Fueron rehechos y hoy son la evidencia principal de este informe: representan visualmente las funcionalidades centrales (carga de documentos, extracción de información e historial de salud). Además, se rebalancear la Carta Gantt, porque el plazo máximo del proyecto es la semana 16 y no la 18 planificada originalmente.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="240" w:lineRule="auto"/>
              <w:ind w:left="100" w:right="60" w:firstLine="0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El proyecto avanza con el diseño como base para el desarrollo: el backend y el frontend se construirán de forma incremental, guiados por especificaciones, tomando como referencia los mockups y el modelo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96643066406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Sin ajustes.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Se mantienen los objetivos definidos en la Fase 1; sólo se modificó la planificación temporal (ver sección 2 y 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00854492188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line="240" w:lineRule="auto"/>
              <w:ind w:left="100" w:right="60" w:firstLine="0"/>
              <w:rPr>
                <w:rFonts w:ascii="Carlito" w:cs="Carlito" w:eastAsia="Carlito" w:hAnsi="Carlito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Sin ajustes.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Se mantiene el desarrollo incremental guiado por especificaciones definidas en la Fase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1996459960938" w:right="0" w:firstLine="0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de 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Evidencia principal: mockups de la plataforma MEDLINK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(diseñados en FIGMA). Muestran las pantallas de los flujos centrales del sistema: carga de documentos médicos, visualización de la información extraída y consulta del historial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Cómo permiten dar cuenta del avance: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en esta etapa el proyecto está en su fase de diseño. Los mockups traducen los requerimientos a pantallas concretas, permiten validar el alcance entre los tres integrantes y sirven de especificación visual para el desarrollo del frontend. Como complemento se presenta la Carta Gantt reajustada a 16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Resguardo de la calidad: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se aplica desarrollo incremental guiado por especificaciones, de modo que cada pantalla y funcionalidad queda trazada a un requerimiento antes de implementarse. El equipo no entregó los mockups en la Fase 1 al no cumplir su estándar, y los rehízo antes de presentarlos como evidencia.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="240" w:lineRule="auto"/>
              <w:ind w:left="100" w:right="60" w:firstLine="0"/>
              <w:rPr>
                <w:rFonts w:ascii="Carlito" w:cs="Carlito" w:eastAsia="Carlito" w:hAnsi="Carlito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Evidencias: 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https://github.com/Seyth382/Capstone_Chavarria_Perez_Yanez/tree/main/Fase_2/Evidencias_Proyecto/MOCKUPS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05078125" w:line="240" w:lineRule="auto"/>
        <w:ind w:left="147.9199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8701171875" w:line="240" w:lineRule="auto"/>
        <w:ind w:left="155.59997558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8701171875" w:line="240" w:lineRule="auto"/>
        <w:ind w:left="155.5999755859375" w:right="0" w:firstLine="0"/>
        <w:jc w:val="left"/>
        <w:rPr>
          <w:rFonts w:ascii="Noto Sans" w:cs="Noto Sans" w:eastAsia="Noto Sans" w:hAnsi="Noto Sans"/>
          <w:b w:val="1"/>
          <w:bCs w:val="1"/>
          <w:color w:val="1d276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0.000457763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.000457763672"/>
        <w:tblGridChange w:id="0">
          <w:tblGrid>
            <w:gridCol w:w="9640.000457763672"/>
          </w:tblGrid>
        </w:tblGridChange>
      </w:tblGrid>
      <w:tr>
        <w:trPr>
          <w:cantSplit w:val="0"/>
          <w:trHeight w:val="5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199737548828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5308837890625" w:lineRule="auto"/>
              <w:ind w:left="128.0199432373047" w:right="118.421630859375" w:firstLine="6.5999603271484375"/>
              <w:jc w:val="left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rFonts w:ascii="Carlito" w:cs="Carlito" w:eastAsia="Carlito" w:hAnsi="Carlito"/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50.0" w:type="dxa"/>
        <w:jc w:val="left"/>
        <w:tblInd w:w="-647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080"/>
        <w:gridCol w:w="1275"/>
        <w:gridCol w:w="1275"/>
        <w:gridCol w:w="1275"/>
        <w:gridCol w:w="1275"/>
        <w:gridCol w:w="1425"/>
        <w:gridCol w:w="1590"/>
        <w:tblGridChange w:id="0">
          <w:tblGrid>
            <w:gridCol w:w="2055"/>
            <w:gridCol w:w="1080"/>
            <w:gridCol w:w="1275"/>
            <w:gridCol w:w="1275"/>
            <w:gridCol w:w="1275"/>
            <w:gridCol w:w="1275"/>
            <w:gridCol w:w="1425"/>
            <w:gridCol w:w="1590"/>
          </w:tblGrid>
        </w:tblGridChange>
      </w:tblGrid>
      <w:tr>
        <w:trPr>
          <w:cantSplit w:val="0"/>
          <w:trHeight w:val="424.00024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8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22747230529785" w:lineRule="auto"/>
              <w:ind w:left="129.94003295898438" w:right="101.11984252929688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 o unidades de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20263671875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22747230529785" w:lineRule="auto"/>
              <w:ind w:left="135.2398681640625" w:right="10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Duración de la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7.333332697550457"/>
                <w:szCs w:val="17.33333269755045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1f3864"/>
                <w:sz w:val="18"/>
                <w:szCs w:val="18"/>
                <w:rtl w:val="0"/>
              </w:rPr>
              <w:t xml:space="preserve">Responsable 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7.333332697550457"/>
                <w:szCs w:val="17.333332697550457"/>
                <w:u w:val="none"/>
                <w:shd w:fill="auto" w:val="clear"/>
                <w:vertAlign w:val="superscript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22747230529785" w:lineRule="auto"/>
              <w:ind w:left="155.30029296875" w:right="126.3604736328125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Estado de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939697265625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Ajustes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Definición del proyecto: problema, objetivos y alcance de MEDLINK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Guía de la asignatura, reuniones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Facilitó que el equipo tuviera claro el problema (registros médicos fragmentados) desde el inicio.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Definición de roles del equipo y del stack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Reuniones de equipo; documentación de Django/DRF, PostgreSQL y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Stack conocido por el equipo; reduce el riesgo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Elaboración y reajuste de la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Informe Fase 1, presentación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Fase 1 (18 semanas); reajustada en Fase 2 a 16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El plazo máximo del proyecto es la semana 16, por lo que la planificación original no era viable.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Cronograma re balanceado para terminar exactamente en la semana 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Diseño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Diseño de mockups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FIGMA; requerimientos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Nicolas Yañez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No se entregaron en la Fase 1 porque el equipo no quedó conforme con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En curso (primera versión entregada como evidencia)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Se postergaron de la Fase 1 a la Fase 2 y pasan a ser la evidencia principal del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Diseño de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Diseño de la arquitectura y del entorno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Django/DRF, PostgreSQL, React/Vite, repositorio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2 semanas (originalmente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Stack ya definido, lo que acelera las decisiones de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Duración reducida de 3 a 2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Modelamiento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Diseño inicial del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PostgreSQL, herramienta de diagramación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2 semanas (originalmente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Depende de tener claros los documentos y datos que se extraerán.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Duración reducida de 3 a 2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Desarrollo del backend (API y lógica de extracción de información)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Python, Django, DRF,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240" w:lineRule="auto"/>
              <w:ind w:left="40" w:right="60" w:firstLine="0"/>
              <w:rPr>
                <w:rFonts w:ascii="Carlito" w:cs="Carlito" w:eastAsia="Carlito" w:hAnsi="Carlito"/>
                <w:sz w:val="15"/>
                <w:szCs w:val="15"/>
              </w:rPr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Nicolas Yañez,</w:t>
              <w:br w:type="textWrapping"/>
              <w:t xml:space="preserve">Felipe Chavarria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Es una de las actividades más extensas y críticas del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Reprogramado para las semanas 8 a 13, con duración de 6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Desarrollo del frontend (interfaz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React, TypeScript, Vite, Tailwind;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Nicolas Yañez,</w:t>
              <w:br w:type="textWrapping"/>
              <w:t xml:space="preserve">Camili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Los mockups servirán de guía para construir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Reprogramado para las semanas 9 a 14, con duración de 6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Aseguramiento de la calidad y seguridad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Pruebas, validación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Pruebas funcionales y de seguridad;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5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Se trabajan datos médicos, por lo que la seguridad es un requisito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Reprogramadas para las semanas 11 a 15, con duración de 5 semanas y ejecución paralela al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Comunicación y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Documentación, informes y cierre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Word, PowerPoint, guías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2 semanas (originalmente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Camilo Pérez, Nicolás Yáñez y Felipe Chavarría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Los informes de fase se van construyendo durante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highlight w:val="yellow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="240" w:lineRule="auto"/>
              <w:ind w:left="4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15"/>
                <w:szCs w:val="15"/>
                <w:rtl w:val="0"/>
              </w:rPr>
              <w:t xml:space="preserve">Duración reducida de 3 a 2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7.999496459961" w:type="dxa"/>
        <w:jc w:val="left"/>
        <w:tblInd w:w="155.9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7.999496459961"/>
        <w:tblGridChange w:id="0">
          <w:tblGrid>
            <w:gridCol w:w="9497.999496459961"/>
          </w:tblGrid>
        </w:tblGridChange>
      </w:tblGrid>
      <w:tr>
        <w:trPr>
          <w:cantSplit w:val="0"/>
          <w:trHeight w:val="5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600311279297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Ajustes a partir del monitoreo</w:t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47603225708" w:lineRule="auto"/>
              <w:ind w:left="128.14002990722656" w:right="110.941162109375" w:firstLine="7.6999664306640625"/>
              <w:jc w:val="both"/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rFonts w:ascii="Carlito" w:cs="Carlito" w:eastAsia="Carlito" w:hAnsi="Carlito"/>
                <w:color w:val="1f3864"/>
                <w:rtl w:val="0"/>
              </w:rPr>
              <w:t xml:space="preserve">abordar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03.999862670898" w:type="dxa"/>
        <w:jc w:val="left"/>
        <w:tblInd w:w="145.9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3.999862670898"/>
        <w:tblGridChange w:id="0">
          <w:tblGrid>
            <w:gridCol w:w="8503.999862670898"/>
          </w:tblGrid>
        </w:tblGridChange>
      </w:tblGrid>
      <w:tr>
        <w:trPr>
          <w:cantSplit w:val="0"/>
          <w:trHeight w:val="31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2761821746826" w:lineRule="auto"/>
              <w:ind w:left="125.40000915527344" w:right="117.60009765625" w:firstLine="9.339981079101562"/>
              <w:jc w:val="both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Equipo de tres integrantes con roles definidos y stack tecnológico elegido y conocido (Django/DRF, PostgreSQL, React/TypeScript).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Metodología incremental guiada por especificaciones, que permite avanzar por etapas y ajustar el alcance sin perder el rumbo.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Objetivos y alcance bien definidos desde la Fase 1, lo que evitó rehacer el proyecto al reajustar el cronograma.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La Carta Gantt original duraba 18 semanas, pero el plazo máximo es la semana 16. Acción: se desbalanceó el plan comprimiendo actividades de diseño y documentación, y manteniendo completas las de desarrollo y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Los mockups no se entregaron en la Fase 1 por falta de conformidad del equipo. Acción: se rehicieron para presentarlos como evidencia de la Fase 2 y como base del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80" w:line="240" w:lineRule="auto"/>
              <w:ind w:left="100" w:right="60" w:firstLine="0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El tiempo disponible es acotado para el volumen de trabajo técnico (backend, frontend, pruebas y seguridad). Acción: ejecutar backend y frontend en paralelo, según el traslape del plan, y priorizar las funcionalidades centrales.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40669250488" w:lineRule="auto"/>
        <w:ind w:left="0" w:right="635.11840820312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05078125" w:line="240" w:lineRule="auto"/>
        <w:ind w:left="147.9199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Guía Estudiante - Desarrollo Proyecto APT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8701171875" w:line="240" w:lineRule="auto"/>
        <w:ind w:left="155.59997558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8701171875" w:line="240" w:lineRule="auto"/>
        <w:ind w:left="155.5999755859375" w:right="0" w:firstLine="0"/>
        <w:jc w:val="left"/>
        <w:rPr>
          <w:rFonts w:ascii="Noto Sans" w:cs="Noto Sans" w:eastAsia="Noto Sans" w:hAnsi="Noto Sans"/>
          <w:b w:val="1"/>
          <w:bCs w:val="1"/>
          <w:color w:val="1d276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03.999862670898" w:type="dxa"/>
        <w:jc w:val="left"/>
        <w:tblInd w:w="150.9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3.999862670898"/>
        <w:tblGridChange w:id="0">
          <w:tblGrid>
            <w:gridCol w:w="8503.999862670898"/>
          </w:tblGrid>
        </w:tblGridChange>
      </w:tblGrid>
      <w:tr>
        <w:trPr>
          <w:cantSplit w:val="0"/>
          <w:trHeight w:val="421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7570991516113" w:lineRule="auto"/>
              <w:ind w:left="119.80003356933594" w:right="136.0009765625" w:hanging="3.9200592041015625"/>
              <w:jc w:val="both"/>
              <w:rPr>
                <w:rFonts w:ascii="Carlito" w:cs="Carlito" w:eastAsia="Carlito" w:hAnsi="Carlito"/>
                <w:color w:val="1f3864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Se realizó un único ajuste al plan de trabajo: el rebalanceo de la Carta Gantt para que el proyecto termine en la semana 16. No se eliminó ninguna actividad.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Inicio de la Fase 2 en la semana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Diseño de arquitectura y entorno técnico: de 3 a 2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Diseño inicial del modelo de datos: de 3 a 2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• Documentación, informes y cierre: de 3 a 2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0" w:before="200" w:line="240" w:lineRule="auto"/>
              <w:ind w:left="100" w:right="60" w:firstLine="0"/>
              <w:rPr>
                <w:rFonts w:ascii="Carlito" w:cs="Carlito" w:eastAsia="Carlito" w:hAnsi="Carlito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el plazo máximo del proyecto es la semana 16. Se comprimieron las actividades de diseño y documentación, que pueden resolverse en menos tiempo gracias al stack ya definido, y se protegió el desarrollo y las pruebas, que concentran el valor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755096435547" w:lineRule="auto"/>
              <w:ind w:left="125.87997436523438" w:right="105.594482421875" w:hanging="2.3200225830078125"/>
              <w:jc w:val="both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que no has iniciado o están retrasadas: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755096435547" w:lineRule="auto"/>
              <w:ind w:left="125.87997436523438" w:right="105.594482421875" w:hanging="2.3200225830078125"/>
              <w:jc w:val="both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before="200" w:line="240" w:lineRule="auto"/>
              <w:ind w:left="100" w:right="60" w:firstLine="0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Mockups (retrasada):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estaban planificados para la Fase 1 y no se entregaron porque el equipo no quedó satisfecho con el resultado. Estrategia: se rehicieron y se presentan en este informe como evidencia principal; además serán la referencia para el desarrollo del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80" w:before="200" w:line="240" w:lineRule="auto"/>
              <w:ind w:left="100" w:right="60" w:firstLine="0"/>
              <w:rPr>
                <w:rFonts w:ascii="Carlito" w:cs="Carlito" w:eastAsia="Carlito" w:hAnsi="Carli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Desarrollo backend, desarrollo frontend y pruebas/seguridad (no iniciadas):</w:t>
            </w:r>
            <w:r w:rsidDel="00000000" w:rsidR="00000000" w:rsidRPr="00000000">
              <w:rPr>
                <w:rFonts w:ascii="Carlito" w:cs="Carlito" w:eastAsia="Carlito" w:hAnsi="Carlito"/>
                <w:sz w:val="20"/>
                <w:szCs w:val="20"/>
                <w:rtl w:val="0"/>
              </w:rPr>
              <w:t xml:space="preserve"> no están retrasadas, ya que están programadas después de las actividades de diseño dentro del plan reajustado. Estrategia: cerrar el diseño de arquitectura y del modelo de datos en las 2 semanas previstas, para comenzar el backend y el frontend sin demora, trabajarlos en paralelo y hacer seguimiento semanal del avance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72.918701171875" w:line="240" w:lineRule="auto"/>
        <w:ind w:left="155.5999755859375" w:firstLine="0"/>
        <w:rPr>
          <w:rFonts w:ascii="Noto Sans" w:cs="Noto Sans" w:eastAsia="Noto Sans" w:hAnsi="Noto Sans"/>
          <w:b w:val="1"/>
          <w:bCs w:val="1"/>
          <w:color w:val="1d276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5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55"/>
        <w:tblGridChange w:id="0">
          <w:tblGrid>
            <w:gridCol w:w="11055"/>
          </w:tblGrid>
        </w:tblGridChange>
      </w:tblGrid>
      <w:tr>
        <w:trPr>
          <w:cantSplit w:val="0"/>
          <w:trHeight w:val="5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28.5199737548828" w:firstLine="0"/>
              <w:rPr>
                <w:rFonts w:ascii="Carlito" w:cs="Carlito" w:eastAsia="Carlito" w:hAnsi="Carlito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Carta Gantt Actualizada</w:t>
            </w:r>
          </w:p>
        </w:tc>
      </w:tr>
      <w:tr>
        <w:trPr>
          <w:cantSplit w:val="0"/>
          <w:trHeight w:val="6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63.5308837890625" w:lineRule="auto"/>
              <w:ind w:left="128.0199432373047" w:right="118.421630859375" w:firstLine="6.5999603271484375"/>
              <w:rPr>
                <w:rFonts w:ascii="Carlito" w:cs="Carlito" w:eastAsia="Carlito" w:hAnsi="Carlito"/>
                <w:color w:val="1f3864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1f3864"/>
              </w:rPr>
              <w:drawing>
                <wp:inline distB="114300" distT="114300" distL="114300" distR="114300">
                  <wp:extent cx="6753225" cy="385158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25" cy="3851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widowControl w:val="0"/>
        <w:rPr>
          <w:rFonts w:ascii="Noto Sans" w:cs="Noto Sans" w:eastAsia="Noto Sans" w:hAnsi="Noto Sans"/>
          <w:b w:val="1"/>
          <w:bCs w:val="1"/>
          <w:color w:val="1d276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466.7799377441406" w:top="707.015380859375" w:left="968.0000305175781" w:right="1074.07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