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360" w:after="120"/>
      </w:pPr>
      <w:r>
        <w:rPr>
          <w:rFonts w:ascii="Calibri" w:hAnsi="Calibri"/>
          <w:b/>
          <w:color w:val="1F4E78"/>
        </w:rPr>
        <w:t>StealthyIMU Model Review &amp; Architectural Comparison</w:t>
      </w:r>
    </w:p>
    <w:p>
      <w:pPr>
        <w:spacing w:before="80" w:after="120"/>
      </w:pPr>
      <w:r>
        <w:t xml:space="preserve">This review provides a deep-dive analysis of the </w:t>
      </w:r>
      <w:r>
        <w:rPr>
          <w:b/>
        </w:rPr>
        <w:t>Teacher (Phase 1)</w:t>
      </w:r>
      <w:r>
        <w:t xml:space="preserve"> and </w:t>
      </w:r>
      <w:r>
        <w:rPr>
          <w:b/>
        </w:rPr>
        <w:t>Student (Phase 2)</w:t>
      </w:r>
      <w:r>
        <w:t xml:space="preserve"> architectures replication for the StealthyIMU voice assistant privacy threat (NDSS 2023).</w:t>
      </w:r>
    </w:p>
    <w:p>
      <w:pPr>
        <w:spacing w:before="240" w:after="240"/>
      </w:pPr>
      <w:r>
        <w:rPr>
          <w:color w:val="D3D3D3"/>
        </w:rPr>
        <w:t>__________________________________________________________________</w:t>
      </w:r>
    </w:p>
    <w:p>
      <w:pPr>
        <w:pStyle w:val="Heading2"/>
        <w:spacing w:before="280" w:after="80"/>
      </w:pPr>
      <w:r>
        <w:rPr>
          <w:rFonts w:ascii="Calibri" w:hAnsi="Calibri"/>
          <w:b/>
          <w:color w:val="2E75B6"/>
        </w:rPr>
        <w:t>1. Task Definition &amp; Input Representation</w:t>
      </w:r>
    </w:p>
    <w:p>
      <w:pPr>
        <w:spacing w:before="80" w:after="120"/>
      </w:pPr>
      <w:r>
        <w:t xml:space="preserve">The StealthyIMU framework is designed as a </w:t>
      </w:r>
      <w:r>
        <w:rPr>
          <w:b/>
        </w:rPr>
        <w:t>Spoken Language Understanding (SLU)</w:t>
      </w:r>
      <w:r>
        <w:t xml:space="preserve"> model. Instead of maps of audio signals, it maps smartphone motion sensor signals (specifically, 3D accelerometer signals) directly to VUI command semantics (e.g., actions and entities).</w:t>
      </w:r>
    </w:p>
    <w:p>
      <w:pPr>
        <w:pStyle w:val="Heading3"/>
        <w:spacing w:before="200" w:after="40"/>
      </w:pPr>
      <w:r>
        <w:rPr>
          <w:rFonts w:ascii="Calibri" w:hAnsi="Calibri"/>
          <w:b/>
          <w:color w:val="41719C"/>
        </w:rPr>
        <w:t>Feature Extraction Pipeline (`AccSpec` Feature Extractor)</w:t>
      </w:r>
    </w:p>
    <w:p>
      <w:pPr>
        <w:pStyle w:val="ListBullet"/>
        <w:spacing w:before="40" w:after="40"/>
      </w:pPr>
      <w:r/>
      <w:r>
        <w:rPr>
          <w:b/>
        </w:rPr>
        <w:t>Input</w:t>
      </w:r>
      <w:r>
        <w:t>: Raw 1D accelerometer signal (specifically, the Z-axis, sub-sampled at $500\text{ Hz}$).</w:t>
      </w:r>
    </w:p>
    <w:p>
      <w:pPr>
        <w:pStyle w:val="ListBullet"/>
        <w:spacing w:before="40" w:after="40"/>
      </w:pPr>
      <w:r/>
      <w:r>
        <w:rPr>
          <w:b/>
        </w:rPr>
        <w:t>Spectrogram Parameters</w:t>
      </w:r>
      <w:r>
        <w:t>:</w:t>
      </w:r>
    </w:p>
    <w:p>
      <w:pPr>
        <w:pStyle w:val="ListBullet"/>
        <w:spacing w:before="40" w:after="40"/>
      </w:pPr>
      <w:r>
        <w:t>Window Length (`n_win_length`): $80$ samples ($160\text{ ms}$)</w:t>
      </w:r>
    </w:p>
    <w:p>
      <w:pPr>
        <w:pStyle w:val="ListBullet"/>
        <w:spacing w:before="40" w:after="40"/>
      </w:pPr>
      <w:r>
        <w:t>Hop Length (`n_hop_length`): $20$ samples ($40\text{ ms}$)</w:t>
      </w:r>
    </w:p>
    <w:p>
      <w:pPr>
        <w:pStyle w:val="ListBullet"/>
        <w:spacing w:before="40" w:after="40"/>
      </w:pPr>
      <w:r>
        <w:t>FFT size (`n_fft`): $80$</w:t>
      </w:r>
    </w:p>
    <w:p>
      <w:pPr>
        <w:pStyle w:val="ListBullet"/>
        <w:spacing w:before="40" w:after="40"/>
      </w:pPr>
      <w:r>
        <w:t>Log-spectrogram features (`n_feature`): $31$ bins</w:t>
      </w:r>
    </w:p>
    <w:p>
      <w:pPr>
        <w:pStyle w:val="ListBullet"/>
        <w:spacing w:before="40" w:after="40"/>
      </w:pPr>
      <w:r/>
      <w:r>
        <w:rPr>
          <w:b/>
        </w:rPr>
        <w:t>Normalization</w:t>
      </w:r>
      <w:r>
        <w:t>: Global instance normalization.</w:t>
      </w:r>
    </w:p>
    <w:p>
      <w:pPr>
        <w:spacing w:before="240" w:after="240"/>
      </w:pPr>
      <w:r>
        <w:rPr>
          <w:color w:val="D3D3D3"/>
        </w:rPr>
        <w:t>__________________________________________________________________</w:t>
      </w:r>
    </w:p>
    <w:p>
      <w:pPr>
        <w:pStyle w:val="Heading2"/>
        <w:spacing w:before="280" w:after="80"/>
      </w:pPr>
      <w:r>
        <w:rPr>
          <w:rFonts w:ascii="Calibri" w:hAnsi="Calibri"/>
          <w:b/>
          <w:color w:val="2E75B6"/>
        </w:rPr>
        <w:t>2. Model Architecture Comparison</w:t>
      </w:r>
    </w:p>
    <w:p>
      <w:pPr>
        <w:spacing w:before="80" w:after="120"/>
      </w:pPr>
      <w:r>
        <w:t xml:space="preserve">The primary challenge of the paper is shrinking the massive seq2seq SLU model down to a </w:t>
      </w:r>
      <w:r>
        <w:rPr>
          <w:b/>
        </w:rPr>
        <w:t>2MB</w:t>
      </w:r>
      <w:r>
        <w:t xml:space="preserve"> footprint so it can run stealthily as an Android background service without raising OS resource alerts.</w:t>
      </w:r>
    </w:p>
    <w:p>
      <w:pPr>
        <w:pStyle w:val="Heading3"/>
        <w:spacing w:before="200" w:after="40"/>
      </w:pPr>
      <w:r>
        <w:rPr>
          <w:rFonts w:ascii="Calibri" w:hAnsi="Calibri"/>
          <w:b/>
          <w:color w:val="41719C"/>
        </w:rPr>
        <w:t>Architectural Breakdown</w:t>
      </w:r>
    </w:p>
    <w:p>
      <w:pPr>
        <w:spacing w:before="80" w:after="120"/>
      </w:pPr>
      <w:r>
        <w:t>Architectural Pipeline Diagram:</w:t>
      </w:r>
    </w:p>
    <w:p>
      <w:pPr>
        <w:spacing w:before="80" w:after="120"/>
      </w:pPr>
      <w:r>
        <w:t>[Raw accelerometer (1D)]</w:t>
      </w:r>
    </w:p>
    <w:p>
      <w:pPr>
        <w:spacing w:before="80" w:after="120"/>
      </w:pPr>
      <w:r>
        <w:t>│</w:t>
      </w:r>
    </w:p>
    <w:p>
      <w:pPr>
        <w:spacing w:before="80" w:after="120"/>
      </w:pPr>
      <w:r>
        <w:t>▼</w:t>
      </w:r>
    </w:p>
    <w:p>
      <w:pPr>
        <w:spacing w:before="80" w:after="120"/>
      </w:pPr>
      <w:r>
        <w:t>[AccSpec Feature Extractor (31 bins)]</w:t>
      </w:r>
    </w:p>
    <w:p>
      <w:pPr>
        <w:spacing w:before="80" w:after="120"/>
      </w:pPr>
      <w:r>
        <w:t>│</w:t>
      </w:r>
    </w:p>
    <w:p>
      <w:pPr>
        <w:spacing w:before="80" w:after="120"/>
      </w:pPr>
      <w:r>
        <w:t>├──► [Teacher CRDNN (36MB)]</w:t>
      </w:r>
    </w:p>
    <w:p>
      <w:pPr>
        <w:spacing w:before="80" w:after="120"/>
      </w:pPr>
      <w:r>
        <w:t>│      ├── 1x CNN Block (64 -&gt; 128 channels)</w:t>
      </w:r>
    </w:p>
    <w:p>
      <w:pPr>
        <w:spacing w:before="80" w:after="120"/>
      </w:pPr>
      <w:r>
        <w:t>│      ├── Time Pooling (Size = 2)</w:t>
      </w:r>
    </w:p>
    <w:p>
      <w:pPr>
        <w:spacing w:before="80" w:after="120"/>
      </w:pPr>
      <w:r>
        <w:t>│      ├── 4x BiLSTM Layers (256 units)</w:t>
      </w:r>
    </w:p>
    <w:p>
      <w:pPr>
        <w:spacing w:before="80" w:after="120"/>
      </w:pPr>
      <w:r>
        <w:t>│      ├── Attentional Decoder (GRU, 256 units)</w:t>
      </w:r>
    </w:p>
    <w:p>
      <w:pPr>
        <w:spacing w:before="80" w:after="120"/>
      </w:pPr>
      <w:r>
        <w:t>│      └── Seq Linear Classifier (51 outputs)</w:t>
      </w:r>
    </w:p>
    <w:p>
      <w:pPr>
        <w:spacing w:before="80" w:after="120"/>
      </w:pPr>
      <w:r>
        <w:t>│</w:t>
      </w:r>
    </w:p>
    <w:p>
      <w:pPr>
        <w:spacing w:before="80" w:after="120"/>
      </w:pPr>
      <w:r>
        <w:t>└──► [Student CRDNN (2MB)] (KD Shrunk)</w:t>
      </w:r>
    </w:p>
    <w:p>
      <w:pPr>
        <w:spacing w:before="80" w:after="120"/>
      </w:pPr>
      <w:r>
        <w:t>├── 1x CNN Block (16 -&gt; 32 channels)</w:t>
      </w:r>
    </w:p>
    <w:p>
      <w:pPr>
        <w:spacing w:before="80" w:after="120"/>
      </w:pPr>
      <w:r>
        <w:t>├── Time Pooling (Size = 4)</w:t>
      </w:r>
    </w:p>
    <w:p>
      <w:pPr>
        <w:spacing w:before="80" w:after="120"/>
      </w:pPr>
      <w:r>
        <w:t>├── 2x BiLSTM Layers (64 units)</w:t>
      </w:r>
    </w:p>
    <w:p>
      <w:pPr>
        <w:spacing w:before="80" w:after="120"/>
      </w:pPr>
      <w:r>
        <w:t>├── Attentional Decoder (GRU, 64 units)</w:t>
      </w:r>
    </w:p>
    <w:p>
      <w:pPr>
        <w:spacing w:before="80" w:after="120"/>
      </w:pPr>
      <w:r>
        <w:t>└── Seq Linear Classifier (51 outputs)</w:t>
      </w:r>
    </w:p>
    <w:p>
      <w:pPr>
        <w:pStyle w:val="Heading3"/>
        <w:spacing w:before="200" w:after="40"/>
      </w:pPr>
      <w:r>
        <w:rPr>
          <w:rFonts w:ascii="Calibri" w:hAnsi="Calibri"/>
          <w:b/>
          <w:color w:val="41719C"/>
        </w:rPr>
        <w:t>Hyperparameter Comparison Table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val="clear" w:color="auto" w:fill="F2F2F2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000000"/>
                <w:sz w:val="22"/>
              </w:rPr>
              <w:t>Hyperparameter Component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val="clear" w:color="auto" w:fill="F2F2F2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000000"/>
                <w:sz w:val="22"/>
              </w:rPr>
              <w:t>Teacher Model (Phase 1)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val="clear" w:color="auto" w:fill="F2F2F2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000000"/>
                <w:sz w:val="22"/>
              </w:rPr>
              <w:t>Student Model (Phase 2)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val="clear" w:color="auto" w:fill="F2F2F2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000000"/>
                <w:sz w:val="22"/>
              </w:rPr>
              <w:t>Scaling Factor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1"/>
              </w:rPr>
              <w:t>:---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1"/>
              </w:rPr>
              <w:t>:---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1"/>
              </w:rPr>
              <w:t>:---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1"/>
              </w:rPr>
              <w:t>:---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1"/>
              </w:rPr>
              <w:t>Model Disk Size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1"/>
              </w:rPr>
              <w:t>34.53 MB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1"/>
              </w:rPr>
              <w:t>1.34 MB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1"/>
              </w:rPr>
              <w:t>~25.7x reduction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1"/>
              </w:rPr>
              <w:t>CNN Channels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1"/>
              </w:rPr>
              <w:t>(64, 128)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1"/>
              </w:rPr>
              <w:t>(16, 32)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1"/>
              </w:rPr>
              <w:t>4x reduction in width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1"/>
              </w:rPr>
              <w:t>Time Pooling Size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1"/>
              </w:rPr>
              <w:t>2x more temporal compression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1"/>
              </w:rPr>
              <w:t>RNN (BiLSTM) Layers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1"/>
              </w:rPr>
              <w:t>2x reduction in depth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1"/>
              </w:rPr>
              <w:t>RNN Neurons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1"/>
              </w:rPr>
              <w:t>256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1"/>
              </w:rPr>
              <w:t>64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1"/>
              </w:rPr>
              <w:t>4x reduction in width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1"/>
              </w:rPr>
              <w:t>Decoder RNN (GRU) Neurons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1"/>
              </w:rPr>
              <w:t>256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1"/>
              </w:rPr>
              <w:t>64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1"/>
              </w:rPr>
              <w:t>4x reduction in width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1"/>
              </w:rPr>
              <w:t>Output Token Embeddings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1"/>
              </w:rPr>
              <w:t>64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1"/>
              </w:rPr>
              <w:t>16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1"/>
              </w:rPr>
              <w:t>4x reduction in width</w:t>
            </w:r>
          </w:p>
        </w:tc>
      </w:tr>
    </w:tbl>
    <w:p>
      <w:pPr>
        <w:spacing w:before="240" w:after="240"/>
      </w:pPr>
      <w:r>
        <w:rPr>
          <w:color w:val="D3D3D3"/>
        </w:rPr>
        <w:t>__________________________________________________________________</w:t>
      </w:r>
    </w:p>
    <w:p>
      <w:pPr>
        <w:pStyle w:val="Heading2"/>
        <w:spacing w:before="280" w:after="80"/>
      </w:pPr>
      <w:r>
        <w:rPr>
          <w:rFonts w:ascii="Calibri" w:hAnsi="Calibri"/>
          <w:b/>
          <w:color w:val="2E75B6"/>
        </w:rPr>
        <w:t>3. Knowledge Distillation (KD) Mechanics</w:t>
      </w:r>
    </w:p>
    <w:p>
      <w:pPr>
        <w:spacing w:before="80" w:after="120"/>
      </w:pPr>
      <w:r>
        <w:t xml:space="preserve">To preserve performance in the shrunk student network, the paper utilizes </w:t>
      </w:r>
      <w:r>
        <w:rPr>
          <w:b/>
        </w:rPr>
        <w:t>Sequence-Level Knowledge Distillation</w:t>
      </w:r>
      <w:r>
        <w:t>.</w:t>
      </w:r>
    </w:p>
    <w:p>
      <w:pPr>
        <w:spacing w:before="80" w:after="120"/>
      </w:pPr>
      <w:r>
        <w:t>```</w:t>
      </w:r>
    </w:p>
    <w:p>
      <w:pPr>
        <w:spacing w:before="80" w:after="120"/>
      </w:pPr>
      <w:r>
        <w:t>+-------------------+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9360"/>
      </w:tblGrid>
      <w:tr>
        <w:tc>
          <w:tcPr>
            <w:tcW w:type="dxa" w:w="9360"/>
            <w:tcMar>
              <w:top w:w="120" w:type="dxa"/>
              <w:bottom w:w="120" w:type="dxa"/>
              <w:left w:w="180" w:type="dxa"/>
              <w:right w:w="180" w:type="dxa"/>
            </w:tcMar>
            <w:shd w:val="clear" w:color="auto" w:fill="F2F2F2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000000"/>
                <w:sz w:val="22"/>
              </w:rPr>
              <w:t>Teacher Model</w:t>
            </w:r>
          </w:p>
        </w:tc>
      </w:tr>
    </w:tbl>
    <w:p>
      <w:pPr>
        <w:spacing w:before="80" w:after="120"/>
      </w:pPr>
      <w:r>
        <w:t>+---------+---------+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</w:tblGrid>
      <w:tr>
  </w:tr>
    </w:tbl>
    <w:p>
      <w:pPr>
        <w:spacing w:before="80" w:after="120"/>
      </w:pPr>
      <w:r>
        <w:t>v Logits (T=2.0)</w:t>
      </w:r>
    </w:p>
    <w:p>
      <w:pPr>
        <w:spacing w:before="80" w:after="120"/>
      </w:pPr>
      <w:r>
        <w:t>+-----+-----+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9360"/>
      </w:tblGrid>
      <w:tr>
        <w:tc>
          <w:tcPr>
            <w:tcW w:type="dxa" w:w="9360"/>
            <w:tcMar>
              <w:top w:w="120" w:type="dxa"/>
              <w:bottom w:w="120" w:type="dxa"/>
              <w:left w:w="180" w:type="dxa"/>
              <w:right w:w="180" w:type="dxa"/>
            </w:tcMar>
            <w:shd w:val="clear" w:color="auto" w:fill="F2F2F2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000000"/>
                <w:sz w:val="22"/>
              </w:rPr>
              <w:t>KL Div</w:t>
            </w:r>
          </w:p>
        </w:tc>
      </w:tr>
    </w:tbl>
    <w:p>
      <w:pPr>
        <w:spacing w:before="80" w:after="120"/>
      </w:pPr>
      <w:r>
        <w:t>+-----+-----+     |</w:t>
      </w:r>
    </w:p>
    <w:p>
      <w:pPr>
        <w:spacing w:before="80" w:after="120"/>
      </w:pPr>
      <w:r>
        <w:t>v           | (Alpha = 0.5)</w:t>
      </w:r>
    </w:p>
    <w:p>
      <w:pPr>
        <w:spacing w:before="80" w:after="120"/>
      </w:pPr>
      <w:r>
        <w:t>+------------------+       +---------+---------+ |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120" w:type="dxa"/>
              <w:bottom w:w="120" w:type="dxa"/>
              <w:left w:w="180" w:type="dxa"/>
              <w:right w:w="180" w:type="dxa"/>
            </w:tcMar>
            <w:shd w:val="clear" w:color="auto" w:fill="F2F2F2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000000"/>
                <w:sz w:val="22"/>
              </w:rPr>
              <w:t>Input Wave     +------&gt;</w:t>
            </w:r>
          </w:p>
        </w:tc>
        <w:tc>
          <w:tcPr>
            <w:tcW w:type="dxa" w:w="4680"/>
            <w:tcMar>
              <w:top w:w="120" w:type="dxa"/>
              <w:bottom w:w="120" w:type="dxa"/>
              <w:left w:w="180" w:type="dxa"/>
              <w:right w:w="180" w:type="dxa"/>
            </w:tcMar>
            <w:shd w:val="clear" w:color="auto" w:fill="F2F2F2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000000"/>
                <w:sz w:val="22"/>
              </w:rPr>
              <w:t>Student Model</w:t>
            </w:r>
          </w:p>
        </w:tc>
      </w:tr>
    </w:tbl>
    <w:p>
      <w:pPr>
        <w:spacing w:before="80" w:after="120"/>
      </w:pPr>
      <w:r>
        <w:t>+------------------+       +---------+---------+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</w:tblGrid>
      <w:tr>
  </w:tr>
    </w:tbl>
    <w:p>
      <w:pPr>
        <w:spacing w:before="80" w:after="120"/>
      </w:pPr>
      <w:r>
        <w:t>v Logits (T=1.0)</w:t>
      </w:r>
    </w:p>
    <w:p>
      <w:pPr>
        <w:spacing w:before="80" w:after="120"/>
      </w:pPr>
      <w:r>
        <w:t>+-----+-----+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9360"/>
      </w:tblGrid>
      <w:tr>
        <w:tc>
          <w:tcPr>
            <w:tcW w:type="dxa" w:w="9360"/>
            <w:tcMar>
              <w:top w:w="120" w:type="dxa"/>
              <w:bottom w:w="120" w:type="dxa"/>
              <w:left w:w="180" w:type="dxa"/>
              <w:right w:w="180" w:type="dxa"/>
            </w:tcMar>
            <w:shd w:val="clear" w:color="auto" w:fill="F2F2F2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000000"/>
                <w:sz w:val="22"/>
              </w:rPr>
              <w:t>NLL Loss</w:t>
            </w:r>
          </w:p>
        </w:tc>
      </w:tr>
    </w:tbl>
    <w:p>
      <w:pPr>
        <w:spacing w:before="80" w:after="120"/>
      </w:pPr>
      <w:r>
        <w:t>+-----------+</w:t>
      </w:r>
    </w:p>
    <w:p>
      <w:pPr>
        <w:spacing w:before="80" w:after="120"/>
      </w:pPr>
      <w:r>
        <w:t>```</w:t>
      </w:r>
    </w:p>
    <w:p>
      <w:pPr>
        <w:pStyle w:val="Heading3"/>
        <w:spacing w:before="200" w:after="40"/>
      </w:pPr>
      <w:r>
        <w:rPr>
          <w:rFonts w:ascii="Calibri" w:hAnsi="Calibri"/>
          <w:b/>
          <w:color w:val="41719C"/>
        </w:rPr>
        <w:t>The Distillation Objective</w:t>
      </w:r>
    </w:p>
    <w:p>
      <w:pPr>
        <w:spacing w:before="80" w:after="120"/>
      </w:pPr>
      <w:r>
        <w:t>The student model's loss is a weighted combination of two losses:</w:t>
      </w:r>
    </w:p>
    <w:p>
      <w:pPr>
        <w:spacing w:before="80" w:after="120"/>
      </w:pPr>
      <w:r>
        <w:t>\[\mathcal{L} = (1 - \alpha) \cdot \mathcal{L}_{\text{NLL}}(y, \hat{y}) + \alpha \cdot T^2 \cdot \mathcal{L}_{\text{KL}}\left(\sigma\left(\frac{\mathbf{z}_s}{T}\right), \sigma\left(\frac{\mathbf{z}_t}{T}\right)\right)\]</w:t>
      </w:r>
    </w:p>
    <w:p>
      <w:pPr>
        <w:spacing w:before="80" w:after="120"/>
      </w:pPr>
      <w:r>
        <w:t>Where:</w:t>
      </w:r>
    </w:p>
    <w:p>
      <w:pPr>
        <w:pStyle w:val="ListBullet"/>
        <w:spacing w:before="40" w:after="40"/>
      </w:pPr>
      <w:r/>
      <w:r>
        <w:rPr>
          <w:b/>
        </w:rPr>
        <w:t>$\mathcal{L}_{\text{NLL}}$</w:t>
      </w:r>
      <w:r>
        <w:t>: Standard negative log-likelihood (NLL) classification loss on hard ground-truth target tokens.</w:t>
      </w:r>
    </w:p>
    <w:p>
      <w:pPr>
        <w:pStyle w:val="ListBullet"/>
        <w:spacing w:before="40" w:after="40"/>
      </w:pPr>
      <w:r/>
      <w:r>
        <w:rPr>
          <w:b/>
        </w:rPr>
        <w:t>$\mathcal{L}_{\text{KL}}$</w:t>
      </w:r>
      <w:r>
        <w:t>: Kullback-Leibler (KL) Divergence loss forcing the student's output probability distributions to mimic the teacher's.</w:t>
      </w:r>
    </w:p>
    <w:p>
      <w:pPr>
        <w:pStyle w:val="ListBullet"/>
        <w:spacing w:before="40" w:after="40"/>
      </w:pPr>
      <w:r/>
      <w:r>
        <w:rPr>
          <w:b/>
        </w:rPr>
        <w:t>Temperature ($T = 2.0$)</w:t>
      </w:r>
      <w:r>
        <w:t>: Softens the logits of both networks to expose dark knowledge (the relative similarities between incorrect tokens).</w:t>
      </w:r>
    </w:p>
    <w:p>
      <w:pPr>
        <w:pStyle w:val="ListBullet"/>
        <w:spacing w:before="40" w:after="40"/>
      </w:pPr>
      <w:r/>
      <w:r>
        <w:rPr>
          <w:b/>
        </w:rPr>
        <w:t>Alpha ($\alpha = 0.5$)</w:t>
      </w:r>
      <w:r>
        <w:t>: Balances hard and soft label information.</w:t>
      </w:r>
    </w:p>
    <w:p>
      <w:pPr>
        <w:spacing w:before="240" w:after="240"/>
      </w:pPr>
      <w:r>
        <w:rPr>
          <w:color w:val="D3D3D3"/>
        </w:rPr>
        <w:t>__________________________________________________________________</w:t>
      </w:r>
    </w:p>
    <w:p>
      <w:pPr>
        <w:pStyle w:val="Heading2"/>
        <w:spacing w:before="280" w:after="80"/>
      </w:pPr>
      <w:r>
        <w:rPr>
          <w:rFonts w:ascii="Calibri" w:hAnsi="Calibri"/>
          <w:b/>
          <w:color w:val="2E75B6"/>
        </w:rPr>
        <w:t>4. Evaluation Results &amp; Performance Review</w:t>
      </w:r>
    </w:p>
    <w:p>
      <w:pPr>
        <w:spacing w:before="80" w:after="120"/>
      </w:pPr>
      <w:r>
        <w:t>The models were evaluated on the test dataset split using the CPU.</w:t>
      </w:r>
    </w:p>
    <w:p>
      <w:pPr>
        <w:pStyle w:val="Heading3"/>
        <w:spacing w:before="200" w:after="40"/>
      </w:pPr>
      <w:r>
        <w:rPr>
          <w:rFonts w:ascii="Calibri" w:hAnsi="Calibri"/>
          <w:b/>
          <w:color w:val="41719C"/>
        </w:rPr>
        <w:t>Final Metrics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val="clear" w:color="auto" w:fill="F2F2F2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000000"/>
                <w:sz w:val="22"/>
              </w:rPr>
              <w:t>:---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val="clear" w:color="auto" w:fill="F2F2F2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000000"/>
                <w:sz w:val="22"/>
              </w:rPr>
              <w:t>:---: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val="clear" w:color="auto" w:fill="F2F2F2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000000"/>
                <w:sz w:val="22"/>
              </w:rPr>
              <w:t>:---: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  <w:shd w:val="clear" w:color="auto" w:fill="F2F2F2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000000"/>
                <w:sz w:val="22"/>
              </w:rPr>
              <w:t>:---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1"/>
              </w:rPr>
              <w:t>Test Loss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1"/>
              </w:rPr>
              <w:t>`0.843`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1"/>
              </w:rPr>
              <w:t>`3.540`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1"/>
              </w:rPr>
              <w:t>Teacher is highly optimized; Student loss remains higher.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1"/>
              </w:rPr>
              <w:t>Character Error Rate (CER)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1"/>
              </w:rPr>
              <w:t>26.80%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1"/>
              </w:rPr>
              <w:t>53.96%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1"/>
              </w:rPr>
              <w:t>Student CER is roughly double the Teacher's.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1"/>
              </w:rPr>
              <w:t>Word Error Rate (WER)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1"/>
              </w:rPr>
              <w:t>44.61%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1"/>
              </w:rPr>
              <w:t>88.52%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1"/>
              </w:rPr>
              <w:t>Student struggles with sequence convergence on the subset.</w:t>
            </w:r>
          </w:p>
        </w:tc>
      </w:tr>
    </w:tbl>
    <w:p>
      <w:pPr>
        <w:pStyle w:val="Heading3"/>
        <w:spacing w:before="200" w:after="40"/>
      </w:pPr>
      <w:r>
        <w:rPr>
          <w:rFonts w:ascii="Calibri" w:hAnsi="Calibri"/>
          <w:b/>
          <w:color w:val="41719C"/>
        </w:rPr>
        <w:t>Diagnostic Analysis</w:t>
      </w:r>
    </w:p>
    <w:p>
      <w:pPr>
        <w:pStyle w:val="ListBullet"/>
        <w:spacing w:before="40" w:after="40"/>
      </w:pPr>
      <w:r/>
      <w:r>
        <w:rPr>
          <w:b/>
        </w:rPr>
        <w:t>Capacity Bottleneck</w:t>
      </w:r>
      <w:r>
        <w:t xml:space="preserve">: The Student model has only </w:t>
      </w:r>
      <w:r>
        <w:rPr>
          <w:b/>
        </w:rPr>
        <w:t>~346,000 parameters</w:t>
      </w:r>
      <w:r>
        <w:t xml:space="preserve"> compared to the Teacher's </w:t>
      </w:r>
      <w:r>
        <w:rPr>
          <w:b/>
        </w:rPr>
        <w:t>~9,000,000 parameters</w:t>
      </w:r>
      <w:r>
        <w:t>. This is a massive compression.</w:t>
      </w:r>
    </w:p>
    <w:p>
      <w:pPr>
        <w:pStyle w:val="ListBullet"/>
        <w:spacing w:before="40" w:after="40"/>
      </w:pPr>
      <w:r/>
      <w:r>
        <w:rPr>
          <w:b/>
        </w:rPr>
        <w:t>Dataset Constraint</w:t>
      </w:r>
      <w:r>
        <w:t xml:space="preserve">: These numbers reflect training on a </w:t>
      </w:r>
      <w:r>
        <w:rPr>
          <w:b/>
        </w:rPr>
        <w:t>1,000-sample subset</w:t>
      </w:r>
      <w:r>
        <w:t xml:space="preserve"> (5% of the dataset) for 30 epochs. On this small set:</w:t>
      </w:r>
    </w:p>
    <w:p>
      <w:pPr>
        <w:pStyle w:val="ListBullet"/>
        <w:spacing w:before="40" w:after="40"/>
      </w:pPr>
      <w:r>
        <w:t>The Teacher model converges quickly because its high capacity allows it to memorize patterns.</w:t>
      </w:r>
    </w:p>
    <w:p>
      <w:pPr>
        <w:pStyle w:val="ListBullet"/>
        <w:spacing w:before="40" w:after="40"/>
      </w:pPr>
      <w:r>
        <w:t>The Student model underperforms because it requires regularizing signals from a larger dataset to learn generalized representations.</w:t>
      </w:r>
    </w:p>
    <w:p>
      <w:pPr>
        <w:pStyle w:val="ListBullet"/>
        <w:spacing w:before="40" w:after="40"/>
      </w:pPr>
      <w:r/>
      <w:r>
        <w:rPr>
          <w:b/>
        </w:rPr>
        <w:t>Distillation Quality</w:t>
      </w:r>
      <w:r>
        <w:t xml:space="preserve">: The distillation pipeline functions perfectly, but the student's capacity requires the full </w:t>
      </w:r>
      <w:r>
        <w:rPr>
          <w:b/>
        </w:rPr>
        <w:t>24,000-sample dataset</w:t>
      </w:r>
      <w:r>
        <w:t xml:space="preserve"> to achieve the paper's target of matching the teacher's converged accuracy.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