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1F4E78"/>
        </w:rPr>
        <w:t>StealthyIMU Model Review &amp; Architectural Comparison</w:t>
      </w:r>
    </w:p>
    <w:p>
      <w:pPr>
        <w:spacing w:before="80" w:after="120"/>
      </w:pPr>
      <w:r>
        <w:t xml:space="preserve">This review provides a deep-dive analysis of the </w:t>
      </w:r>
      <w:r>
        <w:rPr>
          <w:b/>
        </w:rPr>
        <w:t>Teacher (Phase 1)</w:t>
      </w:r>
      <w:r>
        <w:t xml:space="preserve"> and </w:t>
      </w:r>
      <w:r>
        <w:rPr>
          <w:b/>
        </w:rPr>
        <w:t>Student (Phase 2)</w:t>
      </w:r>
      <w:r>
        <w:t xml:space="preserve"> architectures replication for the StealthyIMU voice assistant privacy threat (NDSS 2023).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E75B6"/>
        </w:rPr>
        <w:t>1. Task Definition &amp; Input Representation</w:t>
      </w:r>
    </w:p>
    <w:p>
      <w:pPr>
        <w:spacing w:before="80" w:after="120"/>
      </w:pPr>
      <w:r>
        <w:t xml:space="preserve">The StealthyIMU framework is designed as a </w:t>
      </w:r>
      <w:r>
        <w:rPr>
          <w:b/>
        </w:rPr>
        <w:t>Spoken Language Understanding (SLU)</w:t>
      </w:r>
      <w:r>
        <w:t xml:space="preserve"> model. Instead of maps of audio signals, it maps smartphone motion sensor signals (specifically, 3D accelerometer signals) directly to VUI command semantics (e.g., actions and entities).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Feature Extraction Pipeline (`AccSpec` Feature Extractor)</w:t>
      </w:r>
    </w:p>
    <w:p>
      <w:pPr>
        <w:pStyle w:val="ListBullet"/>
        <w:spacing w:before="40" w:after="40"/>
      </w:pPr>
      <w:r/>
      <w:r>
        <w:rPr>
          <w:b/>
        </w:rPr>
        <w:t>Input</w:t>
      </w:r>
      <w:r>
        <w:t>: Raw 1D accelerometer signal (specifically, the Z-axis, sub-sampled at $500\text{ Hz}$).</w:t>
      </w:r>
    </w:p>
    <w:p>
      <w:pPr>
        <w:pStyle w:val="ListBullet"/>
        <w:spacing w:before="40" w:after="40"/>
      </w:pPr>
      <w:r/>
      <w:r>
        <w:rPr>
          <w:b/>
        </w:rPr>
        <w:t>Spectrogram Parameters</w:t>
      </w:r>
      <w:r>
        <w:t>:</w:t>
      </w:r>
    </w:p>
    <w:p>
      <w:pPr>
        <w:pStyle w:val="ListBullet"/>
        <w:spacing w:before="40" w:after="40"/>
      </w:pPr>
      <w:r>
        <w:t>Window Length (`n_win_length`): $80$ samples ($160\text{ ms}$)</w:t>
      </w:r>
    </w:p>
    <w:p>
      <w:pPr>
        <w:pStyle w:val="ListBullet"/>
        <w:spacing w:before="40" w:after="40"/>
      </w:pPr>
      <w:r>
        <w:t>Hop Length (`n_hop_length`): $20$ samples ($40\text{ ms}$)</w:t>
      </w:r>
    </w:p>
    <w:p>
      <w:pPr>
        <w:pStyle w:val="ListBullet"/>
        <w:spacing w:before="40" w:after="40"/>
      </w:pPr>
      <w:r>
        <w:t>FFT size (`n_fft`): $80$</w:t>
      </w:r>
    </w:p>
    <w:p>
      <w:pPr>
        <w:pStyle w:val="ListBullet"/>
        <w:spacing w:before="40" w:after="40"/>
      </w:pPr>
      <w:r>
        <w:t>Log-spectrogram features (`n_feature`): $31$ bins</w:t>
      </w:r>
    </w:p>
    <w:p>
      <w:pPr>
        <w:pStyle w:val="ListBullet"/>
        <w:spacing w:before="40" w:after="40"/>
      </w:pPr>
      <w:r/>
      <w:r>
        <w:rPr>
          <w:b/>
        </w:rPr>
        <w:t>Normalization</w:t>
      </w:r>
      <w:r>
        <w:t>: Global instance normalization.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E75B6"/>
        </w:rPr>
        <w:t>2. Model Architecture Comparison</w:t>
      </w:r>
    </w:p>
    <w:p>
      <w:pPr>
        <w:spacing w:before="80" w:after="120"/>
      </w:pPr>
      <w:r>
        <w:t xml:space="preserve">The primary challenge of the paper is shrinking the massive seq2seq SLU model down to a </w:t>
      </w:r>
      <w:r>
        <w:rPr>
          <w:b/>
        </w:rPr>
        <w:t>2MB</w:t>
      </w:r>
      <w:r>
        <w:t xml:space="preserve"> footprint so it can run stealthily as an Android background service without raising OS resource alerts.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Architectural Breakdown</w:t>
      </w:r>
    </w:p>
    <w:p>
      <w:pPr>
        <w:spacing w:before="80" w:after="120"/>
      </w:pPr>
      <w:r>
        <w:t>Architectural Pipeline Diagram:</w:t>
      </w:r>
    </w:p>
    <w:p>
      <w:pPr>
        <w:spacing w:before="80" w:after="120"/>
      </w:pPr>
      <w:r>
        <w:t>[Raw accelerometer (1D)]</w:t>
      </w:r>
    </w:p>
    <w:p>
      <w:pPr>
        <w:spacing w:before="80" w:after="120"/>
      </w:pPr>
      <w:r>
        <w:t>│</w:t>
      </w:r>
    </w:p>
    <w:p>
      <w:pPr>
        <w:spacing w:before="80" w:after="120"/>
      </w:pPr>
      <w:r>
        <w:t>▼</w:t>
      </w:r>
    </w:p>
    <w:p>
      <w:pPr>
        <w:spacing w:before="80" w:after="120"/>
      </w:pPr>
      <w:r>
        <w:t>[AccSpec Feature Extractor (31 bins)]</w:t>
      </w:r>
    </w:p>
    <w:p>
      <w:pPr>
        <w:spacing w:before="80" w:after="120"/>
      </w:pPr>
      <w:r>
        <w:t>│</w:t>
      </w:r>
    </w:p>
    <w:p>
      <w:pPr>
        <w:spacing w:before="80" w:after="120"/>
      </w:pPr>
      <w:r>
        <w:t>├──► [Teacher CRDNN (36MB)]</w:t>
      </w:r>
    </w:p>
    <w:p>
      <w:pPr>
        <w:spacing w:before="80" w:after="120"/>
      </w:pPr>
      <w:r>
        <w:t>│      ├── 1x CNN Block (64 -&gt; 128 channels)</w:t>
      </w:r>
    </w:p>
    <w:p>
      <w:pPr>
        <w:spacing w:before="80" w:after="120"/>
      </w:pPr>
      <w:r>
        <w:t>│      ├── Time Pooling (Size = 2)</w:t>
      </w:r>
    </w:p>
    <w:p>
      <w:pPr>
        <w:spacing w:before="80" w:after="120"/>
      </w:pPr>
      <w:r>
        <w:t>│      ├── 4x BiLSTM Layers (256 units)</w:t>
      </w:r>
    </w:p>
    <w:p>
      <w:pPr>
        <w:spacing w:before="80" w:after="120"/>
      </w:pPr>
      <w:r>
        <w:t>│      ├── Attentional Decoder (GRU, 256 units)</w:t>
      </w:r>
    </w:p>
    <w:p>
      <w:pPr>
        <w:spacing w:before="80" w:after="120"/>
      </w:pPr>
      <w:r>
        <w:t>│      └── Seq Linear Classifier (51 outputs)</w:t>
      </w:r>
    </w:p>
    <w:p>
      <w:pPr>
        <w:spacing w:before="80" w:after="120"/>
      </w:pPr>
      <w:r>
        <w:t>│</w:t>
      </w:r>
    </w:p>
    <w:p>
      <w:pPr>
        <w:spacing w:before="80" w:after="120"/>
      </w:pPr>
      <w:r>
        <w:t>└──► [Student CRDNN (2MB)] (KD Shrunk)</w:t>
      </w:r>
    </w:p>
    <w:p>
      <w:pPr>
        <w:spacing w:before="80" w:after="120"/>
      </w:pPr>
      <w:r>
        <w:t>├── 1x CNN Block (16 -&gt; 32 channels)</w:t>
      </w:r>
    </w:p>
    <w:p>
      <w:pPr>
        <w:spacing w:before="80" w:after="120"/>
      </w:pPr>
      <w:r>
        <w:t>├── Time Pooling (Size = 4)</w:t>
      </w:r>
    </w:p>
    <w:p>
      <w:pPr>
        <w:spacing w:before="80" w:after="120"/>
      </w:pPr>
      <w:r>
        <w:t>├── 2x BiLSTM Layers (64 units)</w:t>
      </w:r>
    </w:p>
    <w:p>
      <w:pPr>
        <w:spacing w:before="80" w:after="120"/>
      </w:pPr>
      <w:r>
        <w:t>├── Attentional Decoder (GRU, 64 units)</w:t>
      </w:r>
    </w:p>
    <w:p>
      <w:pPr>
        <w:spacing w:before="80" w:after="120"/>
      </w:pPr>
      <w:r>
        <w:t>└── Seq Linear Classifier (51 outputs)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Hyperparameter Comparison Table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Hyperparameter Component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Teacher Model (Phase 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Student Model (Phase 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Scaling Factor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Model Disk Size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34.53 MB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1.34 MB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~25.7x reduction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CNN Channels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(64, 128)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(16, 32)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4x reduction in width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Time Pooling Size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2x more temporal compression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RNN (BiLSTM) Layers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2x reduction in depth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RNN Neurons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256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64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4x reduction in width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Decoder RNN (GRU) Neurons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256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64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4x reduction in width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Output Token Embeddings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64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16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4x reduction in width</w:t>
            </w:r>
          </w:p>
        </w:tc>
      </w:tr>
    </w:tbl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E75B6"/>
        </w:rPr>
        <w:t>3. Knowledge Distillation (KD) Mechanics</w:t>
      </w:r>
    </w:p>
    <w:p>
      <w:pPr>
        <w:spacing w:before="80" w:after="120"/>
      </w:pPr>
      <w:r>
        <w:t xml:space="preserve">To preserve performance in the shrunk student network, the paper utilizes </w:t>
      </w:r>
      <w:r>
        <w:rPr>
          <w:b/>
        </w:rPr>
        <w:t>Sequence-Level Knowledge Distillation</w:t>
      </w:r>
      <w:r>
        <w:t>.</w:t>
      </w:r>
    </w:p>
    <w:p>
      <w:pPr>
        <w:spacing w:before="80" w:after="120"/>
      </w:pPr>
      <w:r>
        <w:t>```</w:t>
      </w:r>
    </w:p>
    <w:p>
      <w:pPr>
        <w:spacing w:before="80" w:after="120"/>
      </w:pPr>
      <w:r>
        <w:t>+-------------------+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Teacher Model</w:t>
            </w:r>
          </w:p>
        </w:tc>
      </w:tr>
    </w:tbl>
    <w:p>
      <w:pPr>
        <w:spacing w:before="80" w:after="120"/>
      </w:pPr>
      <w:r>
        <w:t>+---------+---------+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</w:tblGrid>
      <w:tr>
  </w:tr>
    </w:tbl>
    <w:p>
      <w:pPr>
        <w:spacing w:before="80" w:after="120"/>
      </w:pPr>
      <w:r>
        <w:t>v Logits (T=2.0)</w:t>
      </w:r>
    </w:p>
    <w:p>
      <w:pPr>
        <w:spacing w:before="80" w:after="120"/>
      </w:pPr>
      <w:r>
        <w:t>+-----+-----+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KL Div</w:t>
            </w:r>
          </w:p>
        </w:tc>
      </w:tr>
    </w:tbl>
    <w:p>
      <w:pPr>
        <w:spacing w:before="80" w:after="120"/>
      </w:pPr>
      <w:r>
        <w:t>+-----+-----+     |</w:t>
      </w:r>
    </w:p>
    <w:p>
      <w:pPr>
        <w:spacing w:before="80" w:after="120"/>
      </w:pPr>
      <w:r>
        <w:t>v           | (Alpha = 0.5)</w:t>
      </w:r>
    </w:p>
    <w:p>
      <w:pPr>
        <w:spacing w:before="80" w:after="120"/>
      </w:pPr>
      <w:r>
        <w:t>+------------------+       +---------+---------+ |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Input Wave     +------&gt;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Student Model</w:t>
            </w:r>
          </w:p>
        </w:tc>
      </w:tr>
    </w:tbl>
    <w:p>
      <w:pPr>
        <w:spacing w:before="80" w:after="120"/>
      </w:pPr>
      <w:r>
        <w:t>+------------------+       +---------+---------+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</w:tblGrid>
      <w:tr>
  </w:tr>
    </w:tbl>
    <w:p>
      <w:pPr>
        <w:spacing w:before="80" w:after="120"/>
      </w:pPr>
      <w:r>
        <w:t>v Logits (T=1.0)</w:t>
      </w:r>
    </w:p>
    <w:p>
      <w:pPr>
        <w:spacing w:before="80" w:after="120"/>
      </w:pPr>
      <w:r>
        <w:t>+-----+-----+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NLL Loss</w:t>
            </w:r>
          </w:p>
        </w:tc>
      </w:tr>
    </w:tbl>
    <w:p>
      <w:pPr>
        <w:spacing w:before="80" w:after="120"/>
      </w:pPr>
      <w:r>
        <w:t>+-----------+</w:t>
      </w:r>
    </w:p>
    <w:p>
      <w:pPr>
        <w:spacing w:before="80" w:after="120"/>
      </w:pPr>
      <w:r>
        <w:t>```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The Distillation Objective</w:t>
      </w:r>
    </w:p>
    <w:p>
      <w:pPr>
        <w:spacing w:before="80" w:after="120"/>
      </w:pPr>
      <w:r>
        <w:t>The student model's loss is a weighted combination of two losses:</w:t>
      </w:r>
    </w:p>
    <w:p>
      <w:pPr>
        <w:spacing w:before="80" w:after="120"/>
      </w:pPr>
      <w:r>
        <w:t>\[\mathcal{L} = (1 - \alpha) \cdot \mathcal{L}_{\text{NLL}}(y, \hat{y}) + \alpha \cdot T^2 \cdot \mathcal{L}_{\text{KL}}\left(\sigma\left(\frac{\mathbf{z}_s}{T}\right), \sigma\left(\frac{\mathbf{z}_t}{T}\right)\right)\]</w:t>
      </w:r>
    </w:p>
    <w:p>
      <w:pPr>
        <w:spacing w:before="80" w:after="120"/>
      </w:pPr>
      <w:r>
        <w:t>Where:</w:t>
      </w:r>
    </w:p>
    <w:p>
      <w:pPr>
        <w:pStyle w:val="ListBullet"/>
        <w:spacing w:before="40" w:after="40"/>
      </w:pPr>
      <w:r/>
      <w:r>
        <w:rPr>
          <w:b/>
        </w:rPr>
        <w:t>$\mathcal{L}_{\text{NLL}}$</w:t>
      </w:r>
      <w:r>
        <w:t>: Standard negative log-likelihood (NLL) classification loss on hard ground-truth target tokens.</w:t>
      </w:r>
    </w:p>
    <w:p>
      <w:pPr>
        <w:pStyle w:val="ListBullet"/>
        <w:spacing w:before="40" w:after="40"/>
      </w:pPr>
      <w:r/>
      <w:r>
        <w:rPr>
          <w:b/>
        </w:rPr>
        <w:t>$\mathcal{L}_{\text{KL}}$</w:t>
      </w:r>
      <w:r>
        <w:t>: Kullback-Leibler (KL) Divergence loss forcing the student's output probability distributions to mimic the teacher's.</w:t>
      </w:r>
    </w:p>
    <w:p>
      <w:pPr>
        <w:pStyle w:val="ListBullet"/>
        <w:spacing w:before="40" w:after="40"/>
      </w:pPr>
      <w:r/>
      <w:r>
        <w:rPr>
          <w:b/>
        </w:rPr>
        <w:t>Temperature ($T = 2.0$)</w:t>
      </w:r>
      <w:r>
        <w:t>: Softens the logits of both networks to expose dark knowledge (the relative similarities between incorrect tokens).</w:t>
      </w:r>
    </w:p>
    <w:p>
      <w:pPr>
        <w:pStyle w:val="ListBullet"/>
        <w:spacing w:before="40" w:after="40"/>
      </w:pPr>
      <w:r/>
      <w:r>
        <w:rPr>
          <w:b/>
        </w:rPr>
        <w:t>Alpha ($\alpha = 0.5$)</w:t>
      </w:r>
      <w:r>
        <w:t>: Balances hard and soft label information.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E75B6"/>
        </w:rPr>
        <w:t>4. Evaluation Results &amp; Performance Review</w:t>
      </w:r>
    </w:p>
    <w:p>
      <w:pPr>
        <w:spacing w:before="80" w:after="120"/>
      </w:pPr>
      <w:r>
        <w:t>The models are evaluated using metrics designed for Spoken Language Understanding (SLU) rather than standard ASR-based error rates, as the ultimate goal is VUI entity extraction:</w:t>
      </w:r>
    </w:p>
    <w:p>
      <w:pPr>
        <w:pStyle w:val="ListBullet"/>
        <w:spacing w:before="40" w:after="40"/>
      </w:pPr>
      <w:r/>
      <w:r>
        <w:rPr>
          <w:b/>
        </w:rPr>
        <w:t>Type Error Rate (TER)</w:t>
      </w:r>
      <w:r>
        <w:t>: Checks if the model correctly classifies the intent/type of the VUI response (e.g. weather, reminder, stock).</w:t>
      </w:r>
    </w:p>
    <w:p>
      <w:pPr>
        <w:pStyle w:val="ListBullet"/>
        <w:spacing w:before="40" w:after="40"/>
      </w:pPr>
      <w:r/>
      <w:r>
        <w:rPr>
          <w:b/>
        </w:rPr>
        <w:t>Sentence Error Rate (SER)</w:t>
      </w:r>
      <w:r>
        <w:t>: Evaluates if the entire output sentence/semantics are correctly predicted.</w:t>
      </w:r>
    </w:p>
    <w:p>
      <w:pPr>
        <w:pStyle w:val="ListBullet"/>
        <w:spacing w:before="40" w:after="40"/>
      </w:pPr>
      <w:r/>
      <w:r>
        <w:rPr>
          <w:b/>
        </w:rPr>
        <w:t>Semantic Entity Error Rate (SEER / Slot Error Rate)</w:t>
      </w:r>
      <w:r>
        <w:t>: Measures the accuracy of extracting the target private entity (such as contact names, location slots, or dates).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Comparative Evaluation (Full Dataset Results)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Evaluation Metric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Baseline SLU Model (Teacher)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Distilled SLU+KD Model (Student)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2F2F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2"/>
              </w:rPr>
              <w:t>Key Takeaway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:---: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:---: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:---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Model Size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34.53 MB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1.34 MB - 3.80 MB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Compressed down to fit in memory-constrained IoT background services.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Type Error Rate (TER)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0.00%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0.00%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Both models achieve perfect intent classification.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Sentence Error Rate (SER)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16.50%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14.45%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The Student model outperforms the baseline Teacher model by 2.05%.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Semantic Entity Error Rate (SEER)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8.50%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8.46%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1"/>
              </w:rPr>
              <w:t>Distilled Student achieves slightly better slot extraction accuracy.</w:t>
            </w:r>
          </w:p>
        </w:tc>
      </w:tr>
    </w:tbl>
    <w:p>
      <w:pPr>
        <w:pStyle w:val="Heading3"/>
        <w:spacing w:before="200" w:after="40"/>
      </w:pPr>
      <w:r>
        <w:rPr>
          <w:rFonts w:ascii="Calibri" w:hAnsi="Calibri"/>
          <w:b/>
          <w:color w:val="41719C"/>
        </w:rPr>
        <w:t>Diagnostic Analysis &amp; Paper Insights</w:t>
      </w:r>
    </w:p>
    <w:p>
      <w:pPr>
        <w:pStyle w:val="ListBullet"/>
        <w:spacing w:before="40" w:after="40"/>
      </w:pPr>
      <w:r/>
      <w:r>
        <w:rPr>
          <w:b/>
        </w:rPr>
        <w:t>Cross-Modality Knowledge Transfer</w:t>
      </w:r>
      <w:r>
        <w:t>: The Student model (trained on noisy, $500\text{ Hz}$ motion sensor signals) outperforms the baseline Teacher model when trained using Knowledge Distillation. The speech-based Teacher model possesses rich, clean semantic boundaries. Transferring this "dark knowledge" through soft logits ($T = 2.0$) provides regularizing guidance that helps the Student overcome noisy sensor signals.</w:t>
      </w:r>
    </w:p>
    <w:p>
      <w:pPr>
        <w:pStyle w:val="ListBullet"/>
        <w:spacing w:before="40" w:after="40"/>
      </w:pPr>
      <w:r/>
      <w:r>
        <w:rPr>
          <w:b/>
        </w:rPr>
        <w:t>Avoidance of ASR Bottleneck</w:t>
      </w:r>
      <w:r>
        <w:t>: Traditional ASR+NLU approaches achieve poor accuracy (~68% Word Error Rate) because motion sensor signals lack high-frequency components necessary to reconstruct clear audio. The end-to-end SLU approach sidesteps text reconstruction entirely, mapping motion features directly to semantic structures.</w:t>
      </w:r>
    </w:p>
    <w:p>
      <w:pPr>
        <w:pStyle w:val="ListBullet"/>
        <w:spacing w:before="40" w:after="40"/>
      </w:pPr>
      <w:r/>
      <w:r>
        <w:rPr>
          <w:b/>
        </w:rPr>
        <w:t>High-Efficiency Stealth</w:t>
      </w:r>
      <w:r>
        <w:t>: Distillation allows the model parameter count to be compressed from ~9,000,000 down to ~346,000 parameters. This enables the background service to run on mobile devices consuming less than 1% battery, making the side-channel attack highly practical.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