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微软雅黑" w:hAnsi="微软雅黑" w:eastAsia="微软雅黑" w:cs="微软雅黑"/>
          <w:sz w:val="22"/>
          <w:szCs w:val="22"/>
          <w:lang w:eastAsia="zh-CN"/>
        </w:rPr>
        <w:t>任务：通过前端设计好的接口，编写</w:t>
      </w:r>
      <w:r>
        <w:rPr>
          <w:rFonts w:ascii="Calibri" w:hAnsi="Calibri" w:cs="Calibri"/>
          <w:sz w:val="22"/>
          <w:szCs w:val="22"/>
          <w:lang w:val="en-US"/>
        </w:rPr>
        <w:t>openapi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文档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完成步骤：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、打开</w:t>
      </w:r>
      <w:r>
        <w:rPr>
          <w:rFonts w:hint="default" w:ascii="Calibri" w:hAnsi="Calibri" w:cs="Calibri"/>
          <w:sz w:val="22"/>
          <w:szCs w:val="22"/>
          <w:lang w:val="en-US"/>
        </w:rPr>
        <w:t>vscode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终端，切换虚拟环境（</w:t>
      </w:r>
      <w:r>
        <w:rPr>
          <w:rFonts w:hint="default" w:ascii="Calibri" w:hAnsi="Calibri" w:cs="Calibri"/>
          <w:sz w:val="22"/>
          <w:szCs w:val="22"/>
          <w:lang w:val="en-US"/>
        </w:rPr>
        <w:t>&amp; C:/Users/c/.virtualenvs/backend-RRbrloVB/Scripts/Activate.ps1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、开后端（</w:t>
      </w:r>
      <w:r>
        <w:rPr>
          <w:rFonts w:hint="default" w:ascii="Calibri" w:hAnsi="Calibri" w:cs="Calibri"/>
          <w:sz w:val="22"/>
          <w:szCs w:val="22"/>
          <w:lang w:val="en-US"/>
        </w:rPr>
        <w:t>python manage.py runserver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），开前端（</w:t>
      </w:r>
      <w:r>
        <w:rPr>
          <w:rFonts w:hint="default" w:ascii="Calibri" w:hAnsi="Calibri" w:cs="Calibri"/>
          <w:sz w:val="22"/>
          <w:szCs w:val="22"/>
          <w:lang w:val="en-US"/>
        </w:rPr>
        <w:t>npm run serve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3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、打开</w:t>
      </w:r>
      <w:r>
        <w:rPr>
          <w:rFonts w:hint="default" w:ascii="Calibri" w:hAnsi="Calibri" w:cs="Calibri"/>
          <w:sz w:val="22"/>
          <w:szCs w:val="22"/>
          <w:lang w:val="en-US"/>
        </w:rPr>
        <w:t>localhost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网页，登录，写博客，保存（</w:t>
      </w:r>
      <w:r>
        <w:rPr>
          <w:rFonts w:hint="default" w:ascii="Calibri" w:hAnsi="Calibri" w:cs="Calibri"/>
          <w:sz w:val="22"/>
          <w:szCs w:val="22"/>
          <w:lang w:val="en-US"/>
        </w:rPr>
        <w:t>article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），查看博客列表，点击感叹号（</w:t>
      </w:r>
      <w:r>
        <w:rPr>
          <w:rFonts w:hint="default" w:ascii="Calibri" w:hAnsi="Calibri" w:cs="Calibri"/>
          <w:sz w:val="22"/>
          <w:szCs w:val="22"/>
          <w:lang w:val="en-US"/>
        </w:rPr>
        <w:t>article&lt;pk&gt;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4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、开发者模式</w:t>
      </w:r>
      <w:r>
        <w:rPr>
          <w:rFonts w:hint="default" w:ascii="Calibri" w:hAnsi="Calibri" w:cs="Calibri"/>
          <w:sz w:val="22"/>
          <w:szCs w:val="22"/>
          <w:lang w:val="en-US"/>
        </w:rPr>
        <w:t>network-&gt;SHR-&gt;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点击</w:t>
      </w:r>
      <w:r>
        <w:rPr>
          <w:rFonts w:hint="default" w:ascii="Calibri" w:hAnsi="Calibri" w:cs="Calibri"/>
          <w:sz w:val="22"/>
          <w:szCs w:val="22"/>
          <w:lang w:val="en-US"/>
        </w:rPr>
        <w:t>name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中的</w:t>
      </w:r>
      <w:r>
        <w:rPr>
          <w:rFonts w:hint="default" w:ascii="Calibri" w:hAnsi="Calibri" w:cs="Calibri"/>
          <w:sz w:val="22"/>
          <w:szCs w:val="22"/>
          <w:lang w:val="en-US"/>
        </w:rPr>
        <w:t>article/article&lt;pk&gt;,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通过查看</w:t>
      </w:r>
      <w:r>
        <w:rPr>
          <w:rFonts w:hint="default" w:ascii="Calibri" w:hAnsi="Calibri" w:cs="Calibri"/>
          <w:sz w:val="22"/>
          <w:szCs w:val="22"/>
          <w:lang w:val="en-US"/>
        </w:rPr>
        <w:t>Header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和</w:t>
      </w:r>
      <w:r>
        <w:rPr>
          <w:rFonts w:hint="default" w:ascii="Calibri" w:hAnsi="Calibri" w:cs="Calibri"/>
          <w:sz w:val="22"/>
          <w:szCs w:val="22"/>
          <w:lang w:val="en-US"/>
        </w:rPr>
        <w:t>Preview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查看接口的传输格式，</w:t>
      </w:r>
      <w:r>
        <w:rPr>
          <w:rFonts w:hint="default" w:ascii="Calibri" w:hAnsi="Calibri" w:cs="Calibri"/>
          <w:sz w:val="22"/>
          <w:szCs w:val="22"/>
          <w:lang w:val="en-US"/>
        </w:rPr>
        <w:t>data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内容等信息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5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、在</w:t>
      </w:r>
      <w:r>
        <w:rPr>
          <w:rFonts w:hint="default" w:ascii="Calibri" w:hAnsi="Calibri" w:cs="Calibri"/>
          <w:sz w:val="22"/>
          <w:szCs w:val="22"/>
          <w:lang w:val="en-US"/>
        </w:rPr>
        <w:t>openapi.yaml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文件中编写相关的接口（因为法像这两个接口的</w:t>
      </w:r>
      <w:r>
        <w:rPr>
          <w:rFonts w:hint="default" w:ascii="Calibri" w:hAnsi="Calibri" w:cs="Calibri"/>
          <w:sz w:val="22"/>
          <w:szCs w:val="22"/>
          <w:lang w:val="en-US"/>
        </w:rPr>
        <w:t>data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内容一致，我就使用了同一个对象）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6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、保存编辑的</w:t>
      </w:r>
      <w:r>
        <w:rPr>
          <w:rFonts w:hint="default" w:ascii="Calibri" w:hAnsi="Calibri" w:cs="Calibri"/>
          <w:sz w:val="22"/>
          <w:szCs w:val="22"/>
          <w:lang w:val="en-US"/>
        </w:rPr>
        <w:t>openapi.yaml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文件。重启</w:t>
      </w:r>
      <w:r>
        <w:rPr>
          <w:rFonts w:hint="default" w:ascii="Calibri" w:hAnsi="Calibri" w:cs="Calibri"/>
          <w:sz w:val="22"/>
          <w:szCs w:val="22"/>
          <w:lang w:val="en-US"/>
        </w:rPr>
        <w:t>mock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（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npm run mock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  <w:r>
        <w:rPr>
          <w:rFonts w:hint="default" w:ascii="Calibri" w:hAnsi="Calibri" w:cs="Calibri"/>
          <w:sz w:val="22"/>
          <w:szCs w:val="22"/>
          <w:lang w:val="en-US"/>
        </w:rPr>
        <w:t>,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可以看到编写的接口，同时在图形化界面进行测试接口</w:t>
      </w:r>
    </w:p>
    <w:p>
      <w:r>
        <w:drawing>
          <wp:inline distT="0" distB="0" distL="114300" distR="114300">
            <wp:extent cx="5269230" cy="487489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7</w:t>
      </w:r>
      <w:r>
        <w:rPr>
          <w:rFonts w:ascii="微软雅黑" w:hAnsi="微软雅黑" w:eastAsia="微软雅黑" w:cs="微软雅黑"/>
          <w:sz w:val="22"/>
          <w:szCs w:val="22"/>
          <w:lang w:eastAsia="zh-CN"/>
        </w:rPr>
        <w:t>、测试过程图片（把</w:t>
      </w:r>
      <w:r>
        <w:rPr>
          <w:rFonts w:hint="default" w:ascii="Calibri" w:hAnsi="Calibri" w:cs="Calibri"/>
          <w:sz w:val="22"/>
          <w:szCs w:val="22"/>
          <w:lang w:val="en-US"/>
        </w:rPr>
        <w:t>&lt;pk&gt;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换成</w:t>
      </w:r>
      <w:r>
        <w:rPr>
          <w:rFonts w:hint="default" w:ascii="Calibri" w:hAnsi="Calibri" w:cs="Calibri"/>
          <w:sz w:val="22"/>
          <w:szCs w:val="22"/>
          <w:lang w:val="en-US"/>
        </w:rPr>
        <w:t>{id}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）</w:t>
      </w:r>
    </w:p>
    <w:p>
      <w:r>
        <w:drawing>
          <wp:inline distT="0" distB="0" distL="114300" distR="114300">
            <wp:extent cx="5266055" cy="1008380"/>
            <wp:effectExtent l="0" t="0" r="698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B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2021-05-14T13:54:00Z</dcterms:created>
  <dc:creator>c</dc:creator>
  <cp:lastModifiedBy>hire</cp:lastModifiedBy>
  <dcterms:modified xsi:type="dcterms:W3CDTF">2021-05-14T13:55:58Z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83BD8A260D32470196176A9478FA362D</vt:lpwstr>
  </property>
</Properties>
</file>