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300" w:type="dxa"/>
        <w:tblLayout w:type="fixed"/>
        <w:tblCellMar>
          <w:top w:w="240" w:type="dxa"/>
          <w:left w:w="300" w:type="dxa"/>
          <w:bottom w:w="240" w:type="dxa"/>
          <w:right w:w="300" w:type="dxa"/>
        </w:tblCellMar>
        <w:tblLook w:firstRow="1" w:noVBand="1" w:lastRow="0" w:firstColumn="1" w:lastColumn="0" w:noHBand="0" w:val="04a0"/>
      </w:tblPr>
      <w:tblGrid>
        <w:gridCol w:w="9360"/>
      </w:tblGrid>
      <w:tr>
        <w:trPr/>
        <w:tc>
          <w:tcPr>
            <w:tcW w:w="9360" w:type="dxa"/>
            <w:tcBorders/>
            <w:shd w:color="auto" w:fill="0E0E0E" w:val="clear"/>
          </w:tcPr>
          <w:p>
            <w:pPr>
              <w:pStyle w:val="Normal"/>
              <w:widowControl w:val="false"/>
              <w:rPr/>
            </w:pPr>
            <w:r>
              <w:rPr>
                <w:b/>
                <w:bCs/>
                <w:color w:val="FFFFFF"/>
                <w:sz w:val="56"/>
                <w:szCs w:val="56"/>
              </w:rPr>
              <w:t xml:space="preserve">BEC </w:t>
            </w:r>
            <w:r>
              <w:rPr>
                <w:b/>
                <w:bCs/>
                <w:color w:val="F07A22"/>
                <w:sz w:val="56"/>
                <w:szCs w:val="56"/>
              </w:rPr>
              <w:t>INVESTIGATION REPORT</w:t>
            </w:r>
          </w:p>
          <w:p>
            <w:pPr>
              <w:pStyle w:val="Normal"/>
              <w:widowControl w:val="false"/>
              <w:spacing w:before="80" w:after="0"/>
              <w:rPr/>
            </w:pPr>
            <w:r>
              <w:rPr>
                <w:color w:val="888888"/>
                <w:sz w:val="18"/>
                <w:szCs w:val="18"/>
              </w:rPr>
              <w:t>SOC Simulation Project  //  WDLabs  //  Microsoft 365 UAL Investigation</w:t>
            </w:r>
          </w:p>
        </w:tc>
      </w:tr>
    </w:tbl>
    <w:p>
      <w:pPr>
        <w:pStyle w:val="Normal"/>
        <w:spacing w:before="0" w:after="320"/>
        <w:rPr/>
      </w:pPr>
      <w:r>
        <w:rPr/>
      </w:r>
    </w:p>
    <w:p>
      <w:pPr>
        <w:pStyle w:val="Heading1"/>
        <w:pBdr>
          <w:bottom w:val="single" w:sz="8" w:space="4" w:color="F07A22"/>
        </w:pBdr>
        <w:rPr/>
      </w:pPr>
      <w:r>
        <w:rPr/>
        <w:t>Case Details</w:t>
      </w:r>
    </w:p>
    <w:tbl>
      <w:tblPr>
        <w:tblW w:w="9360" w:type="dxa"/>
        <w:jc w:val="left"/>
        <w:tblInd w:w="122" w:type="dxa"/>
        <w:tblLayout w:type="fixed"/>
        <w:tblCellMar>
          <w:top w:w="80" w:type="dxa"/>
          <w:left w:w="120" w:type="dxa"/>
          <w:bottom w:w="80" w:type="dxa"/>
          <w:right w:w="120" w:type="dxa"/>
        </w:tblCellMar>
        <w:tblLook w:firstRow="1" w:noVBand="1" w:lastRow="0" w:firstColumn="1" w:lastColumn="0" w:noHBand="0" w:val="04a0"/>
      </w:tblPr>
      <w:tblGrid>
        <w:gridCol w:w="2199"/>
        <w:gridCol w:w="7160"/>
      </w:tblGrid>
      <w:tr>
        <w:trPr/>
        <w:tc>
          <w:tcPr>
            <w:tcW w:w="2199" w:type="dxa"/>
            <w:tcBorders>
              <w:top w:val="single" w:sz="2" w:space="0" w:color="DDDDDD"/>
              <w:left w:val="single" w:sz="2" w:space="0" w:color="DDDDDD"/>
              <w:bottom w:val="single" w:sz="2" w:space="0" w:color="DDDDDD"/>
              <w:right w:val="single" w:sz="2" w:space="0" w:color="DDDDDD"/>
            </w:tcBorders>
            <w:shd w:color="auto" w:fill="F7F7F7" w:val="clear"/>
          </w:tcPr>
          <w:p>
            <w:pPr>
              <w:pStyle w:val="Normal"/>
              <w:widowControl w:val="false"/>
              <w:rPr/>
            </w:pPr>
            <w:r>
              <w:rPr>
                <w:b/>
                <w:bCs/>
                <w:sz w:val="20"/>
                <w:szCs w:val="20"/>
              </w:rPr>
              <w:t>Case Name</w:t>
            </w:r>
          </w:p>
        </w:tc>
        <w:tc>
          <w:tcPr>
            <w:tcW w:w="71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Project Victoria</w:t>
            </w:r>
          </w:p>
        </w:tc>
      </w:tr>
      <w:tr>
        <w:trPr/>
        <w:tc>
          <w:tcPr>
            <w:tcW w:w="2199" w:type="dxa"/>
            <w:tcBorders>
              <w:top w:val="single" w:sz="2" w:space="0" w:color="DDDDDD"/>
              <w:left w:val="single" w:sz="2" w:space="0" w:color="DDDDDD"/>
              <w:bottom w:val="single" w:sz="2" w:space="0" w:color="DDDDDD"/>
              <w:right w:val="single" w:sz="2" w:space="0" w:color="DDDDDD"/>
            </w:tcBorders>
            <w:shd w:color="auto" w:fill="F7F7F7" w:val="clear"/>
          </w:tcPr>
          <w:p>
            <w:pPr>
              <w:pStyle w:val="Normal"/>
              <w:widowControl w:val="false"/>
              <w:rPr/>
            </w:pPr>
            <w:r>
              <w:rPr>
                <w:b/>
                <w:bCs/>
                <w:sz w:val="20"/>
                <w:szCs w:val="20"/>
              </w:rPr>
              <w:t>Affected Account(s)</w:t>
            </w:r>
          </w:p>
        </w:tc>
        <w:tc>
          <w:tcPr>
            <w:tcW w:w="71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 xml:space="preserve">Naomi Hunter (targeted counterparty), </w:t>
              <w:br/>
              <w:t>Donald Anderson (compromised)</w:t>
            </w:r>
          </w:p>
        </w:tc>
      </w:tr>
      <w:tr>
        <w:trPr/>
        <w:tc>
          <w:tcPr>
            <w:tcW w:w="2199" w:type="dxa"/>
            <w:tcBorders>
              <w:top w:val="single" w:sz="2" w:space="0" w:color="DDDDDD"/>
              <w:left w:val="single" w:sz="2" w:space="0" w:color="DDDDDD"/>
              <w:bottom w:val="single" w:sz="2" w:space="0" w:color="DDDDDD"/>
              <w:right w:val="single" w:sz="2" w:space="0" w:color="DDDDDD"/>
            </w:tcBorders>
            <w:shd w:color="auto" w:fill="F7F7F7" w:val="clear"/>
          </w:tcPr>
          <w:p>
            <w:pPr>
              <w:pStyle w:val="Normal"/>
              <w:widowControl w:val="false"/>
              <w:rPr/>
            </w:pPr>
            <w:r>
              <w:rPr>
                <w:b/>
                <w:bCs/>
                <w:sz w:val="20"/>
                <w:szCs w:val="20"/>
              </w:rPr>
              <w:t>Incident Date Range</w:t>
            </w:r>
          </w:p>
        </w:tc>
        <w:tc>
          <w:tcPr>
            <w:tcW w:w="71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color w:val="BBBBBB"/>
                <w:sz w:val="20"/>
                <w:szCs w:val="20"/>
              </w:rPr>
              <w:t>2026-03-07  —  2026-03-15</w:t>
            </w:r>
          </w:p>
        </w:tc>
      </w:tr>
      <w:tr>
        <w:trPr/>
        <w:tc>
          <w:tcPr>
            <w:tcW w:w="2199" w:type="dxa"/>
            <w:tcBorders>
              <w:top w:val="single" w:sz="2" w:space="0" w:color="DDDDDD"/>
              <w:left w:val="single" w:sz="2" w:space="0" w:color="DDDDDD"/>
              <w:bottom w:val="single" w:sz="2" w:space="0" w:color="DDDDDD"/>
              <w:right w:val="single" w:sz="2" w:space="0" w:color="DDDDDD"/>
            </w:tcBorders>
            <w:shd w:color="auto" w:fill="F7F7F7" w:val="clear"/>
          </w:tcPr>
          <w:p>
            <w:pPr>
              <w:pStyle w:val="Normal"/>
              <w:widowControl w:val="false"/>
              <w:rPr/>
            </w:pPr>
            <w:r>
              <w:rPr>
                <w:b/>
                <w:bCs/>
                <w:sz w:val="20"/>
                <w:szCs w:val="20"/>
              </w:rPr>
              <w:t>Investigation Date</w:t>
            </w:r>
          </w:p>
        </w:tc>
        <w:tc>
          <w:tcPr>
            <w:tcW w:w="71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color w:val="BBBBBB"/>
                <w:sz w:val="20"/>
                <w:szCs w:val="20"/>
              </w:rPr>
              <w:t>2026-03-15</w:t>
            </w:r>
          </w:p>
        </w:tc>
      </w:tr>
      <w:tr>
        <w:trPr/>
        <w:tc>
          <w:tcPr>
            <w:tcW w:w="2199" w:type="dxa"/>
            <w:tcBorders>
              <w:top w:val="single" w:sz="2" w:space="0" w:color="DDDDDD"/>
              <w:left w:val="single" w:sz="2" w:space="0" w:color="DDDDDD"/>
              <w:bottom w:val="single" w:sz="2" w:space="0" w:color="DDDDDD"/>
              <w:right w:val="single" w:sz="2" w:space="0" w:color="DDDDDD"/>
            </w:tcBorders>
            <w:shd w:color="auto" w:fill="F7F7F7" w:val="clear"/>
          </w:tcPr>
          <w:p>
            <w:pPr>
              <w:pStyle w:val="Normal"/>
              <w:widowControl w:val="false"/>
              <w:rPr/>
            </w:pPr>
            <w:r>
              <w:rPr>
                <w:b/>
                <w:bCs/>
                <w:sz w:val="20"/>
                <w:szCs w:val="20"/>
              </w:rPr>
              <w:t>Analyst</w:t>
            </w:r>
          </w:p>
        </w:tc>
        <w:tc>
          <w:tcPr>
            <w:tcW w:w="71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Kristijan</w:t>
            </w:r>
          </w:p>
        </w:tc>
      </w:tr>
    </w:tbl>
    <w:p>
      <w:pPr>
        <w:pStyle w:val="Normal"/>
        <w:spacing w:before="0" w:after="240"/>
        <w:rPr/>
      </w:pPr>
      <w:r>
        <w:rPr/>
      </w:r>
    </w:p>
    <w:p>
      <w:pPr>
        <w:pStyle w:val="Heading1"/>
        <w:pBdr>
          <w:bottom w:val="single" w:sz="8" w:space="4" w:color="F07A22"/>
        </w:pBdr>
        <w:rPr/>
      </w:pPr>
      <w:r>
        <w:rPr/>
        <w:t>Attack Narrative (Executive Summary)</w:t>
      </w:r>
    </w:p>
    <w:p>
      <w:pPr>
        <w:pStyle w:val="TextBody"/>
        <w:spacing w:before="0" w:after="80"/>
        <w:rPr/>
      </w:pPr>
      <w:r>
        <w:rPr/>
        <w:t>Between 7 and 10 March 2026, an unauthorised party gained access to the email account of Donald Anderson and used it to attempt a business email compromise (BEC) — a fraud in which an attacker, operating from a legitimate internal account, conducts deceptive correspondence with a third party. Over this period the account was accessed from multiple external IP addresses inconsistent with the user's normal activity.</w:t>
      </w:r>
    </w:p>
    <w:p>
      <w:pPr>
        <w:pStyle w:val="TextBody"/>
        <w:rPr/>
      </w:pPr>
      <w:r>
        <w:rPr/>
        <w:t>Early in the intrusion, the attacker created a hidden mailbox rule designed to conceal incoming replies from the targeted correspondent (Naomi Hunter), ensuring the legitimate account owner would not see the fraudulent exchange. The attacker then accessed and downloaded a number of files from SharePoint, created and sent an email titled "Report" from the compromised account, and subsequently deleted the sent message to avoid detection — behaviour consistent with a deliberate, staged operation rather than opportunistic access.</w:t>
      </w:r>
    </w:p>
    <w:p>
      <w:pPr>
        <w:pStyle w:val="TextBody"/>
        <w:rPr/>
      </w:pPr>
      <w:r>
        <w:rPr/>
        <w:t>The activity went undetected for approximately five days until 15 March 2026, when a suspicious email reported to the administrator prompted investigation. The compromised account was contained and its password reset. The mechanism of initial access and whether any downloaded data left the environment remain under review.</w:t>
      </w:r>
    </w:p>
    <w:p>
      <w:pPr>
        <w:pStyle w:val="Heading1"/>
        <w:pBdr>
          <w:bottom w:val="single" w:sz="8" w:space="4" w:color="F07A22"/>
        </w:pBdr>
        <w:rPr/>
      </w:pPr>
      <w:r>
        <w:rPr/>
        <w:t>Timeline of Events</w:t>
      </w:r>
    </w:p>
    <w:p>
      <w:pPr>
        <w:pStyle w:val="Normal"/>
        <w:spacing w:before="0" w:after="80"/>
        <w:rPr/>
      </w:pPr>
      <w:r>
        <w:rPr/>
      </w:r>
    </w:p>
    <w:tbl>
      <w:tblPr>
        <w:tblW w:w="9360" w:type="dxa"/>
        <w:jc w:val="left"/>
        <w:tblInd w:w="122" w:type="dxa"/>
        <w:tblLayout w:type="fixed"/>
        <w:tblCellMar>
          <w:top w:w="100" w:type="dxa"/>
          <w:left w:w="120" w:type="dxa"/>
          <w:bottom w:w="100" w:type="dxa"/>
          <w:right w:w="120" w:type="dxa"/>
        </w:tblCellMar>
        <w:tblLook w:firstRow="1" w:noVBand="1" w:lastRow="0" w:firstColumn="1" w:lastColumn="0" w:noHBand="0" w:val="04a0"/>
      </w:tblPr>
      <w:tblGrid>
        <w:gridCol w:w="1798"/>
        <w:gridCol w:w="2802"/>
        <w:gridCol w:w="4760"/>
      </w:tblGrid>
      <w:tr>
        <w:trPr>
          <w:tblHeader w:val="true"/>
        </w:trPr>
        <w:tc>
          <w:tcPr>
            <w:tcW w:w="1798" w:type="dxa"/>
            <w:tcBorders>
              <w:top w:val="single" w:sz="2" w:space="0" w:color="DDDDDD"/>
              <w:left w:val="single" w:sz="2" w:space="0" w:color="DDDDDD"/>
              <w:bottom w:val="single" w:sz="2" w:space="0" w:color="DDDDDD"/>
              <w:right w:val="single" w:sz="2" w:space="0" w:color="DDDDDD"/>
            </w:tcBorders>
            <w:shd w:color="auto" w:fill="0E0E0E" w:val="clear"/>
          </w:tcPr>
          <w:p>
            <w:pPr>
              <w:pStyle w:val="Normal"/>
              <w:widowControl w:val="false"/>
              <w:rPr/>
            </w:pPr>
            <w:r>
              <w:rPr>
                <w:b/>
                <w:bCs/>
                <w:color w:val="F07A22"/>
                <w:sz w:val="20"/>
                <w:szCs w:val="20"/>
              </w:rPr>
              <w:t>Time (GMT 10+)</w:t>
            </w:r>
          </w:p>
        </w:tc>
        <w:tc>
          <w:tcPr>
            <w:tcW w:w="2802" w:type="dxa"/>
            <w:tcBorders>
              <w:top w:val="single" w:sz="2" w:space="0" w:color="DDDDDD"/>
              <w:left w:val="single" w:sz="2" w:space="0" w:color="DDDDDD"/>
              <w:bottom w:val="single" w:sz="2" w:space="0" w:color="DDDDDD"/>
              <w:right w:val="single" w:sz="2" w:space="0" w:color="DDDDDD"/>
            </w:tcBorders>
            <w:shd w:color="auto" w:fill="0E0E0E" w:val="clear"/>
          </w:tcPr>
          <w:p>
            <w:pPr>
              <w:pStyle w:val="Normal"/>
              <w:widowControl w:val="false"/>
              <w:rPr/>
            </w:pPr>
            <w:r>
              <w:rPr>
                <w:b/>
                <w:bCs/>
                <w:color w:val="F07A22"/>
                <w:sz w:val="20"/>
                <w:szCs w:val="20"/>
              </w:rPr>
              <w:t>Activity</w:t>
            </w:r>
          </w:p>
        </w:tc>
        <w:tc>
          <w:tcPr>
            <w:tcW w:w="4760" w:type="dxa"/>
            <w:tcBorders>
              <w:top w:val="single" w:sz="2" w:space="0" w:color="DDDDDD"/>
              <w:left w:val="single" w:sz="2" w:space="0" w:color="DDDDDD"/>
              <w:bottom w:val="single" w:sz="2" w:space="0" w:color="DDDDDD"/>
              <w:right w:val="single" w:sz="2" w:space="0" w:color="DDDDDD"/>
            </w:tcBorders>
            <w:shd w:color="auto" w:fill="0E0E0E" w:val="clear"/>
          </w:tcPr>
          <w:p>
            <w:pPr>
              <w:pStyle w:val="Normal"/>
              <w:widowControl w:val="false"/>
              <w:rPr/>
            </w:pPr>
            <w:r>
              <w:rPr>
                <w:b/>
                <w:bCs/>
                <w:color w:val="F07A22"/>
                <w:sz w:val="20"/>
                <w:szCs w:val="20"/>
              </w:rPr>
              <w:t>Detail</w:t>
            </w:r>
          </w:p>
        </w:tc>
      </w:tr>
      <w:tr>
        <w:trPr>
          <w:trHeight w:val="500" w:hRule="atLeast"/>
        </w:trPr>
        <w:tc>
          <w:tcPr>
            <w:tcW w:w="1798"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7 March 2026</w:t>
            </w:r>
          </w:p>
          <w:p>
            <w:pPr>
              <w:pStyle w:val="Normal"/>
              <w:widowControl w:val="false"/>
              <w:rPr/>
            </w:pPr>
            <w:r>
              <w:rPr/>
              <w:t>12:49:55 PM.</w:t>
            </w:r>
          </w:p>
        </w:tc>
        <w:tc>
          <w:tcPr>
            <w:tcW w:w="2802"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First unauthorised sign-in using the Donald account.</w:t>
            </w:r>
          </w:p>
        </w:tc>
        <w:tc>
          <w:tcPr>
            <w:tcW w:w="47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IP: 54[.]206[.]115[.]107</w:t>
            </w:r>
          </w:p>
          <w:p>
            <w:pPr>
              <w:pStyle w:val="Normal"/>
              <w:widowControl w:val="false"/>
              <w:rPr/>
            </w:pPr>
            <w:r>
              <w:rPr/>
              <w:t>Client: donald[.]anderson[@]wdlabs[.]com[.]au</w:t>
            </w:r>
          </w:p>
          <w:p>
            <w:pPr>
              <w:pStyle w:val="Normal"/>
              <w:widowControl w:val="false"/>
              <w:rPr/>
            </w:pPr>
            <w:r>
              <w:rPr/>
              <w:t>Extra contexts: Signed in via OWA, opening the Donald account mailbox for initial access.</w:t>
            </w:r>
          </w:p>
          <w:p>
            <w:pPr>
              <w:pStyle w:val="Normal"/>
              <w:widowControl w:val="false"/>
              <w:rPr/>
            </w:pPr>
            <w:r>
              <w:rPr/>
            </w:r>
          </w:p>
        </w:tc>
      </w:tr>
      <w:tr>
        <w:trPr>
          <w:trHeight w:val="500" w:hRule="atLeast"/>
        </w:trPr>
        <w:tc>
          <w:tcPr>
            <w:tcW w:w="1798"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9 March 2026 5:01:07 PM – 5:10:45 PM.</w:t>
            </w:r>
          </w:p>
        </w:tc>
        <w:tc>
          <w:tcPr>
            <w:tcW w:w="2802"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Donald’s account accessed 5 emails.</w:t>
            </w:r>
          </w:p>
        </w:tc>
        <w:tc>
          <w:tcPr>
            <w:tcW w:w="47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IP: 91[.]217[.]249[.]193</w:t>
            </w:r>
          </w:p>
          <w:p>
            <w:pPr>
              <w:pStyle w:val="Normal"/>
              <w:widowControl w:val="false"/>
              <w:rPr/>
            </w:pPr>
            <w:r>
              <w:rPr/>
              <w:t>Client: donald[.]anderson[@]wdlabs[.]com[.]au</w:t>
            </w:r>
          </w:p>
          <w:p>
            <w:pPr>
              <w:pStyle w:val="Normal"/>
              <w:widowControl w:val="false"/>
              <w:rPr/>
            </w:pPr>
            <w:r>
              <w:rPr/>
              <w:t>Extra contexts: Donald account observed accessing multiple different emails to observe for reconnaissance to gather information about the victim asset.</w:t>
            </w:r>
          </w:p>
        </w:tc>
      </w:tr>
      <w:tr>
        <w:trPr>
          <w:trHeight w:val="500" w:hRule="atLeast"/>
        </w:trPr>
        <w:tc>
          <w:tcPr>
            <w:tcW w:w="1798"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9 March 2026</w:t>
            </w:r>
          </w:p>
          <w:p>
            <w:pPr>
              <w:pStyle w:val="Normal"/>
              <w:widowControl w:val="false"/>
              <w:rPr/>
            </w:pPr>
            <w:r>
              <w:rPr/>
              <w:t>5:10:45 PM</w:t>
            </w:r>
          </w:p>
        </w:tc>
        <w:tc>
          <w:tcPr>
            <w:tcW w:w="2802"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Among emails being accessed Donald account created new Inbox Rule</w:t>
            </w:r>
          </w:p>
        </w:tc>
        <w:tc>
          <w:tcPr>
            <w:tcW w:w="47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IP: 91[.]217[.]249[.]193:17130</w:t>
            </w:r>
          </w:p>
          <w:p>
            <w:pPr>
              <w:pStyle w:val="Normal"/>
              <w:widowControl w:val="false"/>
              <w:rPr/>
            </w:pPr>
            <w:r>
              <w:rPr/>
              <w:t>Client: donald[.]anderson[@]wdlabs[.]com[.]au</w:t>
            </w:r>
          </w:p>
          <w:p>
            <w:pPr>
              <w:pStyle w:val="Normal"/>
              <w:widowControl w:val="false"/>
              <w:rPr/>
            </w:pPr>
            <w:r>
              <w:rPr/>
              <w:t>Extra contexts: Email rule was created called “.” to move emails from Naomi account to RSS feeds and Mark as Read. This means if Donald glanced at the folder list, nothing would draw his eye.</w:t>
            </w:r>
          </w:p>
          <w:p>
            <w:pPr>
              <w:pStyle w:val="Normal"/>
              <w:widowControl w:val="false"/>
              <w:rPr/>
            </w:pPr>
            <w:r>
              <w:rPr/>
            </w:r>
          </w:p>
          <w:p>
            <w:pPr>
              <w:pStyle w:val="Normal"/>
              <w:widowControl w:val="false"/>
              <w:rPr/>
            </w:pPr>
            <w:r>
              <w:rPr/>
              <w:t>Additionally, the unauthorised party made sure to prevent further rules from applying to surface the mail when it has been intentionally hidden by this first rule.</w:t>
            </w:r>
            <w:r>
              <w:rPr>
                <w:b/>
                <w:bCs/>
              </w:rPr>
              <w:t xml:space="preserve"> </w:t>
            </w:r>
            <w:hyperlink r:id="rId2">
              <w:r>
                <w:rPr>
                  <w:rStyle w:val="InternetLink"/>
                  <w:b/>
                  <w:bCs/>
                </w:rPr>
                <w:t xml:space="preserve">T1564.008 </w:t>
              </w:r>
            </w:hyperlink>
            <w:hyperlink r:id="rId3">
              <w:r>
                <w:rPr>
                  <w:rStyle w:val="InternetLink"/>
                  <w:b/>
                  <w:bCs/>
                </w:rPr>
                <w:t>—</w:t>
              </w:r>
            </w:hyperlink>
            <w:hyperlink r:id="rId4">
              <w:r>
                <w:rPr>
                  <w:rStyle w:val="InternetLink"/>
                  <w:b/>
                  <w:bCs/>
                </w:rPr>
                <w:t>(Email Hiding Rules)</w:t>
              </w:r>
            </w:hyperlink>
          </w:p>
        </w:tc>
      </w:tr>
      <w:tr>
        <w:trPr>
          <w:trHeight w:val="500" w:hRule="atLeast"/>
        </w:trPr>
        <w:tc>
          <w:tcPr>
            <w:tcW w:w="1798"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09 March 2026</w:t>
              <w:br/>
              <w:t>5:20:28 PM – 5:26:38 PM</w:t>
            </w:r>
          </w:p>
        </w:tc>
        <w:tc>
          <w:tcPr>
            <w:tcW w:w="2802"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Donald’s account accessed the company SharePoint</w:t>
            </w:r>
          </w:p>
        </w:tc>
        <w:tc>
          <w:tcPr>
            <w:tcW w:w="47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IP: 45[.]133[.]5[.]24</w:t>
              <w:br/>
              <w:t>Client: donald[.]anderson[@]wdlabs[.]com[.]au</w:t>
            </w:r>
          </w:p>
          <w:p>
            <w:pPr>
              <w:pStyle w:val="Normal"/>
              <w:widowControl w:val="false"/>
              <w:rPr/>
            </w:pPr>
            <w:r>
              <w:rPr/>
              <w:t>Extra contexts: The Donald account searched and downloaded various company SharePoint files.</w:t>
            </w:r>
          </w:p>
        </w:tc>
      </w:tr>
      <w:tr>
        <w:trPr>
          <w:trHeight w:val="500" w:hRule="atLeast"/>
        </w:trPr>
        <w:tc>
          <w:tcPr>
            <w:tcW w:w="1798"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10 March 2026</w:t>
              <w:br/>
              <w:t>7:33:45 PM</w:t>
            </w:r>
          </w:p>
        </w:tc>
        <w:tc>
          <w:tcPr>
            <w:tcW w:w="2802"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Donald’s account authored an unauthorised email</w:t>
            </w:r>
          </w:p>
        </w:tc>
        <w:tc>
          <w:tcPr>
            <w:tcW w:w="47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IP: 104[.]234[.]32[.]142</w:t>
            </w:r>
          </w:p>
          <w:p>
            <w:pPr>
              <w:pStyle w:val="Normal"/>
              <w:widowControl w:val="false"/>
              <w:rPr/>
            </w:pPr>
            <w:r>
              <w:rPr/>
              <w:t>Client: donald[.]anderson[@]wdlabs[.]com[.]au</w:t>
            </w:r>
          </w:p>
          <w:p>
            <w:pPr>
              <w:pStyle w:val="Normal"/>
              <w:widowControl w:val="false"/>
              <w:rPr/>
            </w:pPr>
            <w:r>
              <w:rPr/>
              <w:t>Extra contexts: The Donald account created a email with Exchange Item ID “LgAAAAB7v8slKtVETrcRaS1f5gjaAQADbzpKDkyFTZHbmG6YAd29AAAAAAEPAAAB” in the Drafts folder of the Donald account mailbox.</w:t>
            </w:r>
          </w:p>
        </w:tc>
      </w:tr>
      <w:tr>
        <w:trPr>
          <w:trHeight w:val="500" w:hRule="atLeast"/>
        </w:trPr>
        <w:tc>
          <w:tcPr>
            <w:tcW w:w="1798"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10 March 2026</w:t>
            </w:r>
          </w:p>
          <w:p>
            <w:pPr>
              <w:pStyle w:val="Normal"/>
              <w:widowControl w:val="false"/>
              <w:rPr/>
            </w:pPr>
            <w:r>
              <w:rPr/>
              <w:t>7:43:34PM – 7:44:37PM</w:t>
            </w:r>
          </w:p>
        </w:tc>
        <w:tc>
          <w:tcPr>
            <w:tcW w:w="2802"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Donald’s account accessed SharePoint and viewed recently used/created documents</w:t>
            </w:r>
          </w:p>
        </w:tc>
        <w:tc>
          <w:tcPr>
            <w:tcW w:w="47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IP: 173[.]239[.]229[.]83</w:t>
            </w:r>
          </w:p>
          <w:p>
            <w:pPr>
              <w:pStyle w:val="Normal"/>
              <w:widowControl w:val="false"/>
              <w:rPr/>
            </w:pPr>
            <w:r>
              <w:rPr/>
              <w:t>Client: donald[.]anderson[@]wdlabs[.]com[.]au</w:t>
            </w:r>
          </w:p>
          <w:p>
            <w:pPr>
              <w:pStyle w:val="Normal"/>
              <w:widowControl w:val="false"/>
              <w:rPr/>
            </w:pPr>
            <w:r>
              <w:rPr/>
              <w:t>Extra contexts: The Donald account performed reconnaissance against SharePoint, using Donald’s recent-document history to identify high-value content and enumerating SitePages by author to map internal roles and relationships which is consistent with target selection for a Business Email Compromise.</w:t>
            </w:r>
          </w:p>
          <w:p>
            <w:pPr>
              <w:pStyle w:val="Normal"/>
              <w:widowControl w:val="false"/>
              <w:rPr/>
            </w:pPr>
            <w:hyperlink r:id="rId5">
              <w:r>
                <w:rPr>
                  <w:rStyle w:val="InternetLink"/>
                  <w:b/>
                  <w:bCs/>
                </w:rPr>
                <w:t>T1213 — Data from Information Repositories</w:t>
              </w:r>
            </w:hyperlink>
          </w:p>
          <w:p>
            <w:pPr>
              <w:pStyle w:val="Normal"/>
              <w:widowControl w:val="false"/>
              <w:rPr/>
            </w:pPr>
            <w:hyperlink r:id="rId6">
              <w:r>
                <w:rPr>
                  <w:rStyle w:val="InternetLink"/>
                  <w:b/>
                  <w:bCs/>
                </w:rPr>
                <w:t>T1087 — Account Discovery</w:t>
              </w:r>
            </w:hyperlink>
          </w:p>
        </w:tc>
      </w:tr>
      <w:tr>
        <w:trPr>
          <w:trHeight w:val="500" w:hRule="atLeast"/>
        </w:trPr>
        <w:tc>
          <w:tcPr>
            <w:tcW w:w="1798"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10 March 2026 7:51:40 PM</w:t>
            </w:r>
          </w:p>
        </w:tc>
        <w:tc>
          <w:tcPr>
            <w:tcW w:w="2802"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Suspicious email sent</w:t>
            </w:r>
          </w:p>
        </w:tc>
        <w:tc>
          <w:tcPr>
            <w:tcW w:w="47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An email titled ‘Report’ was sent from the account (Send), from 104[.]234[.]32[.]143. The fraudulent message to the counterparty Naomi Hunter appears to be the objective of the BEC.</w:t>
            </w:r>
          </w:p>
        </w:tc>
      </w:tr>
      <w:tr>
        <w:trPr>
          <w:trHeight w:val="500" w:hRule="atLeast"/>
        </w:trPr>
        <w:tc>
          <w:tcPr>
            <w:tcW w:w="1798"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10 March 2026 8:15:56 PM</w:t>
            </w:r>
          </w:p>
        </w:tc>
        <w:tc>
          <w:tcPr>
            <w:tcW w:w="2802"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Sent item deleted</w:t>
            </w:r>
          </w:p>
        </w:tc>
        <w:tc>
          <w:tcPr>
            <w:tcW w:w="4760" w:type="dxa"/>
            <w:tcBorders>
              <w:top w:val="single" w:sz="2" w:space="0" w:color="DDDDDD"/>
              <w:left w:val="single" w:sz="2" w:space="0" w:color="DDDDDD"/>
              <w:bottom w:val="single" w:sz="2" w:space="0" w:color="DDDDDD"/>
              <w:right w:val="single" w:sz="2" w:space="0" w:color="DDDDDD"/>
            </w:tcBorders>
          </w:tcPr>
          <w:p>
            <w:pPr>
              <w:pStyle w:val="Normal"/>
              <w:widowControl w:val="false"/>
              <w:rPr/>
            </w:pPr>
            <w:r>
              <w:rPr/>
              <w:t>An item was moved to Deleted Items (MoveToDeletedItems), from 104[.]234[.]32[.]143. Send-then-delete is concealment, consistent with the earlier inbox-rule behaviour.</w:t>
            </w:r>
          </w:p>
        </w:tc>
      </w:tr>
      <w:tr>
        <w:trPr>
          <w:trHeight w:val="500" w:hRule="atLeast"/>
        </w:trPr>
        <w:tc>
          <w:tcPr>
            <w:tcW w:w="1798" w:type="dxa"/>
            <w:tcBorders>
              <w:left w:val="single" w:sz="2" w:space="0" w:color="DDDDDD"/>
              <w:bottom w:val="single" w:sz="2" w:space="0" w:color="DDDDDD"/>
              <w:right w:val="single" w:sz="2" w:space="0" w:color="DDDDDD"/>
            </w:tcBorders>
          </w:tcPr>
          <w:p>
            <w:pPr>
              <w:pStyle w:val="Normal"/>
              <w:widowControl w:val="false"/>
              <w:rPr/>
            </w:pPr>
            <w:r>
              <w:rPr/>
              <w:t>15 March 2026 3:07:37 PM</w:t>
            </w:r>
          </w:p>
        </w:tc>
        <w:tc>
          <w:tcPr>
            <w:tcW w:w="2802" w:type="dxa"/>
            <w:tcBorders>
              <w:left w:val="single" w:sz="2" w:space="0" w:color="DDDDDD"/>
              <w:bottom w:val="single" w:sz="2" w:space="0" w:color="DDDDDD"/>
              <w:right w:val="single" w:sz="2" w:space="0" w:color="DDDDDD"/>
            </w:tcBorders>
          </w:tcPr>
          <w:p>
            <w:pPr>
              <w:pStyle w:val="Normal"/>
              <w:widowControl w:val="false"/>
              <w:rPr/>
            </w:pPr>
            <w:r>
              <w:rPr/>
              <w:t>Detection</w:t>
            </w:r>
          </w:p>
        </w:tc>
        <w:tc>
          <w:tcPr>
            <w:tcW w:w="4760" w:type="dxa"/>
            <w:tcBorders>
              <w:left w:val="single" w:sz="2" w:space="0" w:color="DDDDDD"/>
              <w:bottom w:val="single" w:sz="2" w:space="0" w:color="DDDDDD"/>
              <w:right w:val="single" w:sz="2" w:space="0" w:color="DDDDDD"/>
            </w:tcBorders>
          </w:tcPr>
          <w:p>
            <w:pPr>
              <w:pStyle w:val="Normal"/>
              <w:widowControl w:val="false"/>
              <w:rPr/>
            </w:pPr>
            <w:r>
              <w:rPr/>
              <w:t>Admin Dalan began investigating a report of a suspicious email from Donald Anderson to Naomi Hunter. ~5 days between last attacker activity (10 Mar) and detection.</w:t>
            </w:r>
          </w:p>
        </w:tc>
      </w:tr>
      <w:tr>
        <w:trPr>
          <w:trHeight w:val="500" w:hRule="atLeast"/>
        </w:trPr>
        <w:tc>
          <w:tcPr>
            <w:tcW w:w="1798" w:type="dxa"/>
            <w:tcBorders>
              <w:left w:val="single" w:sz="2" w:space="0" w:color="DDDDDD"/>
              <w:bottom w:val="single" w:sz="2" w:space="0" w:color="DDDDDD"/>
              <w:right w:val="single" w:sz="2" w:space="0" w:color="DDDDDD"/>
            </w:tcBorders>
          </w:tcPr>
          <w:p>
            <w:pPr>
              <w:pStyle w:val="TimeP"/>
              <w:widowControl w:val="false"/>
              <w:rPr/>
            </w:pPr>
            <w:r>
              <w:rPr/>
              <w:t>—</w:t>
            </w:r>
          </w:p>
        </w:tc>
        <w:tc>
          <w:tcPr>
            <w:tcW w:w="2802" w:type="dxa"/>
            <w:tcBorders>
              <w:left w:val="single" w:sz="2" w:space="0" w:color="DDDDDD"/>
              <w:bottom w:val="single" w:sz="2" w:space="0" w:color="DDDDDD"/>
              <w:right w:val="single" w:sz="2" w:space="0" w:color="DDDDDD"/>
            </w:tcBorders>
          </w:tcPr>
          <w:p>
            <w:pPr>
              <w:pStyle w:val="Normal"/>
              <w:widowControl w:val="false"/>
              <w:rPr/>
            </w:pPr>
            <w:r>
              <w:rPr/>
              <w:t>Remediation</w:t>
            </w:r>
          </w:p>
        </w:tc>
        <w:tc>
          <w:tcPr>
            <w:tcW w:w="4760" w:type="dxa"/>
            <w:tcBorders>
              <w:left w:val="single" w:sz="2" w:space="0" w:color="DDDDDD"/>
              <w:bottom w:val="single" w:sz="2" w:space="0" w:color="DDDDDD"/>
              <w:right w:val="single" w:sz="2" w:space="0" w:color="DDDDDD"/>
            </w:tcBorders>
          </w:tcPr>
          <w:p>
            <w:pPr>
              <w:pStyle w:val="Normal"/>
              <w:widowControl w:val="false"/>
              <w:rPr/>
            </w:pPr>
            <w:r>
              <w:rPr/>
              <w:t>Account password reset. Remediation actions completed (no log timestamp — response action, not an observed attack event).</w:t>
            </w:r>
          </w:p>
        </w:tc>
      </w:tr>
    </w:tbl>
    <w:p>
      <w:pPr>
        <w:pStyle w:val="Normal"/>
        <w:spacing w:before="0" w:after="240"/>
        <w:rPr/>
      </w:pPr>
      <w:r>
        <w:rPr/>
      </w:r>
    </w:p>
    <w:p>
      <w:pPr>
        <w:pStyle w:val="Heading1"/>
        <w:pBdr>
          <w:bottom w:val="single" w:sz="8" w:space="4" w:color="F07A22"/>
        </w:pBdr>
        <w:rPr/>
      </w:pPr>
      <w:r>
        <w:rPr/>
        <w:t>Chronology</w:t>
      </w:r>
    </w:p>
    <w:p>
      <w:pPr>
        <w:pStyle w:val="Heading2"/>
        <w:rPr>
          <w:b/>
          <w:b/>
          <w:bCs/>
          <w:color w:val="FF8000"/>
        </w:rPr>
      </w:pPr>
      <w:r>
        <w:rPr>
          <w:b/>
          <w:bCs/>
          <w:color w:val="FF8000"/>
        </w:rPr>
        <w:drawing>
          <wp:anchor behindDoc="0" distT="0" distB="0" distL="0" distR="0" simplePos="0" locked="0" layoutInCell="0" allowOverlap="1" relativeHeight="2">
            <wp:simplePos x="0" y="0"/>
            <wp:positionH relativeFrom="column">
              <wp:posOffset>12700</wp:posOffset>
            </wp:positionH>
            <wp:positionV relativeFrom="paragraph">
              <wp:posOffset>-6350</wp:posOffset>
            </wp:positionV>
            <wp:extent cx="6400800" cy="707517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7"/>
                    <a:stretch>
                      <a:fillRect/>
                    </a:stretch>
                  </pic:blipFill>
                  <pic:spPr bwMode="auto">
                    <a:xfrm>
                      <a:off x="0" y="0"/>
                      <a:ext cx="6400800" cy="7075170"/>
                    </a:xfrm>
                    <a:prstGeom prst="rect">
                      <a:avLst/>
                    </a:prstGeom>
                  </pic:spPr>
                </pic:pic>
              </a:graphicData>
            </a:graphic>
          </wp:anchor>
        </w:drawing>
      </w:r>
    </w:p>
    <w:p>
      <w:pPr>
        <w:pStyle w:val="Heading2"/>
        <w:rPr/>
      </w:pPr>
      <w:r>
        <w:rPr/>
      </w:r>
    </w:p>
    <w:p>
      <w:pPr>
        <w:pStyle w:val="Heading2"/>
        <w:rPr>
          <w:b/>
          <w:b/>
          <w:bCs/>
          <w:color w:val="FF8000"/>
        </w:rPr>
      </w:pPr>
      <w:r>
        <w:rPr>
          <w:b/>
          <w:bCs/>
          <w:color w:val="FF8000"/>
        </w:rPr>
        <w:drawing>
          <wp:anchor behindDoc="0" distT="0" distB="0" distL="0" distR="0" simplePos="0" locked="0" layoutInCell="0" allowOverlap="1" relativeHeight="3">
            <wp:simplePos x="0" y="0"/>
            <wp:positionH relativeFrom="column">
              <wp:posOffset>-42545</wp:posOffset>
            </wp:positionH>
            <wp:positionV relativeFrom="paragraph">
              <wp:posOffset>-253365</wp:posOffset>
            </wp:positionV>
            <wp:extent cx="6400800" cy="725233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8"/>
                    <a:stretch>
                      <a:fillRect/>
                    </a:stretch>
                  </pic:blipFill>
                  <pic:spPr bwMode="auto">
                    <a:xfrm>
                      <a:off x="0" y="0"/>
                      <a:ext cx="6400800" cy="7252335"/>
                    </a:xfrm>
                    <a:prstGeom prst="rect">
                      <a:avLst/>
                    </a:prstGeom>
                  </pic:spPr>
                </pic:pic>
              </a:graphicData>
            </a:graphic>
          </wp:anchor>
        </w:drawing>
      </w:r>
    </w:p>
    <w:p>
      <w:pPr>
        <w:pStyle w:val="Heading1"/>
        <w:rPr>
          <w:b/>
          <w:b/>
          <w:bCs/>
          <w:color w:val="FF8000"/>
        </w:rPr>
      </w:pPr>
      <w:r>
        <w:rPr>
          <w:b/>
          <w:bCs/>
          <w:color w:val="FF8000"/>
        </w:rPr>
      </w:r>
    </w:p>
    <w:p>
      <w:pPr>
        <w:pStyle w:val="Heading1"/>
        <w:pBdr>
          <w:bottom w:val="single" w:sz="8" w:space="4" w:color="F07A22"/>
        </w:pBdr>
        <w:rPr/>
      </w:pPr>
      <w:r>
        <w:rPr/>
      </w:r>
    </w:p>
    <w:p>
      <w:pPr>
        <w:pStyle w:val="Heading1"/>
        <w:pBdr>
          <w:bottom w:val="single" w:sz="8" w:space="4" w:color="F07A22"/>
        </w:pBdr>
        <w:rPr/>
      </w:pPr>
      <w:r>
        <w:rPr/>
      </w:r>
    </w:p>
    <w:p>
      <w:pPr>
        <w:pStyle w:val="Heading1"/>
        <w:pBdr>
          <w:bottom w:val="single" w:sz="8" w:space="4" w:color="F07A22"/>
        </w:pBdr>
        <w:rPr/>
      </w:pPr>
      <w:r>
        <w:rPr/>
        <w:drawing>
          <wp:anchor behindDoc="0" distT="0" distB="0" distL="0" distR="0" simplePos="0" locked="0" layoutInCell="0" allowOverlap="1" relativeHeight="4">
            <wp:simplePos x="0" y="0"/>
            <wp:positionH relativeFrom="column">
              <wp:posOffset>-48260</wp:posOffset>
            </wp:positionH>
            <wp:positionV relativeFrom="paragraph">
              <wp:posOffset>-375285</wp:posOffset>
            </wp:positionV>
            <wp:extent cx="6400800" cy="8032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9"/>
                    <a:stretch>
                      <a:fillRect/>
                    </a:stretch>
                  </pic:blipFill>
                  <pic:spPr bwMode="auto">
                    <a:xfrm>
                      <a:off x="0" y="0"/>
                      <a:ext cx="6400800" cy="803275"/>
                    </a:xfrm>
                    <a:prstGeom prst="rect">
                      <a:avLst/>
                    </a:prstGeom>
                  </pic:spPr>
                </pic:pic>
              </a:graphicData>
            </a:graphic>
          </wp:anchor>
        </w:drawing>
      </w:r>
    </w:p>
    <w:p>
      <w:pPr>
        <w:pStyle w:val="Heading1"/>
        <w:pBdr>
          <w:bottom w:val="single" w:sz="8" w:space="4" w:color="F07A22"/>
        </w:pBdr>
        <w:rPr/>
      </w:pPr>
      <w:r>
        <w:rPr/>
        <w:drawing>
          <wp:anchor behindDoc="0" distT="0" distB="0" distL="0" distR="0" simplePos="0" locked="0" layoutInCell="0" allowOverlap="1" relativeHeight="5">
            <wp:simplePos x="0" y="0"/>
            <wp:positionH relativeFrom="column">
              <wp:posOffset>0</wp:posOffset>
            </wp:positionH>
            <wp:positionV relativeFrom="paragraph">
              <wp:posOffset>135255</wp:posOffset>
            </wp:positionV>
            <wp:extent cx="6400800" cy="498094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0"/>
                    <a:stretch>
                      <a:fillRect/>
                    </a:stretch>
                  </pic:blipFill>
                  <pic:spPr bwMode="auto">
                    <a:xfrm>
                      <a:off x="0" y="0"/>
                      <a:ext cx="6400800" cy="4980940"/>
                    </a:xfrm>
                    <a:prstGeom prst="rect">
                      <a:avLst/>
                    </a:prstGeom>
                  </pic:spPr>
                </pic:pic>
              </a:graphicData>
            </a:graphic>
          </wp:anchor>
        </w:drawing>
      </w:r>
    </w:p>
    <w:p>
      <w:pPr>
        <w:pStyle w:val="Heading1"/>
        <w:pBdr>
          <w:bottom w:val="single" w:sz="8" w:space="4" w:color="F07A22"/>
        </w:pBdr>
        <w:rPr/>
      </w:pPr>
      <w:r>
        <w:rPr/>
      </w:r>
    </w:p>
    <w:p>
      <w:pPr>
        <w:pStyle w:val="Heading1"/>
        <w:pBdr>
          <w:bottom w:val="single" w:sz="8" w:space="4" w:color="F07A22"/>
        </w:pBdr>
        <w:rPr/>
      </w:pPr>
      <w:r>
        <w:rPr/>
      </w:r>
    </w:p>
    <w:p>
      <w:pPr>
        <w:pStyle w:val="Heading1"/>
        <w:pBdr>
          <w:bottom w:val="single" w:sz="8" w:space="4" w:color="F07A22"/>
        </w:pBdr>
        <w:rPr/>
      </w:pPr>
      <w:r>
        <w:rPr/>
      </w:r>
    </w:p>
    <w:p>
      <w:pPr>
        <w:pStyle w:val="Heading1"/>
        <w:pBdr>
          <w:bottom w:val="single" w:sz="8" w:space="4" w:color="F07A22"/>
        </w:pBdr>
        <w:rPr/>
      </w:pPr>
      <w:r>
        <w:rPr/>
      </w:r>
    </w:p>
    <w:p>
      <w:pPr>
        <w:pStyle w:val="Heading1"/>
        <w:pBdr>
          <w:bottom w:val="single" w:sz="8" w:space="4" w:color="F07A22"/>
        </w:pBdr>
        <w:rPr/>
      </w:pPr>
      <w:r>
        <w:rPr/>
      </w:r>
    </w:p>
    <w:p>
      <w:pPr>
        <w:pStyle w:val="Heading1"/>
        <w:pBdr>
          <w:bottom w:val="single" w:sz="8" w:space="4" w:color="F07A22"/>
        </w:pBdr>
        <w:rPr/>
      </w:pPr>
      <w:r>
        <w:rPr/>
      </w:r>
    </w:p>
    <w:p>
      <w:pPr>
        <w:pStyle w:val="Heading1"/>
        <w:pBdr>
          <w:bottom w:val="single" w:sz="8" w:space="4" w:color="F07A22"/>
        </w:pBdr>
        <w:rPr/>
      </w:pPr>
      <w:r>
        <w:rPr/>
        <w:t>Findings</w:t>
      </w:r>
    </w:p>
    <w:p>
      <w:pPr>
        <w:pStyle w:val="Heading2"/>
        <w:rPr/>
      </w:pPr>
      <w:r>
        <w:rPr/>
        <w:t>3.1  Initial Access</w:t>
      </w:r>
    </w:p>
    <w:p>
      <w:pPr>
        <w:pStyle w:val="Normal"/>
        <w:spacing w:before="0" w:after="80"/>
        <w:rPr/>
      </w:pPr>
      <w:r>
        <w:rPr/>
      </w:r>
    </w:p>
    <w:tbl>
      <w:tblPr>
        <w:tblW w:w="9360" w:type="dxa"/>
        <w:jc w:val="left"/>
        <w:tblInd w:w="215" w:type="dxa"/>
        <w:tblLayout w:type="fixed"/>
        <w:tblCellMar>
          <w:top w:w="120" w:type="dxa"/>
          <w:left w:w="200" w:type="dxa"/>
          <w:bottom w:w="300" w:type="dxa"/>
          <w:right w:w="120" w:type="dxa"/>
        </w:tblCellMar>
        <w:tblLook w:firstRow="1" w:noVBand="1" w:lastRow="0" w:firstColumn="1" w:lastColumn="0" w:noHBand="0" w:val="04a0"/>
      </w:tblPr>
      <w:tblGrid>
        <w:gridCol w:w="9360"/>
      </w:tblGrid>
      <w:tr>
        <w:trPr/>
        <w:tc>
          <w:tcPr>
            <w:tcW w:w="9360" w:type="dxa"/>
            <w:tcBorders>
              <w:top w:val="single" w:sz="2" w:space="0" w:color="DDDDDD"/>
              <w:left w:val="single" w:sz="12" w:space="0" w:color="F07A22"/>
              <w:bottom w:val="single" w:sz="2" w:space="0" w:color="DDDDDD"/>
              <w:right w:val="single" w:sz="2" w:space="0" w:color="DDDDDD"/>
            </w:tcBorders>
            <w:shd w:color="auto" w:fill="F7F7F7" w:val="clear"/>
          </w:tcPr>
          <w:p>
            <w:pPr>
              <w:pStyle w:val="Normal"/>
              <w:widowControl w:val="false"/>
              <w:rPr/>
            </w:pPr>
            <w:r>
              <w:rPr>
                <w:color w:val="000000"/>
                <w:sz w:val="20"/>
                <w:szCs w:val="20"/>
              </w:rPr>
              <w:t>On 7 March 2026 12:49:55 PM GMT10+, the first unauthorised sign-in to the Donald Account from IP address 54[.]206[.]115[.]107 (AWS IP) via Outlook Web App (OWA).</w:t>
            </w:r>
          </w:p>
          <w:p>
            <w:pPr>
              <w:pStyle w:val="Normal"/>
              <w:widowControl w:val="false"/>
              <w:rPr/>
            </w:pPr>
            <w:r>
              <w:rPr>
                <w:color w:val="000000"/>
                <w:sz w:val="20"/>
                <w:szCs w:val="20"/>
              </w:rPr>
              <w:br/>
              <w:t>Following authentication, the session accessed five email items.</w:t>
            </w:r>
          </w:p>
          <w:p>
            <w:pPr>
              <w:pStyle w:val="Normal"/>
              <w:widowControl w:val="false"/>
              <w:rPr/>
            </w:pPr>
            <w:r>
              <w:rPr>
                <w:color w:val="000000"/>
                <w:sz w:val="20"/>
                <w:szCs w:val="20"/>
              </w:rPr>
              <w:t>The sign-in originated from infrastructure inconsistent with the account’s established baseline.</w:t>
            </w:r>
          </w:p>
        </w:tc>
      </w:tr>
    </w:tbl>
    <w:p>
      <w:pPr>
        <w:pStyle w:val="Normal"/>
        <w:spacing w:before="0" w:after="160"/>
        <w:rPr/>
      </w:pPr>
      <w:r>
        <w:rPr/>
      </w:r>
    </w:p>
    <w:p>
      <w:pPr>
        <w:pStyle w:val="Heading2"/>
        <w:rPr/>
      </w:pPr>
      <w:r>
        <w:rPr/>
        <w:t>3.2  Unauthorised Activity</w:t>
      </w:r>
    </w:p>
    <w:p>
      <w:pPr>
        <w:pStyle w:val="Normal"/>
        <w:spacing w:before="0" w:after="80"/>
        <w:rPr/>
      </w:pPr>
      <w:r>
        <w:rPr/>
      </w:r>
    </w:p>
    <w:tbl>
      <w:tblPr>
        <w:tblW w:w="9360" w:type="dxa"/>
        <w:jc w:val="left"/>
        <w:tblInd w:w="215" w:type="dxa"/>
        <w:tblLayout w:type="fixed"/>
        <w:tblCellMar>
          <w:top w:w="120" w:type="dxa"/>
          <w:left w:w="200" w:type="dxa"/>
          <w:bottom w:w="300" w:type="dxa"/>
          <w:right w:w="120" w:type="dxa"/>
        </w:tblCellMar>
        <w:tblLook w:firstRow="1" w:noVBand="1" w:lastRow="0" w:firstColumn="1" w:lastColumn="0" w:noHBand="0" w:val="04a0"/>
      </w:tblPr>
      <w:tblGrid>
        <w:gridCol w:w="9360"/>
      </w:tblGrid>
      <w:tr>
        <w:trPr/>
        <w:tc>
          <w:tcPr>
            <w:tcW w:w="9360" w:type="dxa"/>
            <w:tcBorders>
              <w:top w:val="single" w:sz="2" w:space="0" w:color="DDDDDD"/>
              <w:left w:val="single" w:sz="12" w:space="0" w:color="F07A22"/>
              <w:bottom w:val="single" w:sz="2" w:space="0" w:color="DDDDDD"/>
              <w:right w:val="single" w:sz="2" w:space="0" w:color="DDDDDD"/>
            </w:tcBorders>
            <w:shd w:color="auto" w:fill="F7F7F7" w:val="clear"/>
          </w:tcPr>
          <w:p>
            <w:pPr>
              <w:pStyle w:val="Normal"/>
              <w:widowControl w:val="false"/>
              <w:rPr>
                <w:color w:val="BBBBBB"/>
                <w:sz w:val="20"/>
                <w:szCs w:val="20"/>
              </w:rPr>
            </w:pPr>
            <w:r>
              <w:rPr>
                <w:color w:val="000000"/>
                <w:sz w:val="20"/>
                <w:szCs w:val="20"/>
              </w:rPr>
              <w:t xml:space="preserve">On 9 March 2026 at 5:10:45 PM GMT10+ the Donald Account created a new inbox rule named “.”. From the IP address 91[.]217[.]249[.]193 (Germany, Berlin – VPN provider) The inbox rule moved all incoming emails from </w:t>
            </w:r>
            <w:hyperlink r:id="rId11">
              <w:r>
                <w:rPr>
                  <w:rStyle w:val="InternetLink"/>
                  <w:color w:val="000000"/>
                  <w:sz w:val="20"/>
                  <w:szCs w:val="20"/>
                </w:rPr>
                <w:t>Naomi.Hunter@wdlabs.com.au</w:t>
              </w:r>
            </w:hyperlink>
            <w:r>
              <w:rPr>
                <w:color w:val="000000"/>
                <w:sz w:val="20"/>
                <w:szCs w:val="20"/>
              </w:rPr>
              <w:t xml:space="preserve"> marked them as read and moved them to the ‘RSS Feeds’ folder. [</w:t>
            </w:r>
            <w:r>
              <w:rPr>
                <w:b/>
                <w:bCs/>
                <w:color w:val="000000"/>
                <w:sz w:val="20"/>
                <w:szCs w:val="20"/>
              </w:rPr>
              <w:t>Comment:</w:t>
            </w:r>
            <w:r>
              <w:rPr>
                <w:color w:val="000000"/>
                <w:sz w:val="20"/>
                <w:szCs w:val="20"/>
              </w:rPr>
              <w:t xml:space="preserve"> The inbox rule was created before any unauthorised outbound email was observed, indicating it was established preparatory to the fraudulent activity rather than in reaction to it. By automatically removing Naomi Hunter's incoming messages from view, the rule ensured that once the unauthorised party began corresponding with Naomi using the Donald account, the legitimate account holder would not see her replies — allowing the fraudulent exchange to continue undetected. ]</w:t>
            </w:r>
          </w:p>
        </w:tc>
      </w:tr>
    </w:tbl>
    <w:p>
      <w:pPr>
        <w:pStyle w:val="Normal"/>
        <w:spacing w:before="0" w:after="160"/>
        <w:rPr/>
      </w:pPr>
      <w:r>
        <w:rPr/>
      </w:r>
    </w:p>
    <w:p>
      <w:pPr>
        <w:pStyle w:val="Heading2"/>
        <w:rPr/>
      </w:pPr>
      <w:r>
        <w:rPr/>
        <w:t>3.3  Data Access</w:t>
      </w:r>
    </w:p>
    <w:p>
      <w:pPr>
        <w:pStyle w:val="Normal"/>
        <w:spacing w:before="0" w:after="80"/>
        <w:rPr/>
      </w:pPr>
      <w:r>
        <w:rPr/>
      </w:r>
    </w:p>
    <w:tbl>
      <w:tblPr>
        <w:tblW w:w="9360" w:type="dxa"/>
        <w:jc w:val="left"/>
        <w:tblInd w:w="215" w:type="dxa"/>
        <w:tblLayout w:type="fixed"/>
        <w:tblCellMar>
          <w:top w:w="120" w:type="dxa"/>
          <w:left w:w="200" w:type="dxa"/>
          <w:bottom w:w="300" w:type="dxa"/>
          <w:right w:w="120" w:type="dxa"/>
        </w:tblCellMar>
        <w:tblLook w:firstRow="1" w:noVBand="1" w:lastRow="0" w:firstColumn="1" w:lastColumn="0" w:noHBand="0" w:val="04a0"/>
      </w:tblPr>
      <w:tblGrid>
        <w:gridCol w:w="9360"/>
      </w:tblGrid>
      <w:tr>
        <w:trPr/>
        <w:tc>
          <w:tcPr>
            <w:tcW w:w="9360" w:type="dxa"/>
            <w:tcBorders>
              <w:top w:val="single" w:sz="2" w:space="0" w:color="DDDDDD"/>
              <w:left w:val="single" w:sz="12" w:space="0" w:color="F07A22"/>
              <w:bottom w:val="single" w:sz="2" w:space="0" w:color="DDDDDD"/>
              <w:right w:val="single" w:sz="2" w:space="0" w:color="DDDDDD"/>
            </w:tcBorders>
            <w:shd w:color="auto" w:fill="F7F7F7" w:val="clear"/>
          </w:tcPr>
          <w:p>
            <w:pPr>
              <w:pStyle w:val="Normal"/>
              <w:widowControl w:val="false"/>
              <w:rPr/>
            </w:pPr>
            <w:r>
              <w:rPr>
                <w:color w:val="000000"/>
                <w:sz w:val="20"/>
                <w:szCs w:val="20"/>
              </w:rPr>
              <w:t>Two days after initial access, on 9 March 2026, the unauthorised party authenticated as the Donald account conducted the most significant data-access activity of the incident. Between 5:20 PM and 5:26 PM, the session performed a series of SharePoint/OneDrive operations recorded as FilePreviewed (16 events), FileAccessed (17 events) and, most significantly, FileDownloaded (13 events) — twelve files downloaded from IP 45[.]133[.]5[.]24 and 45[.]133[.]5[.]15 on 9 March, and one further download from 173[.]239[.]229[.]83 on 10 March.</w:t>
              <w:br/>
            </w:r>
          </w:p>
          <w:p>
            <w:pPr>
              <w:pStyle w:val="Normal"/>
              <w:widowControl w:val="false"/>
              <w:rPr>
                <w:rFonts w:ascii="Arial" w:hAnsi="Arial" w:eastAsia="Arial" w:cs="Arial"/>
                <w:color w:val="000000"/>
                <w:kern w:val="0"/>
                <w:sz w:val="20"/>
                <w:szCs w:val="20"/>
                <w:lang w:val="en-AU" w:eastAsia="en-AU" w:bidi="ar-SA"/>
              </w:rPr>
            </w:pPr>
            <w:r>
              <w:rPr>
                <w:rFonts w:eastAsia="Arial" w:cs="Arial"/>
                <w:color w:val="000000"/>
                <w:kern w:val="0"/>
                <w:sz w:val="20"/>
                <w:szCs w:val="20"/>
                <w:lang w:val="en-AU" w:eastAsia="en-AU" w:bidi="ar-SA"/>
              </w:rPr>
              <w:t>On the mail side, MailItemsAccessed events were recorded across 7–10 March (8 events), consistent with the session reading mailbox contents. On 10 March the session also created an item (7:33:45 PM), sent an item (Send, 7:51:40 PM) and subsequently moved an item to Deleted Items (MoveToDeletedItems, 8:15:56 PM).</w:t>
            </w:r>
          </w:p>
          <w:p>
            <w:pPr>
              <w:pStyle w:val="Normal"/>
              <w:widowControl w:val="false"/>
              <w:rPr>
                <w:rFonts w:ascii="Arial" w:hAnsi="Arial" w:eastAsia="Arial" w:cs="Arial"/>
                <w:color w:val="000000"/>
                <w:kern w:val="0"/>
                <w:sz w:val="20"/>
                <w:szCs w:val="20"/>
                <w:lang w:val="en-AU" w:eastAsia="en-AU" w:bidi="ar-SA"/>
              </w:rPr>
            </w:pPr>
            <w:r>
              <w:rPr>
                <w:rFonts w:eastAsia="Arial" w:cs="Arial"/>
                <w:color w:val="000000"/>
                <w:kern w:val="0"/>
                <w:sz w:val="20"/>
                <w:szCs w:val="20"/>
                <w:lang w:val="en-AU" w:eastAsia="en-AU" w:bidi="ar-SA"/>
              </w:rPr>
              <w:t>[</w:t>
            </w:r>
            <w:r>
              <w:rPr>
                <w:rFonts w:eastAsia="Arial" w:cs="Arial"/>
                <w:b/>
                <w:bCs/>
                <w:color w:val="000000"/>
                <w:kern w:val="0"/>
                <w:sz w:val="20"/>
                <w:szCs w:val="20"/>
                <w:lang w:val="en-AU" w:eastAsia="en-AU" w:bidi="ar-SA"/>
              </w:rPr>
              <w:t>Comment</w:t>
            </w:r>
            <w:r>
              <w:rPr>
                <w:rFonts w:eastAsia="Arial" w:cs="Arial"/>
                <w:color w:val="000000"/>
                <w:kern w:val="0"/>
                <w:sz w:val="20"/>
                <w:szCs w:val="20"/>
                <w:lang w:val="en-AU" w:eastAsia="en-AU" w:bidi="ar-SA"/>
              </w:rPr>
              <w:t>: The volume and clustering of FileDownloaded events represents the clearest evidence of potential exfiltration in the incident — these are full file retrievals, distinct from the FilePreviewed/FileAccessed events which indicate viewing only. The Send followed by MoveToDeletedItems on 10 March is consistent with the unauthorised party sending mail from the account and then deleting it from the Sent/visible folders to conceal the activity, consistent with the earlier inbox-rule concealment behaviour.]</w:t>
            </w:r>
          </w:p>
          <w:p>
            <w:pPr>
              <w:pStyle w:val="Normal"/>
              <w:widowControl w:val="false"/>
              <w:rPr>
                <w:rFonts w:ascii="Arial" w:hAnsi="Arial" w:eastAsia="Arial" w:cs="Arial"/>
                <w:color w:val="000000"/>
                <w:kern w:val="0"/>
                <w:sz w:val="20"/>
                <w:szCs w:val="20"/>
                <w:lang w:val="en-AU" w:eastAsia="en-AU" w:bidi="ar-SA"/>
              </w:rPr>
            </w:pPr>
            <w:r>
              <w:rPr>
                <w:rFonts w:eastAsia="Arial" w:cs="Arial"/>
                <w:color w:val="000000"/>
                <w:kern w:val="0"/>
                <w:sz w:val="20"/>
                <w:szCs w:val="20"/>
                <w:lang w:val="en-AU" w:eastAsia="en-AU" w:bidi="ar-SA"/>
              </w:rPr>
            </w:r>
          </w:p>
        </w:tc>
      </w:tr>
    </w:tbl>
    <w:p>
      <w:pPr>
        <w:pStyle w:val="Normal"/>
        <w:spacing w:before="0" w:after="240"/>
        <w:rPr/>
      </w:pPr>
      <w:r>
        <w:rPr/>
      </w:r>
    </w:p>
    <w:p>
      <w:pPr>
        <w:pStyle w:val="Heading1"/>
        <w:pBdr>
          <w:bottom w:val="single" w:sz="8" w:space="4" w:color="F07A22"/>
        </w:pBdr>
        <w:rPr/>
      </w:pPr>
      <w:r>
        <w:rPr/>
        <w:t>Lessons Learned</w:t>
      </w:r>
    </w:p>
    <w:p>
      <w:pPr>
        <w:pStyle w:val="Normal"/>
        <w:spacing w:before="0" w:after="80"/>
        <w:rPr/>
      </w:pPr>
      <w:r>
        <w:rPr/>
      </w:r>
    </w:p>
    <w:tbl>
      <w:tblPr>
        <w:tblW w:w="9360" w:type="dxa"/>
        <w:jc w:val="left"/>
        <w:tblInd w:w="215" w:type="dxa"/>
        <w:tblLayout w:type="fixed"/>
        <w:tblCellMar>
          <w:top w:w="120" w:type="dxa"/>
          <w:left w:w="200" w:type="dxa"/>
          <w:bottom w:w="300" w:type="dxa"/>
          <w:right w:w="120" w:type="dxa"/>
        </w:tblCellMar>
        <w:tblLook w:firstRow="1" w:noVBand="1" w:lastRow="0" w:firstColumn="1" w:lastColumn="0" w:noHBand="0" w:val="04a0"/>
      </w:tblPr>
      <w:tblGrid>
        <w:gridCol w:w="9360"/>
      </w:tblGrid>
      <w:tr>
        <w:trPr/>
        <w:tc>
          <w:tcPr>
            <w:tcW w:w="9360" w:type="dxa"/>
            <w:tcBorders>
              <w:top w:val="single" w:sz="2" w:space="0" w:color="DDDDDD"/>
              <w:left w:val="single" w:sz="12" w:space="0" w:color="F07A22"/>
              <w:bottom w:val="single" w:sz="2" w:space="0" w:color="DDDDDD"/>
              <w:right w:val="single" w:sz="2" w:space="0" w:color="DDDDDD"/>
            </w:tcBorders>
            <w:shd w:color="auto" w:fill="F7F7F7" w:val="clear"/>
          </w:tcPr>
          <w:p>
            <w:pPr>
              <w:pStyle w:val="Normal"/>
              <w:widowControl w:val="false"/>
              <w:rPr/>
            </w:pPr>
            <w:r>
              <w:rPr/>
              <w:t>I think I learned a lot about how to do a proper investigation and putting it into a report that is detailed. I accept my documentation is good but the way I do it (template it) needs to be better. To me the important thing is to learn the process, improve the process and  make sure its replicable. And then (ideally) to automate the process.</w:t>
            </w:r>
          </w:p>
          <w:p>
            <w:pPr>
              <w:pStyle w:val="Normal"/>
              <w:widowControl w:val="false"/>
              <w:rPr/>
            </w:pPr>
            <w:r>
              <w:rPr/>
            </w:r>
          </w:p>
          <w:p>
            <w:pPr>
              <w:pStyle w:val="Normal"/>
              <w:widowControl w:val="false"/>
              <w:rPr/>
            </w:pPr>
            <w:r>
              <w:rPr/>
              <w:t>I learned a great deal about the different views in Sentinel and where to look for indicators of compromise. I used my natural curiosity to correlate different pieces of information like time, date, client ip, location, with public resources like abuseipdb or ip-api to a known indicator of compromise and used that to inform the rest of my investigation.</w:t>
            </w:r>
          </w:p>
          <w:p>
            <w:pPr>
              <w:pStyle w:val="Normal"/>
              <w:widowControl w:val="false"/>
              <w:rPr/>
            </w:pPr>
            <w:r>
              <w:rPr/>
            </w:r>
          </w:p>
          <w:p>
            <w:pPr>
              <w:pStyle w:val="Normal"/>
              <w:widowControl w:val="false"/>
              <w:rPr/>
            </w:pPr>
            <w:r>
              <w:rPr/>
              <w:t>I learned a lot about how to use KQL and how to correlate different bits of useful information in Sentinel’s KQL to search for additional instances of malicious activity that would not have been possible if I didn’t double check for additional activity performed by client session IDs.</w:t>
            </w:r>
          </w:p>
          <w:p>
            <w:pPr>
              <w:pStyle w:val="Normal"/>
              <w:widowControl w:val="false"/>
              <w:rPr/>
            </w:pPr>
            <w:r>
              <w:rPr/>
            </w:r>
          </w:p>
          <w:p>
            <w:pPr>
              <w:pStyle w:val="Normal"/>
              <w:widowControl w:val="false"/>
              <w:rPr/>
            </w:pPr>
            <w:r>
              <w:rPr/>
              <w:t>I think what I would do differently is create &amp; use a findings/reporting template so that I can inform future investigations more cleanly and more effectively.</w:t>
            </w:r>
          </w:p>
          <w:p>
            <w:pPr>
              <w:pStyle w:val="Normal"/>
              <w:widowControl w:val="false"/>
              <w:rPr/>
            </w:pPr>
            <w:r>
              <w:rPr/>
              <w:t>Obsidian is fine for note-taking, but I need to perhaps focus on translating the Excel spreadsheets I curate into something that explains itself better, not just looks pretty.</w:t>
            </w:r>
          </w:p>
          <w:p>
            <w:pPr>
              <w:pStyle w:val="Normal"/>
              <w:widowControl w:val="false"/>
              <w:rPr/>
            </w:pPr>
            <w:r>
              <w:rPr/>
              <w:t>And to provide that additional context throughout instead of a little bit here and little bit there.</w:t>
            </w:r>
          </w:p>
          <w:p>
            <w:pPr>
              <w:pStyle w:val="Normal"/>
              <w:widowControl w:val="false"/>
              <w:rPr/>
            </w:pPr>
            <w:r>
              <w:rPr/>
            </w:r>
          </w:p>
          <w:p>
            <w:pPr>
              <w:pStyle w:val="Normal"/>
              <w:widowControl w:val="false"/>
              <w:rPr/>
            </w:pPr>
            <w:r>
              <w:rPr/>
              <w:t>And I learned about defanging IPs to prevent accidental clicks on malicious URLs during threat analysis.</w:t>
            </w:r>
          </w:p>
          <w:p>
            <w:pPr>
              <w:pStyle w:val="Normal"/>
              <w:widowControl w:val="false"/>
              <w:rPr/>
            </w:pPr>
            <w:r>
              <w:rPr/>
            </w:r>
          </w:p>
          <w:p>
            <w:pPr>
              <w:pStyle w:val="Normal"/>
              <w:widowControl w:val="false"/>
              <w:rPr/>
            </w:pPr>
            <w:r>
              <w:rPr/>
              <w:t>Lastly, A middle-ground KQL trick if I want readable output without losing fields: use `project-reorder` or `project-away` instead. `project-reorder TimeGenerated, Operation, UserId, ClientIP` puts the columns I care about first but keeps everything else still hanging off the row. `project-away` lets me drop just the noise (e.g. `OrganizationId`, `RecordType`) while keeping the rest. Best of both worlds when I’m still in discovery mode.</w:t>
            </w:r>
          </w:p>
          <w:p>
            <w:pPr>
              <w:pStyle w:val="Normal"/>
              <w:widowControl w:val="false"/>
              <w:rPr/>
            </w:pPr>
            <w:r>
              <w:rPr/>
            </w:r>
          </w:p>
        </w:tc>
      </w:tr>
    </w:tbl>
    <w:p>
      <w:pPr>
        <w:pStyle w:val="Normal"/>
        <w:spacing w:before="0" w:after="160"/>
        <w:rPr/>
      </w:pPr>
      <w:r>
        <w:rPr/>
      </w:r>
    </w:p>
    <w:sectPr>
      <w:footerReference w:type="default" r:id="rId12"/>
      <w:type w:val="nextPage"/>
      <w:pgSz w:w="12240" w:h="15840"/>
      <w:pgMar w:left="1080" w:right="1080" w:gutter="0" w:header="0"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8" w:color="DDDDDD"/>
      </w:pBdr>
      <w:jc w:val="center"/>
      <w:rPr/>
    </w:pPr>
    <w:r>
      <w:rPr>
        <w:color w:val="999999"/>
        <w:sz w:val="16"/>
        <w:szCs w:val="16"/>
      </w:rPr>
      <w:t xml:space="preserve">WDLabs SOC Simulation Project  //  skool.com/socsim/about  //  webdefend.com.au  //  Page </w:t>
    </w:r>
    <w:r>
      <w:rPr>
        <w:color w:val="999999"/>
        <w:sz w:val="16"/>
        <w:szCs w:val="16"/>
      </w:rPr>
      <w:fldChar w:fldCharType="begin"/>
    </w:r>
    <w:r>
      <w:rPr>
        <w:sz w:val="16"/>
        <w:szCs w:val="16"/>
        <w:color w:val="999999"/>
      </w:rPr>
      <w:instrText xml:space="preserve"> PAGE </w:instrText>
    </w:r>
    <w:r>
      <w:rPr>
        <w:sz w:val="16"/>
        <w:szCs w:val="16"/>
        <w:color w:val="999999"/>
      </w:rPr>
      <w:fldChar w:fldCharType="separate"/>
    </w:r>
    <w:r>
      <w:rPr>
        <w:sz w:val="16"/>
        <w:szCs w:val="16"/>
        <w:color w:val="999999"/>
      </w:rPr>
      <w:t>8</w:t>
    </w:r>
    <w:r>
      <w:rPr>
        <w:sz w:val="16"/>
        <w:szCs w:val="16"/>
        <w:color w:val="999999"/>
      </w:rPr>
      <w:fldChar w:fldCharType="end"/>
    </w:r>
    <w:r>
      <w:rPr>
        <w:color w:val="999999"/>
        <w:sz w:val="16"/>
        <w:szCs w:val="16"/>
      </w:rPr>
      <w:t xml:space="preserve"> of </w:t>
    </w:r>
    <w:r>
      <w:rPr>
        <w:color w:val="999999"/>
        <w:sz w:val="16"/>
        <w:szCs w:val="16"/>
      </w:rPr>
      <w:fldChar w:fldCharType="begin"/>
    </w:r>
    <w:r>
      <w:rPr>
        <w:sz w:val="16"/>
        <w:szCs w:val="16"/>
        <w:color w:val="999999"/>
      </w:rPr>
      <w:instrText xml:space="preserve"> NUMPAGES </w:instrText>
    </w:r>
    <w:r>
      <w:rPr>
        <w:sz w:val="16"/>
        <w:szCs w:val="16"/>
        <w:color w:val="999999"/>
      </w:rPr>
      <w:fldChar w:fldCharType="separate"/>
    </w:r>
    <w:r>
      <w:rPr>
        <w:sz w:val="16"/>
        <w:szCs w:val="16"/>
        <w:color w:val="999999"/>
      </w:rPr>
      <w:t>8</w:t>
    </w:r>
    <w:r>
      <w:rPr>
        <w:sz w:val="16"/>
        <w:szCs w:val="16"/>
        <w:color w:val="999999"/>
      </w:rPr>
      <w:fldChar w:fldCharType="end"/>
    </w:r>
  </w:p>
</w:ftr>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E0E0E"/>
        <w:sz w:val="22"/>
        <w:szCs w:val="22"/>
        <w:lang w:val="en-AU" w:eastAsia="en-A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24150"/>
    <w:pPr>
      <w:widowControl/>
      <w:suppressAutoHyphens w:val="true"/>
      <w:bidi w:val="0"/>
      <w:spacing w:before="0" w:after="0"/>
      <w:jc w:val="left"/>
    </w:pPr>
    <w:rPr>
      <w:rFonts w:ascii="Arial" w:hAnsi="Arial" w:eastAsia="Arial" w:cs="Arial"/>
      <w:color w:val="0E0E0E"/>
      <w:kern w:val="0"/>
      <w:sz w:val="22"/>
      <w:szCs w:val="22"/>
      <w:lang w:val="en-AU" w:eastAsia="en-AU" w:bidi="ar-SA"/>
    </w:rPr>
  </w:style>
  <w:style w:type="paragraph" w:styleId="Heading1">
    <w:name w:val="Heading 1"/>
    <w:uiPriority w:val="9"/>
    <w:qFormat/>
    <w:pPr>
      <w:widowControl/>
      <w:suppressAutoHyphens w:val="true"/>
      <w:bidi w:val="0"/>
      <w:spacing w:before="320" w:after="120"/>
      <w:jc w:val="left"/>
      <w:outlineLvl w:val="0"/>
    </w:pPr>
    <w:rPr>
      <w:rFonts w:ascii="Arial" w:hAnsi="Arial" w:eastAsia="Arial" w:cs="Arial"/>
      <w:b/>
      <w:bCs/>
      <w:color w:val="0E0E0E"/>
      <w:kern w:val="0"/>
      <w:sz w:val="28"/>
      <w:szCs w:val="28"/>
      <w:lang w:val="en-AU" w:eastAsia="en-AU" w:bidi="ar-SA"/>
    </w:rPr>
  </w:style>
  <w:style w:type="paragraph" w:styleId="Heading2">
    <w:name w:val="Heading 2"/>
    <w:uiPriority w:val="9"/>
    <w:unhideWhenUsed/>
    <w:qFormat/>
    <w:pPr>
      <w:widowControl/>
      <w:suppressAutoHyphens w:val="true"/>
      <w:bidi w:val="0"/>
      <w:spacing w:before="240" w:after="80"/>
      <w:jc w:val="left"/>
      <w:outlineLvl w:val="1"/>
    </w:pPr>
    <w:rPr>
      <w:rFonts w:ascii="Arial" w:hAnsi="Arial" w:eastAsia="Arial" w:cs="Arial"/>
      <w:b/>
      <w:bCs/>
      <w:color w:val="F07A22"/>
      <w:kern w:val="0"/>
      <w:sz w:val="24"/>
      <w:szCs w:val="24"/>
      <w:lang w:val="en-AU" w:eastAsia="en-AU" w:bidi="ar-SA"/>
    </w:rPr>
  </w:style>
  <w:style w:type="paragraph" w:styleId="Heading3">
    <w:name w:val="Heading 3"/>
    <w:uiPriority w:val="9"/>
    <w:semiHidden/>
    <w:unhideWhenUsed/>
    <w:qFormat/>
    <w:pPr>
      <w:widowControl/>
      <w:suppressAutoHyphens w:val="true"/>
      <w:bidi w:val="0"/>
      <w:spacing w:before="0" w:after="0"/>
      <w:jc w:val="left"/>
      <w:outlineLvl w:val="2"/>
    </w:pPr>
    <w:rPr>
      <w:rFonts w:ascii="Arial" w:hAnsi="Arial" w:eastAsia="Arial" w:cs="Arial"/>
      <w:color w:val="1F4D78"/>
      <w:kern w:val="0"/>
      <w:sz w:val="24"/>
      <w:szCs w:val="24"/>
      <w:lang w:val="en-AU" w:eastAsia="en-AU"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n-AU" w:eastAsia="en-AU"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n-AU" w:eastAsia="en-AU"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n-AU" w:eastAsia="en-AU"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
    <w:uiPriority w:val="99"/>
    <w:semiHidden/>
    <w:unhideWhenUsed/>
    <w:qFormat/>
    <w:rPr>
      <w:sz w:val="20"/>
      <w:szCs w:val="20"/>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uiPriority w:val="10"/>
    <w:qFormat/>
    <w:pPr>
      <w:widowControl/>
      <w:suppressAutoHyphens w:val="true"/>
      <w:bidi w:val="0"/>
      <w:spacing w:before="0" w:after="0"/>
      <w:jc w:val="left"/>
    </w:pPr>
    <w:rPr>
      <w:rFonts w:ascii="Arial" w:hAnsi="Arial" w:eastAsia="Arial" w:cs="Arial"/>
      <w:color w:val="0E0E0E"/>
      <w:kern w:val="0"/>
      <w:sz w:val="56"/>
      <w:szCs w:val="56"/>
      <w:lang w:val="en-AU" w:eastAsia="en-AU" w:bidi="ar-SA"/>
    </w:rPr>
  </w:style>
  <w:style w:type="paragraph" w:styleId="Strong1" w:customStyle="1">
    <w:name w:val="Strong1"/>
    <w:qFormat/>
    <w:pPr>
      <w:widowControl/>
      <w:suppressAutoHyphens w:val="true"/>
      <w:bidi w:val="0"/>
      <w:spacing w:before="0" w:after="0"/>
      <w:jc w:val="left"/>
    </w:pPr>
    <w:rPr>
      <w:rFonts w:ascii="Arial" w:hAnsi="Arial" w:eastAsia="Arial" w:cs="Arial"/>
      <w:b/>
      <w:bCs/>
      <w:color w:val="0E0E0E"/>
      <w:kern w:val="0"/>
      <w:sz w:val="22"/>
      <w:szCs w:val="22"/>
      <w:lang w:val="en-AU" w:eastAsia="en-AU" w:bidi="ar-SA"/>
    </w:rPr>
  </w:style>
  <w:style w:type="paragraph" w:styleId="ListParagraph">
    <w:name w:val="List Paragraph"/>
    <w:qFormat/>
    <w:pPr>
      <w:widowControl/>
      <w:suppressAutoHyphens w:val="true"/>
      <w:bidi w:val="0"/>
      <w:spacing w:before="0" w:after="0"/>
      <w:jc w:val="left"/>
    </w:pPr>
    <w:rPr>
      <w:rFonts w:ascii="Arial" w:hAnsi="Arial" w:eastAsia="Arial" w:cs="Arial"/>
      <w:color w:val="0E0E0E"/>
      <w:kern w:val="0"/>
      <w:sz w:val="22"/>
      <w:szCs w:val="22"/>
      <w:lang w:val="en-AU" w:eastAsia="en-AU" w:bidi="ar-SA"/>
    </w:rPr>
  </w:style>
  <w:style w:type="paragraph" w:styleId="Footnote">
    <w:name w:val="Footnote Text"/>
    <w:link w:val="FootnoteTextChar"/>
    <w:uiPriority w:val="99"/>
    <w:semiHidden/>
    <w:unhideWhenUsed/>
    <w:pPr>
      <w:widowControl/>
      <w:suppressAutoHyphens w:val="true"/>
      <w:bidi w:val="0"/>
      <w:spacing w:before="0" w:after="0"/>
      <w:jc w:val="left"/>
    </w:pPr>
    <w:rPr>
      <w:rFonts w:ascii="Arial" w:hAnsi="Arial" w:eastAsia="Arial" w:cs="Arial"/>
      <w:color w:val="0E0E0E"/>
      <w:kern w:val="0"/>
      <w:sz w:val="20"/>
      <w:szCs w:val="20"/>
      <w:lang w:val="en-AU" w:eastAsia="en-AU" w:bidi="ar-SA"/>
    </w:rPr>
  </w:style>
  <w:style w:type="paragraph" w:styleId="Endnote">
    <w:name w:val="Endnote Text"/>
    <w:link w:val="EndnoteTextChar"/>
    <w:uiPriority w:val="99"/>
    <w:semiHidden/>
    <w:unhideWhenUsed/>
    <w:pPr>
      <w:widowControl/>
      <w:suppressAutoHyphens w:val="true"/>
      <w:bidi w:val="0"/>
      <w:spacing w:before="0" w:after="0"/>
      <w:jc w:val="left"/>
    </w:pPr>
    <w:rPr>
      <w:rFonts w:ascii="Arial" w:hAnsi="Arial" w:eastAsia="Arial" w:cs="Arial"/>
      <w:color w:val="0E0E0E"/>
      <w:kern w:val="0"/>
      <w:sz w:val="20"/>
      <w:szCs w:val="20"/>
      <w:lang w:val="en-AU" w:eastAsia="en-AU" w:bidi="ar-SA"/>
    </w:rPr>
  </w:style>
  <w:style w:type="paragraph" w:styleId="HeaderandFooter">
    <w:name w:val="Header and Footer"/>
    <w:basedOn w:val="Normal"/>
    <w:qFormat/>
    <w:pPr/>
    <w:rPr/>
  </w:style>
  <w:style w:type="paragraph" w:styleId="Footer">
    <w:name w:val="Footer"/>
    <w:basedOn w:val="HeaderandFooter"/>
    <w:pPr/>
    <w:rPr/>
  </w:style>
  <w:style w:type="paragraph" w:styleId="CellP">
    <w:name w:val="CellP"/>
    <w:qFormat/>
    <w:pPr>
      <w:widowControl/>
      <w:suppressAutoHyphens w:val="true"/>
      <w:bidi w:val="0"/>
      <w:spacing w:before="0" w:after="0"/>
      <w:jc w:val="left"/>
    </w:pPr>
    <w:rPr>
      <w:rFonts w:ascii="Arial" w:hAnsi="Arial" w:eastAsia="Arial" w:cs="Arial"/>
      <w:color w:val="0E0E0E"/>
      <w:kern w:val="0"/>
      <w:sz w:val="20"/>
      <w:szCs w:val="22"/>
      <w:lang w:val="en-AU" w:eastAsia="en-AU" w:bidi="ar-SA"/>
    </w:rPr>
  </w:style>
  <w:style w:type="paragraph" w:styleId="TimeP">
    <w:name w:val="TimeP"/>
    <w:qFormat/>
    <w:pPr>
      <w:widowControl/>
      <w:suppressAutoHyphens w:val="true"/>
      <w:bidi w:val="0"/>
      <w:spacing w:before="0" w:after="0"/>
      <w:jc w:val="left"/>
    </w:pPr>
    <w:rPr>
      <w:rFonts w:ascii="Arial" w:hAnsi="Arial" w:eastAsia="Arial" w:cs="Arial"/>
      <w:b/>
      <w:color w:val="0E0E0E"/>
      <w:kern w:val="0"/>
      <w:sz w:val="19"/>
      <w:szCs w:val="22"/>
      <w:lang w:val="en-AU" w:eastAsia="en-AU"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ttack.mitre.org/techniques/T1564/008/" TargetMode="External"/><Relationship Id="rId3" Type="http://schemas.openxmlformats.org/officeDocument/2006/relationships/hyperlink" Target="https://attack.mitre.org/techniques/T1213/" TargetMode="External"/><Relationship Id="rId4" Type="http://schemas.openxmlformats.org/officeDocument/2006/relationships/hyperlink" Target="https://attack.mitre.org/techniques/T1564/008/" TargetMode="External"/><Relationship Id="rId5" Type="http://schemas.openxmlformats.org/officeDocument/2006/relationships/hyperlink" Target="https://attack.mitre.org/techniques/T1213/" TargetMode="External"/><Relationship Id="rId6" Type="http://schemas.openxmlformats.org/officeDocument/2006/relationships/hyperlink" Target="https://attack.mitre.org/techniques/T1087/"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mailto:Naomi.Hunter@wdlabs.com.au" TargetMode="External"/><Relationship Id="rId12"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628</TotalTime>
  <Application>LibreOffice/7.3.4.2$Windows_X86_64 LibreOffice_project/728fec16bd5f605073805c3c9e7c4212a0120dc5</Application>
  <AppVersion>15.0000</AppVersion>
  <Pages>8</Pages>
  <Words>1335</Words>
  <Characters>7962</Characters>
  <CharactersWithSpaces>9239</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2026-04-16T22:22:00Z</dcterms:created>
  <dc:creator>Un-named</dc:creator>
  <dc:description/>
  <dc:language>en-AU</dc:language>
  <cp:lastModifiedBy/>
  <dcterms:modified xsi:type="dcterms:W3CDTF">2026-06-05T19:12:13Z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