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5A761940" w14:textId="10733158" w:rsidR="00550AE4" w:rsidRPr="00550AE4" w:rsidRDefault="00550AE4" w:rsidP="00550AE4">
      <w:pPr>
        <w:rPr>
          <w:lang w:val="it-IT"/>
        </w:rPr>
      </w:pPr>
      <w:r>
        <w:rPr>
          <w:lang w:val="it-IT"/>
        </w:rPr>
        <w:t>L’analizzatore statico deve</w:t>
      </w:r>
    </w:p>
    <w:sectPr w:rsidR="00550AE4" w:rsidRPr="005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550AE4"/>
    <w:rsid w:val="005B4EB1"/>
    <w:rsid w:val="00867670"/>
    <w:rsid w:val="008E1EC4"/>
    <w:rsid w:val="00A2178C"/>
    <w:rsid w:val="00AF094A"/>
    <w:rsid w:val="00B6526B"/>
    <w:rsid w:val="00BD5FB9"/>
    <w:rsid w:val="00C2036E"/>
    <w:rsid w:val="00CB4A14"/>
    <w:rsid w:val="00D7352A"/>
    <w:rsid w:val="00D90BF3"/>
    <w:rsid w:val="00D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5</cp:revision>
  <dcterms:created xsi:type="dcterms:W3CDTF">2025-05-12T15:57:00Z</dcterms:created>
  <dcterms:modified xsi:type="dcterms:W3CDTF">2025-05-23T18:43:00Z</dcterms:modified>
</cp:coreProperties>
</file>