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Your comprehensive policy reform aims to transform housing subsidies into pathways for tenant ownership, thereby fostering intergenerational wealth, particularly within communities of color. This memo outlines current and proposed legislation at both the New York State and federal levels that align with or support this initiative.</w:t>
      </w:r>
    </w:p>
    <w:p>
      <w:pPr>
        <w:pStyle w:val="Body"/>
        <w:bidi w:val="0"/>
      </w:pPr>
    </w:p>
    <w:p>
      <w:pPr>
        <w:pStyle w:val="Body"/>
        <w:rPr>
          <w:b w:val="1"/>
          <w:bCs w:val="1"/>
        </w:rPr>
      </w:pPr>
      <w:r>
        <w:rPr>
          <w:b w:val="1"/>
          <w:bCs w:val="1"/>
          <w:rtl w:val="0"/>
          <w:lang w:val="en-US"/>
        </w:rPr>
        <w:t>I. Current and Proposed Legislation Supporting Tenant Ownership</w:t>
      </w:r>
    </w:p>
    <w:p>
      <w:pPr>
        <w:pStyle w:val="Body"/>
        <w:bidi w:val="0"/>
      </w:pPr>
    </w:p>
    <w:p>
      <w:pPr>
        <w:pStyle w:val="Body"/>
        <w:rPr>
          <w:b w:val="1"/>
          <w:bCs w:val="1"/>
        </w:rPr>
      </w:pPr>
      <w:r>
        <w:rPr>
          <w:b w:val="1"/>
          <w:bCs w:val="1"/>
          <w:rtl w:val="0"/>
          <w:lang w:val="en-US"/>
        </w:rPr>
        <w:t>A. New York State Legislation</w:t>
      </w:r>
    </w:p>
    <w:p>
      <w:pPr>
        <w:pStyle w:val="Body"/>
        <w:bidi w:val="0"/>
        <w:ind w:left="720"/>
      </w:pPr>
      <w:r>
        <w:rPr>
          <w:rtl w:val="0"/>
        </w:rPr>
        <w:tab/>
        <w:t>1.</w:t>
        <w:tab/>
      </w:r>
      <w:r>
        <w:rPr>
          <w:b w:val="1"/>
          <w:bCs w:val="1"/>
          <w:rtl w:val="0"/>
          <w:lang w:val="en-US"/>
        </w:rPr>
        <w:t>Tenant Opportunity to Purchase Act (TOPA)</w:t>
      </w:r>
    </w:p>
    <w:p>
      <w:pPr>
        <w:pStyle w:val="Body"/>
        <w:bidi w:val="0"/>
        <w:ind w:left="1440"/>
      </w:pPr>
      <w:r>
        <w:rPr>
          <w:rtl w:val="0"/>
        </w:rPr>
        <w:tab/>
        <w:t>•</w:t>
        <w:tab/>
      </w:r>
      <w:r>
        <w:rPr>
          <w:b w:val="1"/>
          <w:bCs w:val="1"/>
          <w:rtl w:val="0"/>
          <w:lang w:val="en-US"/>
        </w:rPr>
        <w:t>Bill Number</w:t>
      </w:r>
      <w:r>
        <w:rPr>
          <w:rtl w:val="0"/>
        </w:rPr>
        <w:t>: A3353 (2023-2024 Legislative Session)</w:t>
      </w:r>
    </w:p>
    <w:p>
      <w:pPr>
        <w:pStyle w:val="Body"/>
        <w:bidi w:val="0"/>
        <w:ind w:left="1440"/>
      </w:pPr>
      <w:r>
        <w:rPr>
          <w:rtl w:val="0"/>
        </w:rPr>
        <w:tab/>
        <w:t>•</w:t>
        <w:tab/>
      </w:r>
      <w:r>
        <w:rPr>
          <w:b w:val="1"/>
          <w:bCs w:val="1"/>
          <w:rtl w:val="0"/>
          <w:lang w:val="en-US"/>
        </w:rPr>
        <w:t>Summary</w:t>
      </w:r>
      <w:r>
        <w:rPr>
          <w:rtl w:val="0"/>
        </w:rPr>
        <w:t>: This bill seeks to prevent the displacement of lower-income tenants by granting them the first opportunity to purchase the property in which they reside before it is sold to a third party.</w:t>
      </w:r>
    </w:p>
    <w:p>
      <w:pPr>
        <w:pStyle w:val="Body"/>
        <w:bidi w:val="0"/>
        <w:ind w:left="1440"/>
      </w:pPr>
      <w:r>
        <w:rPr>
          <w:rtl w:val="0"/>
        </w:rPr>
        <w:tab/>
        <w:t>•</w:t>
        <w:tab/>
      </w:r>
      <w:r>
        <w:rPr>
          <w:b w:val="1"/>
          <w:bCs w:val="1"/>
          <w:rtl w:val="0"/>
          <w:lang w:val="en-US"/>
        </w:rPr>
        <w:t>Primary Sponsor</w:t>
      </w:r>
      <w:r>
        <w:rPr>
          <w:rtl w:val="0"/>
        </w:rPr>
        <w:t>: Assembly Member Marcela Mitaynes</w:t>
      </w:r>
    </w:p>
    <w:p>
      <w:pPr>
        <w:pStyle w:val="Body"/>
        <w:bidi w:val="0"/>
        <w:ind w:left="1440"/>
      </w:pPr>
      <w:r>
        <w:rPr>
          <w:rtl w:val="0"/>
        </w:rPr>
        <w:tab/>
        <w:t>•</w:t>
        <w:tab/>
      </w:r>
      <w:r>
        <w:rPr>
          <w:b w:val="1"/>
          <w:bCs w:val="1"/>
          <w:rtl w:val="0"/>
          <w:lang w:val="en-US"/>
        </w:rPr>
        <w:t>Co-Sponsors</w:t>
      </w:r>
      <w:r>
        <w:rPr>
          <w:rtl w:val="0"/>
        </w:rPr>
        <w:t>: Includes Assembly Members Clark, Forrest, Mamdani, Anderson, Gallagher, Sea Wright, Epstein, Carroll, Reyes, Aubry, Jackson, Simon, L. Rosenthal, Meeks, Kelles, Gonzalez-Rojas, Bronson, Colton, Fahy, Burgos, Steck, Dinowitz, Gibbs, De Los Santos, Cunningham, Taylor, Cruz, and Shrestha.</w:t>
      </w:r>
    </w:p>
    <w:p>
      <w:pPr>
        <w:pStyle w:val="Body"/>
        <w:bidi w:val="0"/>
        <w:ind w:left="1440"/>
      </w:pPr>
      <w:r>
        <w:rPr>
          <w:rtl w:val="0"/>
        </w:rPr>
        <w:tab/>
        <w:t>•</w:t>
        <w:tab/>
      </w:r>
      <w:r>
        <w:rPr>
          <w:b w:val="1"/>
          <w:bCs w:val="1"/>
          <w:rtl w:val="0"/>
          <w:lang w:val="nl-NL"/>
        </w:rPr>
        <w:t>Status</w:t>
      </w:r>
      <w:r>
        <w:rPr>
          <w:rtl w:val="0"/>
        </w:rPr>
        <w:t>: Referred to the Committee on Housing on February 2, 2023.</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"https://www.nysenate.gov/legislation/bills/2023/A3353"</w:instrText>
      </w:r>
      <w:r>
        <w:rPr>
          <w:rStyle w:val="Hyperlink.0"/>
        </w:rPr>
        <w:fldChar w:fldCharType="separate" w:fldLock="0"/>
      </w:r>
      <w:r>
        <w:rPr>
          <w:rStyle w:val="Hyperlink.0"/>
          <w:rtl w:val="0"/>
        </w:rPr>
        <w:t>NY State Assembly Bill 2023-A3353</w:t>
      </w:r>
      <w:r>
        <w:rPr/>
        <w:fldChar w:fldCharType="end" w:fldLock="0"/>
      </w:r>
    </w:p>
    <w:p>
      <w:pPr>
        <w:pStyle w:val="Body"/>
        <w:bidi w:val="0"/>
        <w:ind w:left="720"/>
      </w:pPr>
      <w:r>
        <w:rPr>
          <w:rtl w:val="0"/>
        </w:rPr>
        <w:tab/>
        <w:t>2.</w:t>
        <w:tab/>
      </w:r>
      <w:r>
        <w:rPr>
          <w:b w:val="1"/>
          <w:bCs w:val="1"/>
          <w:rtl w:val="0"/>
          <w:lang w:val="en-US"/>
        </w:rPr>
        <w:t>Good Cause Eviction Law</w:t>
      </w:r>
    </w:p>
    <w:p>
      <w:pPr>
        <w:pStyle w:val="Body"/>
        <w:bidi w:val="0"/>
        <w:ind w:left="1440"/>
      </w:pPr>
      <w:r>
        <w:rPr>
          <w:rtl w:val="0"/>
        </w:rPr>
        <w:tab/>
        <w:t>•</w:t>
        <w:tab/>
      </w:r>
      <w:r>
        <w:rPr>
          <w:b w:val="1"/>
          <w:bCs w:val="1"/>
          <w:rtl w:val="0"/>
          <w:lang w:val="en-US"/>
        </w:rPr>
        <w:t>Summary</w:t>
      </w:r>
      <w:r>
        <w:rPr>
          <w:rtl w:val="0"/>
        </w:rPr>
        <w:t>: Enacted on April 20, 2024, this law requires landlords to provide a legitimate reason for not renewing a lease, thereby offering tenants greater security and stability.</w:t>
      </w:r>
    </w:p>
    <w:p>
      <w:pPr>
        <w:pStyle w:val="Body"/>
        <w:bidi w:val="0"/>
        <w:ind w:left="1440"/>
      </w:pPr>
      <w:r>
        <w:rPr>
          <w:rtl w:val="0"/>
        </w:rPr>
        <w:tab/>
        <w:t>•</w:t>
        <w:tab/>
      </w:r>
      <w:r>
        <w:rPr>
          <w:b w:val="1"/>
          <w:bCs w:val="1"/>
          <w:rtl w:val="0"/>
          <w:lang w:val="en-US"/>
        </w:rPr>
        <w:t>Implications</w:t>
      </w:r>
      <w:r>
        <w:rPr>
          <w:rtl w:val="0"/>
        </w:rPr>
        <w:t>: While primarily focused on eviction protections, this law contributes to housing stability, which is a foundational aspect of promoting tenant ownership.</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"https://giselleayala.com/new-york-property-law/"</w:instrText>
      </w:r>
      <w:r>
        <w:rPr>
          <w:rStyle w:val="Hyperlink.0"/>
        </w:rPr>
        <w:fldChar w:fldCharType="separate" w:fldLock="0"/>
      </w:r>
      <w:r>
        <w:rPr>
          <w:rStyle w:val="Hyperlink.0"/>
          <w:rtl w:val="0"/>
        </w:rPr>
        <w:t>New York Property Law Updates</w:t>
      </w:r>
      <w:r>
        <w:rPr/>
        <w:fldChar w:fldCharType="end" w:fldLock="0"/>
      </w:r>
    </w:p>
    <w:p>
      <w:pPr>
        <w:pStyle w:val="Body"/>
        <w:bidi w:val="0"/>
        <w:ind w:left="720"/>
      </w:pPr>
      <w:r>
        <w:rPr>
          <w:rtl w:val="0"/>
        </w:rPr>
        <w:tab/>
        <w:t>3.</w:t>
        <w:tab/>
      </w:r>
      <w:r>
        <w:rPr>
          <w:b w:val="1"/>
          <w:bCs w:val="1"/>
          <w:rtl w:val="0"/>
          <w:lang w:val="de-DE"/>
        </w:rPr>
        <w:t>Governor Hochul</w:t>
      </w:r>
      <w:r>
        <w:rPr>
          <w:b w:val="1"/>
          <w:bCs w:val="1"/>
          <w:rtl w:val="1"/>
        </w:rPr>
        <w:t>’</w:t>
      </w:r>
      <w:r>
        <w:rPr>
          <w:b w:val="1"/>
          <w:bCs w:val="1"/>
          <w:rtl w:val="0"/>
          <w:lang w:val="en-US"/>
        </w:rPr>
        <w:t>s Housing Initiatives</w:t>
      </w:r>
    </w:p>
    <w:p>
      <w:pPr>
        <w:pStyle w:val="Body"/>
        <w:bidi w:val="0"/>
        <w:ind w:left="1440"/>
      </w:pPr>
      <w:r>
        <w:rPr>
          <w:rtl w:val="0"/>
        </w:rPr>
        <w:tab/>
        <w:t>•</w:t>
        <w:tab/>
      </w:r>
      <w:r>
        <w:rPr>
          <w:b w:val="1"/>
          <w:bCs w:val="1"/>
          <w:rtl w:val="0"/>
          <w:lang w:val="en-US"/>
        </w:rPr>
        <w:t>Summary</w:t>
      </w:r>
      <w:r>
        <w:rPr>
          <w:rtl w:val="0"/>
        </w:rPr>
        <w:t>: In her 2025 State of the State address, Governor Kathy Hochul proposed a $100 million investment to support critical housing infrastructure projects and the creation of a revolving loan fund aimed at spurring mixed-income rental development outside of New York City.</w:t>
      </w:r>
    </w:p>
    <w:p>
      <w:pPr>
        <w:pStyle w:val="Body"/>
        <w:bidi w:val="0"/>
        <w:ind w:left="1440"/>
      </w:pPr>
      <w:r>
        <w:rPr>
          <w:rtl w:val="0"/>
        </w:rPr>
        <w:tab/>
        <w:t>•</w:t>
        <w:tab/>
      </w:r>
      <w:r>
        <w:rPr>
          <w:b w:val="1"/>
          <w:bCs w:val="1"/>
          <w:rtl w:val="0"/>
          <w:lang w:val="en-US"/>
        </w:rPr>
        <w:t>Implications</w:t>
      </w:r>
      <w:r>
        <w:rPr>
          <w:rtl w:val="0"/>
        </w:rPr>
        <w:t>: These initiatives, while not directly focused on tenant ownership, indicate a state-level commitment to addressing housing affordability, which could be leveraged to support ownership models.</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"https://www.governor.ny.gov/news/governor-hochul-proposes-new-initiatives-address-housing-crisis-and-make-rent-and-mortgages"</w:instrText>
      </w:r>
      <w:r>
        <w:rPr>
          <w:rStyle w:val="Hyperlink.0"/>
        </w:rPr>
        <w:fldChar w:fldCharType="separate" w:fldLock="0"/>
      </w:r>
      <w:r>
        <w:rPr>
          <w:rStyle w:val="Hyperlink.0"/>
          <w:rtl w:val="0"/>
          <w:lang w:val="de-DE"/>
        </w:rPr>
        <w:t>Governor Hochul</w:t>
      </w:r>
      <w:r>
        <w:rPr>
          <w:rStyle w:val="Hyperlink.0"/>
          <w:rtl w:val="1"/>
        </w:rPr>
        <w:t>’</w:t>
      </w:r>
      <w:r>
        <w:rPr>
          <w:rStyle w:val="Hyperlink.0"/>
          <w:rtl w:val="0"/>
        </w:rPr>
        <w:t>s Housing Proposals</w:t>
      </w:r>
      <w:r>
        <w:rPr/>
        <w:fldChar w:fldCharType="end" w:fldLock="0"/>
      </w:r>
    </w:p>
    <w:p>
      <w:pPr>
        <w:pStyle w:val="Body"/>
        <w:bidi w:val="0"/>
        <w:ind w:left="1440"/>
      </w:pPr>
    </w:p>
    <w:p>
      <w:pPr>
        <w:pStyle w:val="Body"/>
        <w:rPr>
          <w:b w:val="1"/>
          <w:bCs w:val="1"/>
        </w:rPr>
      </w:pPr>
      <w:r>
        <w:rPr>
          <w:b w:val="1"/>
          <w:bCs w:val="1"/>
          <w:rtl w:val="0"/>
          <w:lang w:val="en-US"/>
        </w:rPr>
        <w:t>B. Federal Legislation</w:t>
      </w:r>
    </w:p>
    <w:p>
      <w:pPr>
        <w:pStyle w:val="Body"/>
        <w:bidi w:val="0"/>
        <w:ind w:left="720"/>
      </w:pPr>
      <w:r>
        <w:rPr>
          <w:rtl w:val="0"/>
        </w:rPr>
        <w:tab/>
        <w:t>1.</w:t>
        <w:tab/>
      </w:r>
      <w:r>
        <w:rPr>
          <w:b w:val="1"/>
          <w:bCs w:val="1"/>
          <w:rtl w:val="0"/>
          <w:lang w:val="en-US"/>
        </w:rPr>
        <w:t>Manufactured Housing Tenant</w:t>
      </w:r>
      <w:r>
        <w:rPr>
          <w:b w:val="1"/>
          <w:bCs w:val="1"/>
          <w:rtl w:val="1"/>
        </w:rPr>
        <w:t>’</w:t>
      </w:r>
      <w:r>
        <w:rPr>
          <w:b w:val="1"/>
          <w:bCs w:val="1"/>
          <w:rtl w:val="0"/>
          <w:lang w:val="en-US"/>
        </w:rPr>
        <w:t>s Bill of Rights Act of 2023</w:t>
      </w:r>
    </w:p>
    <w:p>
      <w:pPr>
        <w:pStyle w:val="Body"/>
        <w:bidi w:val="0"/>
        <w:ind w:left="1440"/>
      </w:pPr>
      <w:r>
        <w:rPr>
          <w:rtl w:val="0"/>
        </w:rPr>
        <w:tab/>
        <w:t>•</w:t>
        <w:tab/>
      </w:r>
      <w:r>
        <w:rPr>
          <w:b w:val="1"/>
          <w:bCs w:val="1"/>
          <w:rtl w:val="0"/>
          <w:lang w:val="en-US"/>
        </w:rPr>
        <w:t>Bill Number</w:t>
      </w:r>
      <w:r>
        <w:rPr>
          <w:rtl w:val="0"/>
        </w:rPr>
        <w:t>: S.2204 (118th Congress)</w:t>
      </w:r>
    </w:p>
    <w:p>
      <w:pPr>
        <w:pStyle w:val="Body"/>
        <w:bidi w:val="0"/>
        <w:ind w:left="1440"/>
      </w:pPr>
      <w:r>
        <w:rPr>
          <w:rtl w:val="0"/>
        </w:rPr>
        <w:tab/>
        <w:t>•</w:t>
        <w:tab/>
      </w:r>
      <w:r>
        <w:rPr>
          <w:b w:val="1"/>
          <w:bCs w:val="1"/>
          <w:rtl w:val="0"/>
          <w:lang w:val="en-US"/>
        </w:rPr>
        <w:t>Summary</w:t>
      </w:r>
      <w:r>
        <w:rPr>
          <w:rtl w:val="0"/>
        </w:rPr>
        <w:t>: This bill aims to ensure that federally backed financing for manufactured home communities is available only to those whose owners have implemented minimum consumer protections in lease agreements.</w:t>
      </w:r>
    </w:p>
    <w:p>
      <w:pPr>
        <w:pStyle w:val="Body"/>
        <w:bidi w:val="0"/>
        <w:ind w:left="1440"/>
      </w:pPr>
      <w:r>
        <w:rPr>
          <w:rtl w:val="0"/>
        </w:rPr>
        <w:tab/>
        <w:t>•</w:t>
        <w:tab/>
      </w:r>
      <w:r>
        <w:rPr>
          <w:b w:val="1"/>
          <w:bCs w:val="1"/>
          <w:rtl w:val="0"/>
          <w:lang w:val="en-US"/>
        </w:rPr>
        <w:t>Implications</w:t>
      </w:r>
      <w:r>
        <w:rPr>
          <w:rtl w:val="0"/>
        </w:rPr>
        <w:t>: While specific to manufactured housing, this legislation underscores a federal interest in tenant protections, which could be expanded to broader tenant ownership initiatives.</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"https://www.congress.gov/bill/118th-congress/senate-bill/2204/text"</w:instrText>
      </w:r>
      <w:r>
        <w:rPr>
          <w:rStyle w:val="Hyperlink.0"/>
        </w:rPr>
        <w:fldChar w:fldCharType="separate" w:fldLock="0"/>
      </w:r>
      <w:r>
        <w:rPr>
          <w:rStyle w:val="Hyperlink.0"/>
          <w:rtl w:val="0"/>
        </w:rPr>
        <w:t>Manufactured Housing Tenant</w:t>
      </w:r>
      <w:r>
        <w:rPr>
          <w:rStyle w:val="Hyperlink.0"/>
          <w:rtl w:val="1"/>
        </w:rPr>
        <w:t>’</w:t>
      </w:r>
      <w:r>
        <w:rPr>
          <w:rStyle w:val="Hyperlink.0"/>
          <w:rtl w:val="0"/>
        </w:rPr>
        <w:t>s Bill of Rights Act of 2023</w:t>
      </w:r>
      <w:r>
        <w:rPr/>
        <w:fldChar w:fldCharType="end" w:fldLock="0"/>
      </w:r>
    </w:p>
    <w:p>
      <w:pPr>
        <w:pStyle w:val="Body"/>
        <w:bidi w:val="0"/>
        <w:ind w:left="720"/>
      </w:pPr>
      <w:r>
        <w:rPr>
          <w:rtl w:val="0"/>
        </w:rPr>
        <w:tab/>
        <w:t>2.</w:t>
        <w:tab/>
      </w:r>
      <w:r>
        <w:rPr>
          <w:b w:val="1"/>
          <w:bCs w:val="1"/>
          <w:rtl w:val="0"/>
          <w:lang w:val="en-US"/>
        </w:rPr>
        <w:t>National Tenants Bill of Rights</w:t>
      </w:r>
    </w:p>
    <w:p>
      <w:pPr>
        <w:pStyle w:val="Body"/>
        <w:bidi w:val="0"/>
        <w:ind w:left="1440"/>
      </w:pPr>
      <w:r>
        <w:rPr>
          <w:rtl w:val="0"/>
        </w:rPr>
        <w:tab/>
        <w:t>•</w:t>
        <w:tab/>
      </w:r>
      <w:r>
        <w:rPr>
          <w:b w:val="1"/>
          <w:bCs w:val="1"/>
          <w:rtl w:val="0"/>
          <w:lang w:val="en-US"/>
        </w:rPr>
        <w:t>Summary</w:t>
      </w:r>
      <w:r>
        <w:rPr>
          <w:rtl w:val="0"/>
        </w:rPr>
        <w:t>: Launched by the National Low Income Housing Coalition (NLIHC), National Housing Law Project (NHLP), and Tenant Union Federation (TUF), this framework outlines seven essential rights to establish a baseline of tenant protections in the rental housing market.</w:t>
      </w:r>
    </w:p>
    <w:p>
      <w:pPr>
        <w:pStyle w:val="Body"/>
        <w:bidi w:val="0"/>
        <w:ind w:left="1440"/>
      </w:pPr>
      <w:r>
        <w:rPr>
          <w:rtl w:val="0"/>
        </w:rPr>
        <w:tab/>
        <w:t>•</w:t>
        <w:tab/>
      </w:r>
      <w:r>
        <w:rPr>
          <w:b w:val="1"/>
          <w:bCs w:val="1"/>
          <w:rtl w:val="0"/>
          <w:lang w:val="en-US"/>
        </w:rPr>
        <w:t>Implications</w:t>
      </w:r>
      <w:r>
        <w:rPr>
          <w:rtl w:val="0"/>
        </w:rPr>
        <w:t>: While not yet enacted into law, this initiative reflects a growing movement toward comprehensive federal tenant protections, which could pave the way for policies supporting tenant ownership.</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"https://nlihc.org/resource/nlihc-nhlp-and-tuf-launch-national-tenants-bill-rights-enshrine-federal-tenant-protections"</w:instrText>
      </w:r>
      <w:r>
        <w:rPr>
          <w:rStyle w:val="Hyperlink.0"/>
        </w:rPr>
        <w:fldChar w:fldCharType="separate" w:fldLock="0"/>
      </w:r>
      <w:r>
        <w:rPr>
          <w:rStyle w:val="Hyperlink.0"/>
          <w:rtl w:val="0"/>
        </w:rPr>
        <w:t>National Tenants Bill of Rights</w:t>
      </w:r>
      <w:r>
        <w:rPr/>
        <w:fldChar w:fldCharType="end" w:fldLock="0"/>
      </w:r>
    </w:p>
    <w:p>
      <w:pPr>
        <w:pStyle w:val="Body"/>
        <w:bidi w:val="0"/>
        <w:ind w:left="720"/>
      </w:pPr>
      <w:r>
        <w:rPr>
          <w:rtl w:val="0"/>
        </w:rPr>
        <w:tab/>
        <w:t>3.</w:t>
        <w:tab/>
      </w:r>
      <w:r>
        <w:rPr>
          <w:b w:val="1"/>
          <w:bCs w:val="1"/>
          <w:rtl w:val="0"/>
          <w:lang w:val="en-US"/>
        </w:rPr>
        <w:t>Affordable Housing Legislation by Rep. Alexandria Ocasio-Cortez</w:t>
      </w:r>
    </w:p>
    <w:p>
      <w:pPr>
        <w:pStyle w:val="Body"/>
        <w:bidi w:val="0"/>
        <w:ind w:left="1440"/>
      </w:pPr>
      <w:r>
        <w:rPr>
          <w:rtl w:val="0"/>
        </w:rPr>
        <w:tab/>
        <w:t>•</w:t>
        <w:tab/>
      </w:r>
      <w:r>
        <w:rPr>
          <w:b w:val="1"/>
          <w:bCs w:val="1"/>
          <w:rtl w:val="0"/>
          <w:lang w:val="en-US"/>
        </w:rPr>
        <w:t>Summary</w:t>
      </w:r>
      <w:r>
        <w:rPr>
          <w:rtl w:val="0"/>
        </w:rPr>
        <w:t>: In September 2024, Representative Alexandria Ocasio-Cortez introduced legislation proposing a federally funded social housing program aimed at constructing millions of new affordable homes.</w:t>
      </w:r>
    </w:p>
    <w:p>
      <w:pPr>
        <w:pStyle w:val="Body"/>
        <w:bidi w:val="0"/>
        <w:ind w:left="1440"/>
      </w:pPr>
      <w:r>
        <w:rPr>
          <w:rtl w:val="0"/>
        </w:rPr>
        <w:tab/>
        <w:t>•</w:t>
        <w:tab/>
      </w:r>
      <w:r>
        <w:rPr>
          <w:b w:val="1"/>
          <w:bCs w:val="1"/>
          <w:rtl w:val="0"/>
          <w:lang w:val="en-US"/>
        </w:rPr>
        <w:t>Implications</w:t>
      </w:r>
      <w:r>
        <w:rPr>
          <w:rtl w:val="0"/>
        </w:rPr>
        <w:t>: This ambitious proposal seeks to address the housing crisis by ensuring long-term affordability and could serve as a model for integrating tenant ownership components.</w:t>
      </w:r>
    </w:p>
    <w:p>
      <w:pPr>
        <w:pStyle w:val="Body"/>
        <w:bidi w:val="0"/>
        <w:ind w:left="1440"/>
      </w:pPr>
      <w:r>
        <w:rPr>
          <w:rtl w:val="0"/>
        </w:rPr>
        <w:tab/>
        <w:t>•</w:t>
        <w:tab/>
      </w:r>
      <w:r>
        <w:rPr>
          <w:b w:val="1"/>
          <w:bCs w:val="1"/>
          <w:rtl w:val="0"/>
          <w:lang w:val="en-US"/>
        </w:rPr>
        <w:t>Reference</w:t>
      </w:r>
      <w:r>
        <w:rPr>
          <w:rtl w:val="0"/>
        </w:rPr>
        <w:t xml:space="preserve">: </w:t>
      </w:r>
      <w:r>
        <w:rPr>
          <w:rStyle w:val="Hyperlink.0"/>
        </w:rPr>
        <w:fldChar w:fldCharType="begin" w:fldLock="0"/>
      </w:r>
      <w:r>
        <w:rPr>
          <w:rStyle w:val="Hyperlink.0"/>
        </w:rPr>
        <w:instrText xml:space="preserve"> HYPERLINK "https://www.theguardian.com/us-news/2024/sep/19/aoc-affordable-housing-bill"</w:instrText>
      </w:r>
      <w:r>
        <w:rPr>
          <w:rStyle w:val="Hyperlink.0"/>
        </w:rPr>
        <w:fldChar w:fldCharType="separate" w:fldLock="0"/>
      </w:r>
      <w:r>
        <w:rPr>
          <w:rStyle w:val="Hyperlink.0"/>
          <w:rtl w:val="0"/>
        </w:rPr>
        <w:t>Affordable Housing Legislation</w:t>
      </w:r>
      <w:r>
        <w:rPr/>
        <w:fldChar w:fldCharType="end" w:fldLock="0"/>
      </w:r>
    </w:p>
    <w:p>
      <w:pPr>
        <w:pStyle w:val="Body"/>
        <w:bidi w:val="0"/>
        <w:ind w:left="1440"/>
      </w:pPr>
    </w:p>
    <w:p>
      <w:pPr>
        <w:pStyle w:val="Body"/>
        <w:rPr>
          <w:b w:val="1"/>
          <w:bCs w:val="1"/>
        </w:rPr>
      </w:pPr>
      <w:r>
        <w:rPr>
          <w:b w:val="1"/>
          <w:bCs w:val="1"/>
          <w:rtl w:val="0"/>
          <w:lang w:val="en-US"/>
        </w:rPr>
        <w:t>II. Research Sources for Policy Development</w:t>
      </w:r>
    </w:p>
    <w:p>
      <w:pPr>
        <w:pStyle w:val="Body"/>
        <w:bidi w:val="0"/>
      </w:pPr>
    </w:p>
    <w:p>
      <w:pPr>
        <w:pStyle w:val="Body"/>
        <w:bidi w:val="0"/>
      </w:pPr>
      <w:r>
        <w:rPr>
          <w:rtl w:val="0"/>
        </w:rPr>
        <w:t>To support the development and advocacy of your policy reform, consider consulting the following research sources:</w:t>
      </w:r>
    </w:p>
    <w:p>
      <w:pPr>
        <w:pStyle w:val="Body"/>
        <w:bidi w:val="0"/>
        <w:ind w:left="720"/>
      </w:pPr>
      <w:r>
        <w:rPr>
          <w:rtl w:val="0"/>
        </w:rPr>
        <w:tab/>
        <w:t>1.</w:t>
        <w:tab/>
      </w:r>
      <w:r>
        <w:rPr>
          <w:b w:val="1"/>
          <w:bCs w:val="1"/>
          <w:rtl w:val="1"/>
          <w:lang w:val="ar-SA" w:bidi="ar-SA"/>
        </w:rPr>
        <w:t>“</w:t>
      </w:r>
      <w:r>
        <w:rPr>
          <w:b w:val="1"/>
          <w:bCs w:val="1"/>
          <w:rtl w:val="0"/>
          <w:lang w:val="en-US"/>
        </w:rPr>
        <w:t>The Color of Law</w:t>
      </w:r>
      <w:r>
        <w:rPr>
          <w:b w:val="1"/>
          <w:bCs w:val="1"/>
          <w:rtl w:val="0"/>
        </w:rPr>
        <w:t xml:space="preserve">” </w:t>
      </w:r>
      <w:r>
        <w:rPr>
          <w:b w:val="1"/>
          <w:bCs w:val="1"/>
          <w:rtl w:val="0"/>
          <w:lang w:val="de-DE"/>
        </w:rPr>
        <w:t>by Richard Rothstein</w:t>
      </w:r>
    </w:p>
    <w:p>
      <w:pPr>
        <w:pStyle w:val="Body"/>
        <w:bidi w:val="0"/>
        <w:ind w:left="1440"/>
      </w:pPr>
      <w:r>
        <w:rPr>
          <w:rtl w:val="0"/>
        </w:rPr>
        <w:tab/>
        <w:t>•</w:t>
        <w:tab/>
      </w:r>
      <w:r>
        <w:rPr>
          <w:b w:val="1"/>
          <w:bCs w:val="1"/>
          <w:rtl w:val="0"/>
          <w:lang w:val="en-US"/>
        </w:rPr>
        <w:t>Summary</w:t>
      </w:r>
      <w:r>
        <w:rPr>
          <w:rtl w:val="0"/>
        </w:rPr>
        <w:t>: This book provides a detailed examination of how federal, state, and local policies systematically enforced racial segregation in housing, leading to the disparities we see today.</w:t>
      </w:r>
    </w:p>
    <w:p>
      <w:pPr>
        <w:pStyle w:val="Body"/>
        <w:bidi w:val="0"/>
        <w:ind w:left="1440"/>
      </w:pPr>
      <w:r>
        <w:rPr>
          <w:rtl w:val="0"/>
        </w:rPr>
        <w:tab/>
        <w:t>•</w:t>
        <w:tab/>
      </w:r>
      <w:r>
        <w:rPr>
          <w:b w:val="1"/>
          <w:bCs w:val="1"/>
          <w:rtl w:val="0"/>
          <w:lang w:val="fr-FR"/>
        </w:rPr>
        <w:t>Relevance</w:t>
      </w:r>
      <w:r>
        <w:rPr>
          <w:rtl w:val="0"/>
        </w:rPr>
        <w:t>: Understanding the historical context of housing discrimination is crucial for framing the need for policies that promote tenant ownership in marginalized communities.</w:t>
      </w:r>
    </w:p>
    <w:p>
      <w:pPr>
        <w:pStyle w:val="Body"/>
        <w:bidi w:val="0"/>
        <w:ind w:left="720"/>
      </w:pPr>
      <w:r>
        <w:rPr>
          <w:rtl w:val="0"/>
        </w:rPr>
        <w:tab/>
        <w:t>2.</w:t>
        <w:tab/>
      </w:r>
      <w:r>
        <w:rPr>
          <w:b w:val="1"/>
          <w:bCs w:val="1"/>
          <w:rtl w:val="1"/>
          <w:lang w:val="ar-SA" w:bidi="ar-SA"/>
        </w:rPr>
        <w:t>“</w:t>
      </w:r>
      <w:r>
        <w:rPr>
          <w:b w:val="1"/>
          <w:bCs w:val="1"/>
          <w:rtl w:val="0"/>
          <w:lang w:val="en-US"/>
        </w:rPr>
        <w:t>Evicted: Poverty and Profit in the American City</w:t>
      </w:r>
      <w:r>
        <w:rPr>
          <w:b w:val="1"/>
          <w:bCs w:val="1"/>
          <w:rtl w:val="0"/>
        </w:rPr>
        <w:t xml:space="preserve">” </w:t>
      </w:r>
      <w:r>
        <w:rPr>
          <w:b w:val="1"/>
          <w:bCs w:val="1"/>
          <w:rtl w:val="0"/>
          <w:lang w:val="en-US"/>
        </w:rPr>
        <w:t>by Matthew Desmond</w:t>
      </w:r>
    </w:p>
    <w:p>
      <w:pPr>
        <w:pStyle w:val="Body"/>
        <w:bidi w:val="0"/>
        <w:ind w:left="1440"/>
      </w:pPr>
      <w:r>
        <w:rPr>
          <w:rtl w:val="0"/>
        </w:rPr>
        <w:tab/>
        <w:t>•</w:t>
        <w:tab/>
      </w:r>
      <w:r>
        <w:rPr>
          <w:b w:val="1"/>
          <w:bCs w:val="1"/>
          <w:rtl w:val="0"/>
          <w:lang w:val="en-US"/>
        </w:rPr>
        <w:t>Summary</w:t>
      </w:r>
      <w:r>
        <w:rPr>
          <w:rtl w:val="0"/>
        </w:rPr>
        <w:t>: This ethnographic study explores the impact of eviction on low-income families and the role of exploitative landlords in perpetuating poverty.</w:t>
      </w:r>
    </w:p>
    <w:p>
      <w:pPr>
        <w:pStyle w:val="Body"/>
        <w:bidi w:val="0"/>
        <w:ind w:left="1440"/>
      </w:pPr>
      <w:r>
        <w:rPr>
          <w:rtl w:val="0"/>
        </w:rPr>
        <w:tab/>
        <w:t>•</w:t>
        <w:tab/>
      </w:r>
      <w:r>
        <w:rPr>
          <w:b w:val="1"/>
          <w:bCs w:val="1"/>
          <w:rtl w:val="0"/>
          <w:lang w:val="fr-FR"/>
        </w:rPr>
        <w:t>Relevance</w:t>
      </w:r>
      <w:r>
        <w:rPr>
          <w:rtl w:val="0"/>
        </w:rPr>
        <w:t>: Provides insight into the challenges tenants face and underscores the importance of shifting from rental dependency to ownership models.</w:t>
      </w:r>
    </w:p>
    <w:p>
      <w:pPr>
        <w:pStyle w:val="Body"/>
        <w:bidi w:val="0"/>
        <w:ind w:left="720"/>
      </w:pPr>
      <w:r>
        <w:rPr>
          <w:rtl w:val="0"/>
        </w:rPr>
        <w:tab/>
        <w:t>3.</w:t>
        <w:tab/>
      </w:r>
      <w:r>
        <w:rPr>
          <w:b w:val="1"/>
          <w:bCs w:val="1"/>
          <w:rtl w:val="1"/>
          <w:lang w:val="ar-SA" w:bidi="ar-SA"/>
        </w:rPr>
        <w:t>“</w:t>
      </w:r>
      <w:r>
        <w:rPr>
          <w:b w:val="1"/>
          <w:bCs w:val="1"/>
          <w:rtl w:val="0"/>
          <w:lang w:val="en-US"/>
        </w:rPr>
        <w:t>Homeownership and the Racial Wealth Gap</w:t>
      </w:r>
      <w:r>
        <w:rPr>
          <w:b w:val="1"/>
          <w:bCs w:val="1"/>
          <w:rtl w:val="0"/>
        </w:rPr>
        <w:t xml:space="preserve">” </w:t>
      </w:r>
      <w:r>
        <w:rPr>
          <w:b w:val="1"/>
          <w:bCs w:val="1"/>
          <w:rtl w:val="0"/>
          <w:lang w:val="en-US"/>
        </w:rPr>
        <w:t>by the Urban Institute</w:t>
      </w:r>
    </w:p>
    <w:p>
      <w:pPr>
        <w:pStyle w:val="Body"/>
        <w:bidi w:val="0"/>
        <w:ind w:left="1440"/>
      </w:pPr>
      <w:r>
        <w:rPr>
          <w:rtl w:val="0"/>
        </w:rPr>
        <w:tab/>
        <w:t>•</w:t>
        <w:tab/>
      </w:r>
      <w:r>
        <w:rPr>
          <w:b w:val="1"/>
          <w:bCs w:val="1"/>
          <w:rtl w:val="0"/>
          <w:lang w:val="en-US"/>
        </w:rPr>
        <w:t>Summary</w:t>
      </w:r>
      <w:r>
        <w:rPr>
          <w:rtl w:val="0"/>
        </w:rPr>
        <w:t>: This report analyzes how disparities in homeownership rates contribute to the racial wealth gap and offers policy recommendations to address these inequities.</w:t>
      </w:r>
    </w:p>
    <w:p>
      <w:pPr>
        <w:pStyle w:val="Body"/>
        <w:bidi w:val="0"/>
        <w:ind w:left="1440"/>
      </w:pPr>
      <w:r>
        <w:rPr>
          <w:rtl w:val="0"/>
        </w:rPr>
        <w:tab/>
        <w:t>•</w:t>
        <w:tab/>
      </w:r>
      <w:r>
        <w:rPr>
          <w:b w:val="1"/>
          <w:bCs w:val="1"/>
          <w:rtl w:val="0"/>
          <w:lang w:val="fr-FR"/>
        </w:rPr>
        <w:t>Relevance</w:t>
      </w:r>
      <w:r>
        <w:rPr>
          <w:rtl w:val="0"/>
        </w:rPr>
        <w:t>: Offers empirical data supporting the argument that promoting homeownership among communities of color can significantly reduce wealth disparities.</w:t>
      </w:r>
    </w:p>
    <w:p>
      <w:pPr>
        <w:pStyle w:val="Body"/>
        <w:bidi w:val="0"/>
        <w:ind w:left="720"/>
      </w:pPr>
      <w:r>
        <w:rPr>
          <w:rtl w:val="0"/>
        </w:rPr>
        <w:tab/>
        <w:t>4.</w:t>
        <w:tab/>
      </w:r>
      <w:r>
        <w:rPr>
          <w:b w:val="1"/>
          <w:bCs w:val="1"/>
          <w:rtl w:val="1"/>
          <w:lang w:val="ar-SA" w:bidi="ar-SA"/>
        </w:rPr>
        <w:t>“</w:t>
      </w:r>
      <w:r>
        <w:rPr>
          <w:b w:val="1"/>
          <w:bCs w:val="1"/>
          <w:rtl w:val="0"/>
          <w:lang w:val="en-US"/>
        </w:rPr>
        <w:t>Community Land Trusts and Housing Affordability</w:t>
      </w:r>
      <w:r>
        <w:rPr>
          <w:b w:val="1"/>
          <w:bCs w:val="1"/>
          <w:rtl w:val="0"/>
        </w:rPr>
        <w:t xml:space="preserve">” </w:t>
      </w:r>
      <w:r>
        <w:rPr>
          <w:b w:val="1"/>
          <w:bCs w:val="1"/>
          <w:rtl w:val="0"/>
          <w:lang w:val="en-US"/>
        </w:rPr>
        <w:t>by the Lincoln Institute of Land Policy</w:t>
      </w:r>
    </w:p>
    <w:p>
      <w:pPr>
        <w:pStyle w:val="Body"/>
        <w:bidi w:val="0"/>
        <w:ind w:left="1440"/>
      </w:pPr>
      <w:r>
        <w:rPr>
          <w:rtl w:val="0"/>
        </w:rPr>
        <w:tab/>
        <w:t>•</w:t>
        <w:tab/>
      </w:r>
      <w:r>
        <w:rPr>
          <w:b w:val="1"/>
          <w:bCs w:val="1"/>
          <w:rtl w:val="0"/>
          <w:lang w:val="en-US"/>
        </w:rPr>
        <w:t>Summary</w:t>
      </w:r>
      <w:r>
        <w:rPr>
          <w:rtl w:val="0"/>
        </w:rPr>
        <w:t>: This study examines how community</w:t>
      </w:r>
    </w:p>
    <w:p>
      <w:pPr>
        <w:pStyle w:val="Body"/>
        <w:bidi w:val="0"/>
        <w:ind w:left="1440"/>
      </w:pPr>
    </w:p>
    <w:p>
      <w:pPr>
        <w:pStyle w:val="Body"/>
        <w:rPr>
          <w:b w:val="1"/>
          <w:bCs w:val="1"/>
        </w:rPr>
      </w:pPr>
      <w:r>
        <w:rPr>
          <w:b w:val="1"/>
          <w:bCs w:val="1"/>
          <w:rtl w:val="0"/>
          <w:lang w:val="de-DE"/>
        </w:rPr>
        <w:t>MEMORANDUM</w:t>
      </w:r>
    </w:p>
    <w:p>
      <w:pPr>
        <w:pStyle w:val="Body"/>
        <w:bidi w:val="0"/>
      </w:pPr>
    </w:p>
    <w:p>
      <w:pPr>
        <w:pStyle w:val="Body"/>
        <w:bidi w:val="0"/>
      </w:pPr>
      <w:r>
        <w:rPr>
          <w:b w:val="1"/>
          <w:bCs w:val="1"/>
          <w:rtl w:val="0"/>
          <w:lang w:val="it-IT"/>
        </w:rPr>
        <w:t>To:</w:t>
      </w:r>
      <w:r>
        <w:rPr>
          <w:rtl w:val="0"/>
        </w:rPr>
        <w:t xml:space="preserve"> Stakeholders in Housing Reform, New York City Council, Public Advocates</w:t>
      </w:r>
    </w:p>
    <w:p>
      <w:pPr>
        <w:pStyle w:val="Body"/>
        <w:bidi w:val="0"/>
      </w:pPr>
      <w:r>
        <w:rPr>
          <w:b w:val="1"/>
          <w:bCs w:val="1"/>
          <w:rtl w:val="0"/>
          <w:lang w:val="en-US"/>
        </w:rPr>
        <w:t>From:</w:t>
      </w:r>
      <w:r>
        <w:rPr>
          <w:rtl w:val="0"/>
        </w:rPr>
        <w:t xml:space="preserve"> [Your Name]</w:t>
      </w:r>
    </w:p>
    <w:p>
      <w:pPr>
        <w:pStyle w:val="Body"/>
        <w:bidi w:val="0"/>
      </w:pPr>
      <w:r>
        <w:rPr>
          <w:b w:val="1"/>
          <w:bCs w:val="1"/>
          <w:rtl w:val="0"/>
          <w:lang w:val="de-DE"/>
        </w:rPr>
        <w:t>Date:</w:t>
      </w:r>
      <w:r>
        <w:rPr>
          <w:rtl w:val="0"/>
          <w:lang w:val="de-DE"/>
        </w:rPr>
        <w:t xml:space="preserve"> [Date]</w:t>
      </w:r>
    </w:p>
    <w:p>
      <w:pPr>
        <w:pStyle w:val="Body"/>
        <w:bidi w:val="0"/>
      </w:pPr>
      <w:r>
        <w:rPr>
          <w:b w:val="1"/>
          <w:bCs w:val="1"/>
          <w:rtl w:val="0"/>
          <w:lang w:val="en-US"/>
        </w:rPr>
        <w:t>Subject:</w:t>
      </w:r>
      <w:r>
        <w:rPr>
          <w:rtl w:val="0"/>
        </w:rPr>
        <w:t xml:space="preserve"> </w:t>
      </w:r>
      <w:r>
        <w:rPr>
          <w:b w:val="1"/>
          <w:bCs w:val="1"/>
          <w:rtl w:val="0"/>
          <w:lang w:val="en-US"/>
        </w:rPr>
        <w:t>Transforming Housing Subsidies into Pathways for Tenant Ownership in NYC</w:t>
      </w:r>
    </w:p>
    <w:p>
      <w:pPr>
        <w:pStyle w:val="Body"/>
        <w:bidi w:val="0"/>
      </w:pPr>
    </w:p>
    <w:p>
      <w:pPr>
        <w:pStyle w:val="Body"/>
        <w:rPr>
          <w:b w:val="1"/>
          <w:bCs w:val="1"/>
        </w:rPr>
      </w:pPr>
      <w:r>
        <w:rPr>
          <w:b w:val="1"/>
          <w:bCs w:val="1"/>
          <w:rtl w:val="0"/>
          <w:lang w:val="en-US"/>
        </w:rPr>
        <w:t>I. Purpose of This Memo</w:t>
      </w:r>
    </w:p>
    <w:p>
      <w:pPr>
        <w:pStyle w:val="Body"/>
        <w:bidi w:val="0"/>
      </w:pPr>
    </w:p>
    <w:p>
      <w:pPr>
        <w:pStyle w:val="Body"/>
        <w:bidi w:val="0"/>
      </w:pPr>
      <w:r>
        <w:rPr>
          <w:rtl w:val="0"/>
        </w:rPr>
        <w:t>This memo outlines a comprehensive strategy to reform housing policy in New York City by shifting public investment from rental subsidies</w:t>
      </w:r>
      <w:r>
        <w:rPr>
          <w:rtl w:val="0"/>
        </w:rPr>
        <w:t>—</w:t>
      </w:r>
      <w:r>
        <w:rPr>
          <w:rtl w:val="0"/>
        </w:rPr>
        <w:t>largely benefiting landlords</w:t>
      </w:r>
      <w:r>
        <w:rPr>
          <w:rtl w:val="0"/>
        </w:rPr>
        <w:t>—</w:t>
      </w:r>
      <w:r>
        <w:rPr>
          <w:rtl w:val="0"/>
        </w:rPr>
        <w:t xml:space="preserve">toward tenant ownership programs. This initiative aims to </w:t>
      </w:r>
      <w:r>
        <w:rPr>
          <w:b w:val="1"/>
          <w:bCs w:val="1"/>
          <w:rtl w:val="0"/>
          <w:lang w:val="en-US"/>
        </w:rPr>
        <w:t>combat systemic racial inequities, create intergenerational wealth, stabilize communities, and reduce reliance on government-funded rental assistance.</w:t>
      </w:r>
    </w:p>
    <w:p>
      <w:pPr>
        <w:pStyle w:val="Body"/>
        <w:bidi w:val="0"/>
      </w:pPr>
    </w:p>
    <w:p>
      <w:pPr>
        <w:pStyle w:val="Body"/>
        <w:bidi w:val="0"/>
      </w:pPr>
      <w:r>
        <w:rPr>
          <w:rtl w:val="0"/>
        </w:rPr>
        <w:t xml:space="preserve">Through legislative, financial, and structural reforms, NYC can establish </w:t>
      </w:r>
      <w:r>
        <w:rPr>
          <w:b w:val="1"/>
          <w:bCs w:val="1"/>
          <w:rtl w:val="0"/>
          <w:lang w:val="en-US"/>
        </w:rPr>
        <w:t>tenant ownership as a sustainable housing solution</w:t>
      </w:r>
      <w:r>
        <w:rPr>
          <w:rtl w:val="0"/>
        </w:rPr>
        <w:t xml:space="preserve"> while mitigating displacement, rent burdens, and housing court inefficiencies.</w:t>
      </w:r>
    </w:p>
    <w:p>
      <w:pPr>
        <w:pStyle w:val="Body"/>
        <w:bidi w:val="0"/>
      </w:pPr>
    </w:p>
    <w:p>
      <w:pPr>
        <w:pStyle w:val="Body"/>
        <w:rPr>
          <w:b w:val="1"/>
          <w:bCs w:val="1"/>
        </w:rPr>
      </w:pPr>
      <w:r>
        <w:rPr>
          <w:b w:val="1"/>
          <w:bCs w:val="1"/>
          <w:rtl w:val="0"/>
          <w:lang w:val="en-US"/>
        </w:rPr>
        <w:t>II. Problem Statement: NYC</w:t>
      </w:r>
      <w:r>
        <w:rPr>
          <w:b w:val="1"/>
          <w:bCs w:val="1"/>
          <w:rtl w:val="1"/>
        </w:rPr>
        <w:t>’</w:t>
      </w:r>
      <w:r>
        <w:rPr>
          <w:b w:val="1"/>
          <w:bCs w:val="1"/>
          <w:rtl w:val="0"/>
          <w:lang w:val="en-US"/>
        </w:rPr>
        <w:t>s Housing Subsidy System Is Structurally Flawed</w:t>
      </w:r>
    </w:p>
    <w:p>
      <w:pPr>
        <w:pStyle w:val="Body"/>
        <w:bidi w:val="0"/>
      </w:pPr>
    </w:p>
    <w:p>
      <w:pPr>
        <w:pStyle w:val="Body"/>
        <w:bidi w:val="0"/>
      </w:pPr>
      <w:r>
        <w:rPr>
          <w:rtl w:val="0"/>
        </w:rPr>
        <w:t xml:space="preserve">Despite investing over </w:t>
      </w:r>
      <w:r>
        <w:rPr>
          <w:b w:val="1"/>
          <w:bCs w:val="1"/>
          <w:rtl w:val="0"/>
          <w:lang w:val="en-US"/>
        </w:rPr>
        <w:t>$3 billion annually</w:t>
      </w:r>
      <w:r>
        <w:rPr>
          <w:rtl w:val="0"/>
        </w:rPr>
        <w:t xml:space="preserve"> in housing subsidies, New York City continues to experience:</w:t>
      </w:r>
    </w:p>
    <w:p>
      <w:pPr>
        <w:pStyle w:val="Body"/>
        <w:bidi w:val="0"/>
        <w:ind w:left="720"/>
      </w:pPr>
      <w:r>
        <w:rPr>
          <w:rtl w:val="0"/>
        </w:rPr>
        <w:tab/>
        <w:t>•</w:t>
        <w:tab/>
      </w:r>
      <w:r>
        <w:rPr>
          <w:b w:val="1"/>
          <w:bCs w:val="1"/>
          <w:rtl w:val="0"/>
          <w:lang w:val="en-US"/>
        </w:rPr>
        <w:t>High Rent Burdens</w:t>
      </w:r>
      <w:r>
        <w:rPr>
          <w:rtl w:val="0"/>
          <w:lang w:val="nl-NL"/>
        </w:rPr>
        <w:t xml:space="preserve">: Over </w:t>
      </w:r>
      <w:r>
        <w:rPr>
          <w:b w:val="1"/>
          <w:bCs w:val="1"/>
          <w:rtl w:val="0"/>
          <w:lang w:val="en-US"/>
        </w:rPr>
        <w:t>50% of NYC renters</w:t>
      </w:r>
      <w:r>
        <w:rPr>
          <w:rtl w:val="0"/>
        </w:rPr>
        <w:t xml:space="preserve"> pay more than 30% of their income toward housing, with no opportunity to build equity.</w:t>
      </w:r>
    </w:p>
    <w:p>
      <w:pPr>
        <w:pStyle w:val="Body"/>
        <w:bidi w:val="0"/>
        <w:ind w:left="720"/>
      </w:pPr>
      <w:r>
        <w:rPr>
          <w:rtl w:val="0"/>
        </w:rPr>
        <w:tab/>
        <w:t>•</w:t>
        <w:tab/>
      </w:r>
      <w:r>
        <w:rPr>
          <w:b w:val="1"/>
          <w:bCs w:val="1"/>
          <w:rtl w:val="0"/>
          <w:lang w:val="en-US"/>
        </w:rPr>
        <w:t>Racial Wealth Disparities</w:t>
      </w:r>
      <w:r>
        <w:rPr>
          <w:rtl w:val="0"/>
        </w:rPr>
        <w:t xml:space="preserve">: The homeownership rate for Black and Latino New Yorkers remains </w:t>
      </w:r>
      <w:r>
        <w:rPr>
          <w:b w:val="1"/>
          <w:bCs w:val="1"/>
          <w:rtl w:val="0"/>
          <w:lang w:val="en-US"/>
        </w:rPr>
        <w:t>significantly lower than white residents</w:t>
      </w:r>
      <w:r>
        <w:rPr>
          <w:rtl w:val="0"/>
        </w:rPr>
        <w:t>, perpetuating generational poverty.</w:t>
      </w:r>
    </w:p>
    <w:p>
      <w:pPr>
        <w:pStyle w:val="Body"/>
        <w:bidi w:val="0"/>
        <w:ind w:left="720"/>
      </w:pPr>
      <w:r>
        <w:rPr>
          <w:rtl w:val="0"/>
        </w:rPr>
        <w:tab/>
        <w:t>•</w:t>
        <w:tab/>
      </w:r>
      <w:r>
        <w:rPr>
          <w:b w:val="1"/>
          <w:bCs w:val="1"/>
          <w:rtl w:val="0"/>
          <w:lang w:val="en-US"/>
        </w:rPr>
        <w:t>Landlord Exploitation &amp; Housing Court Misuse</w:t>
      </w:r>
      <w:r>
        <w:rPr>
          <w:rtl w:val="0"/>
        </w:rPr>
        <w:t xml:space="preserve">: </w:t>
      </w:r>
      <w:r>
        <w:rPr>
          <w:b w:val="1"/>
          <w:bCs w:val="1"/>
          <w:rtl w:val="0"/>
          <w:lang w:val="en-US"/>
        </w:rPr>
        <w:t>85% of housing court cases are landlord-initiated</w:t>
      </w:r>
      <w:r>
        <w:rPr>
          <w:rtl w:val="0"/>
        </w:rPr>
        <w:t xml:space="preserve">, often used as a tool for harassment, costing the city over </w:t>
      </w:r>
      <w:r>
        <w:rPr>
          <w:b w:val="1"/>
          <w:bCs w:val="1"/>
          <w:rtl w:val="0"/>
          <w:lang w:val="en-US"/>
        </w:rPr>
        <w:t>$400 million annually</w:t>
      </w:r>
      <w:r>
        <w:rPr>
          <w:rtl w:val="0"/>
        </w:rPr>
        <w:t>.</w:t>
      </w:r>
    </w:p>
    <w:p>
      <w:pPr>
        <w:pStyle w:val="Body"/>
        <w:bidi w:val="0"/>
        <w:ind w:left="720"/>
      </w:pPr>
      <w:r>
        <w:rPr>
          <w:rtl w:val="0"/>
        </w:rPr>
        <w:tab/>
        <w:t>•</w:t>
        <w:tab/>
      </w:r>
      <w:r>
        <w:rPr>
          <w:b w:val="1"/>
          <w:bCs w:val="1"/>
          <w:rtl w:val="0"/>
          <w:lang w:val="en-US"/>
        </w:rPr>
        <w:t>Continuous Public Expenditure Without Long-Term Solutions</w:t>
      </w:r>
      <w:r>
        <w:rPr>
          <w:rtl w:val="0"/>
        </w:rPr>
        <w:t xml:space="preserve">: Government-backed rental assistance (e.g., </w:t>
      </w:r>
      <w:r>
        <w:rPr>
          <w:b w:val="1"/>
          <w:bCs w:val="1"/>
          <w:rtl w:val="0"/>
          <w:lang w:val="en-US"/>
        </w:rPr>
        <w:t>Section 8, CityFHEPS</w:t>
      </w:r>
      <w:r>
        <w:rPr>
          <w:rtl w:val="0"/>
        </w:rPr>
        <w:t xml:space="preserve">) only </w:t>
      </w:r>
      <w:r>
        <w:rPr>
          <w:b w:val="1"/>
          <w:bCs w:val="1"/>
          <w:rtl w:val="0"/>
          <w:lang w:val="en-US"/>
        </w:rPr>
        <w:t>sustains dependency</w:t>
      </w:r>
      <w:r>
        <w:rPr>
          <w:rtl w:val="0"/>
        </w:rPr>
        <w:t xml:space="preserve"> rather than creating pathways to stability.</w:t>
      </w:r>
    </w:p>
    <w:p>
      <w:pPr>
        <w:pStyle w:val="Body"/>
        <w:bidi w:val="0"/>
        <w:ind w:left="720"/>
      </w:pPr>
    </w:p>
    <w:p>
      <w:pPr>
        <w:pStyle w:val="Body"/>
        <w:bidi w:val="0"/>
        <w:ind w:left="720"/>
      </w:pPr>
      <w:r>
        <w:rPr>
          <w:rtl w:val="0"/>
        </w:rPr>
        <w:t xml:space="preserve">This policy failure is </w:t>
      </w:r>
      <w:r>
        <w:rPr>
          <w:b w:val="1"/>
          <w:bCs w:val="1"/>
          <w:rtl w:val="0"/>
          <w:lang w:val="en-US"/>
        </w:rPr>
        <w:t>not just a housing issue, but a public health, economic justice, and racial equity crisis.</w:t>
      </w:r>
    </w:p>
    <w:p>
      <w:pPr>
        <w:pStyle w:val="Body"/>
        <w:bidi w:val="0"/>
        <w:ind w:left="720"/>
      </w:pPr>
    </w:p>
    <w:p>
      <w:pPr>
        <w:pStyle w:val="Body"/>
        <w:rPr>
          <w:b w:val="1"/>
          <w:bCs w:val="1"/>
        </w:rPr>
      </w:pPr>
      <w:r>
        <w:rPr>
          <w:b w:val="1"/>
          <w:bCs w:val="1"/>
          <w:rtl w:val="0"/>
          <w:lang w:val="en-US"/>
        </w:rPr>
        <w:t>III. Proposed Solution: A Multi-Phase, Systemic Reform Toward Tenant Ownership</w:t>
      </w:r>
    </w:p>
    <w:p>
      <w:pPr>
        <w:pStyle w:val="Body"/>
        <w:bidi w:val="0"/>
      </w:pPr>
    </w:p>
    <w:p>
      <w:pPr>
        <w:pStyle w:val="Body"/>
        <w:bidi w:val="0"/>
      </w:pPr>
      <w:r>
        <w:rPr>
          <w:rtl w:val="0"/>
        </w:rPr>
        <w:t xml:space="preserve">The current housing crisis requires a </w:t>
      </w:r>
      <w:r>
        <w:rPr>
          <w:b w:val="1"/>
          <w:bCs w:val="1"/>
          <w:rtl w:val="0"/>
          <w:lang w:val="en-US"/>
        </w:rPr>
        <w:t>comprehensive, phased approach</w:t>
      </w:r>
      <w:r>
        <w:rPr>
          <w:rtl w:val="0"/>
        </w:rPr>
        <w:t xml:space="preserve"> that </w:t>
      </w:r>
      <w:r>
        <w:rPr>
          <w:b w:val="1"/>
          <w:bCs w:val="1"/>
          <w:rtl w:val="0"/>
          <w:lang w:val="en-US"/>
        </w:rPr>
        <w:t>gradually transitions tenants into owners</w:t>
      </w:r>
      <w:r>
        <w:rPr>
          <w:rtl w:val="0"/>
        </w:rPr>
        <w:t xml:space="preserve"> through policy, financial restructuring, and regulatory intervention.</w:t>
      </w:r>
    </w:p>
    <w:p>
      <w:pPr>
        <w:pStyle w:val="Body"/>
        <w:bidi w:val="0"/>
      </w:pPr>
    </w:p>
    <w:p>
      <w:pPr>
        <w:pStyle w:val="Body"/>
        <w:rPr>
          <w:b w:val="1"/>
          <w:bCs w:val="1"/>
        </w:rPr>
      </w:pPr>
      <w:r>
        <w:rPr>
          <w:b w:val="1"/>
          <w:bCs w:val="1"/>
          <w:rtl w:val="0"/>
          <w:lang w:val="en-US"/>
        </w:rPr>
        <w:t>Phase 1: Immediate Legislative &amp; Financial Infrastructure (Years 1-3)</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Pass Tenant Opportunity to Purchase Act (TOPA) for NYC</w:t>
      </w:r>
    </w:p>
    <w:p>
      <w:pPr>
        <w:pStyle w:val="Body"/>
        <w:bidi w:val="0"/>
        <w:ind w:left="720"/>
      </w:pPr>
      <w:r>
        <w:rPr>
          <w:rtl w:val="0"/>
        </w:rPr>
        <w:tab/>
        <w:t>•</w:t>
        <w:tab/>
      </w:r>
      <w:r>
        <w:rPr>
          <w:rtl w:val="0"/>
        </w:rPr>
        <w:t>Modeled after D.C.</w:t>
      </w:r>
      <w:r>
        <w:rPr>
          <w:rtl w:val="1"/>
        </w:rPr>
        <w:t>’</w:t>
      </w:r>
      <w:r>
        <w:rPr>
          <w:rtl w:val="0"/>
        </w:rPr>
        <w:t xml:space="preserve">s law, requiring landlords to give tenants the </w:t>
      </w:r>
      <w:r>
        <w:rPr>
          <w:b w:val="1"/>
          <w:bCs w:val="1"/>
          <w:rtl w:val="0"/>
          <w:lang w:val="en-US"/>
        </w:rPr>
        <w:t>first right to purchase their buildings</w:t>
      </w:r>
      <w:r>
        <w:rPr>
          <w:rtl w:val="0"/>
        </w:rPr>
        <w:t xml:space="preserve"> before selling to private investors.</w:t>
      </w:r>
    </w:p>
    <w:p>
      <w:pPr>
        <w:pStyle w:val="Body"/>
        <w:bidi w:val="0"/>
        <w:ind w:left="720"/>
      </w:pPr>
      <w:r>
        <w:rPr>
          <w:rtl w:val="0"/>
        </w:rPr>
        <w:tab/>
        <w:t>•</w:t>
        <w:tab/>
      </w:r>
      <w:r>
        <w:rPr>
          <w:b w:val="1"/>
          <w:bCs w:val="1"/>
          <w:rtl w:val="0"/>
          <w:lang w:val="en-US"/>
        </w:rPr>
        <w:t>Legislative Sponsor</w:t>
      </w:r>
      <w:r>
        <w:rPr>
          <w:rtl w:val="0"/>
        </w:rPr>
        <w:t xml:space="preserve">: Assembly Member </w:t>
      </w:r>
      <w:r>
        <w:rPr>
          <w:b w:val="1"/>
          <w:bCs w:val="1"/>
          <w:rtl w:val="0"/>
          <w:lang w:val="de-DE"/>
        </w:rPr>
        <w:t>Marcela Mitaynes</w:t>
      </w:r>
      <w:r>
        <w:rPr>
          <w:rtl w:val="0"/>
        </w:rPr>
        <w:t xml:space="preserve"> (A3353).</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Reallocate Housing Court &amp; Rental Subsidy Funds Toward Ownership</w:t>
      </w:r>
    </w:p>
    <w:p>
      <w:pPr>
        <w:pStyle w:val="Body"/>
        <w:bidi w:val="0"/>
        <w:ind w:left="720"/>
      </w:pPr>
      <w:r>
        <w:rPr>
          <w:rtl w:val="0"/>
        </w:rPr>
        <w:tab/>
        <w:t>•</w:t>
        <w:tab/>
      </w:r>
      <w:r>
        <w:rPr>
          <w:rtl w:val="0"/>
        </w:rPr>
        <w:t xml:space="preserve">Redirect </w:t>
      </w:r>
      <w:r>
        <w:rPr>
          <w:b w:val="1"/>
          <w:bCs w:val="1"/>
          <w:rtl w:val="0"/>
          <w:lang w:val="en-US"/>
        </w:rPr>
        <w:t>$400M+ from housing court</w:t>
      </w:r>
      <w:r>
        <w:rPr>
          <w:rtl w:val="0"/>
        </w:rPr>
        <w:t xml:space="preserve"> and subsidies into </w:t>
      </w:r>
      <w:r>
        <w:rPr>
          <w:b w:val="1"/>
          <w:bCs w:val="1"/>
          <w:rtl w:val="0"/>
          <w:lang w:val="en-US"/>
        </w:rPr>
        <w:t>down payment assistance, financial counseling, and shared equity ownership models.</w:t>
      </w:r>
    </w:p>
    <w:p>
      <w:pPr>
        <w:pStyle w:val="Body"/>
        <w:bidi w:val="0"/>
        <w:ind w:left="720"/>
      </w:pPr>
      <w:r>
        <w:rPr>
          <w:rtl w:val="0"/>
        </w:rPr>
        <w:tab/>
        <w:t>•</w:t>
        <w:tab/>
      </w:r>
      <w:r>
        <w:rPr>
          <w:rtl w:val="0"/>
        </w:rPr>
        <w:t xml:space="preserve">Launch a </w:t>
      </w:r>
      <w:r>
        <w:rPr>
          <w:b w:val="1"/>
          <w:bCs w:val="1"/>
          <w:rtl w:val="0"/>
          <w:lang w:val="en-US"/>
        </w:rPr>
        <w:t>Tenant Ownership Fund</w:t>
      </w:r>
      <w:r>
        <w:rPr>
          <w:rtl w:val="0"/>
        </w:rPr>
        <w:t xml:space="preserve"> to provide </w:t>
      </w:r>
      <w:r>
        <w:rPr>
          <w:b w:val="1"/>
          <w:bCs w:val="1"/>
          <w:rtl w:val="0"/>
          <w:lang w:val="en-US"/>
        </w:rPr>
        <w:t>low-interest loans and co-op conversion support.</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Amend Housing Choice Voucher (Section 8) Rules</w:t>
      </w:r>
    </w:p>
    <w:p>
      <w:pPr>
        <w:pStyle w:val="Body"/>
        <w:bidi w:val="0"/>
        <w:ind w:left="720"/>
      </w:pPr>
      <w:r>
        <w:rPr>
          <w:rtl w:val="0"/>
        </w:rPr>
        <w:tab/>
        <w:t>•</w:t>
        <w:tab/>
      </w:r>
      <w:r>
        <w:rPr>
          <w:rtl w:val="0"/>
        </w:rPr>
        <w:t xml:space="preserve">Advocate for state and federal waivers allowing tenants to use subsidies for </w:t>
      </w:r>
      <w:r>
        <w:rPr>
          <w:b w:val="1"/>
          <w:bCs w:val="1"/>
          <w:rtl w:val="0"/>
          <w:lang w:val="en-US"/>
        </w:rPr>
        <w:t>down payments and mortgage assistance</w:t>
      </w:r>
      <w:r>
        <w:rPr>
          <w:rtl w:val="0"/>
        </w:rPr>
        <w:t xml:space="preserve"> rather than rent alone.</w:t>
      </w:r>
    </w:p>
    <w:p>
      <w:pPr>
        <w:pStyle w:val="Body"/>
        <w:bidi w:val="0"/>
        <w:ind w:left="720"/>
      </w:pPr>
    </w:p>
    <w:p>
      <w:pPr>
        <w:pStyle w:val="Body"/>
        <w:rPr>
          <w:b w:val="1"/>
          <w:bCs w:val="1"/>
        </w:rPr>
      </w:pPr>
      <w:r>
        <w:rPr>
          <w:b w:val="1"/>
          <w:bCs w:val="1"/>
          <w:rtl w:val="0"/>
          <w:lang w:val="en-US"/>
        </w:rPr>
        <w:t>Phase 2: Scaling Tenant Ownership Models (Years 3-7)</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Convert Public &amp; Rent-Stabilized Housing to Tenant Ownership Models</w:t>
      </w:r>
    </w:p>
    <w:p>
      <w:pPr>
        <w:pStyle w:val="Body"/>
        <w:bidi w:val="0"/>
        <w:ind w:left="720"/>
      </w:pPr>
      <w:r>
        <w:rPr>
          <w:rtl w:val="0"/>
        </w:rPr>
        <w:tab/>
        <w:t>•</w:t>
        <w:tab/>
      </w:r>
      <w:r>
        <w:rPr>
          <w:rtl w:val="0"/>
        </w:rPr>
        <w:t xml:space="preserve">Expand </w:t>
      </w:r>
      <w:r>
        <w:rPr>
          <w:b w:val="1"/>
          <w:bCs w:val="1"/>
          <w:rtl w:val="0"/>
          <w:lang w:val="en-US"/>
        </w:rPr>
        <w:t>Community Land Trusts (CLTs)</w:t>
      </w:r>
      <w:r>
        <w:rPr>
          <w:rtl w:val="0"/>
        </w:rPr>
        <w:t xml:space="preserve"> to include pathways for </w:t>
      </w:r>
      <w:r>
        <w:rPr>
          <w:b w:val="1"/>
          <w:bCs w:val="1"/>
          <w:rtl w:val="0"/>
          <w:lang w:val="en-US"/>
        </w:rPr>
        <w:t>tenant co-op ownership.</w:t>
      </w:r>
    </w:p>
    <w:p>
      <w:pPr>
        <w:pStyle w:val="Body"/>
        <w:bidi w:val="0"/>
        <w:ind w:left="720"/>
      </w:pPr>
      <w:r>
        <w:rPr>
          <w:rtl w:val="0"/>
        </w:rPr>
        <w:tab/>
        <w:t>•</w:t>
        <w:tab/>
      </w:r>
      <w:r>
        <w:rPr>
          <w:rtl w:val="0"/>
        </w:rPr>
        <w:t xml:space="preserve">Transform select </w:t>
      </w:r>
      <w:r>
        <w:rPr>
          <w:b w:val="1"/>
          <w:bCs w:val="1"/>
          <w:rtl w:val="0"/>
          <w:lang w:val="en-US"/>
        </w:rPr>
        <w:t>NYCHA properties into resident-owned housing cooperatives</w:t>
      </w:r>
      <w:r>
        <w:rPr>
          <w:rtl w:val="0"/>
        </w:rPr>
        <w:t>, ensuring affordability while providing equity-building opportunities.</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Strengthen Legal Protections Against Landlord Exploitation</w:t>
      </w:r>
    </w:p>
    <w:p>
      <w:pPr>
        <w:pStyle w:val="Body"/>
        <w:bidi w:val="0"/>
        <w:ind w:left="720"/>
      </w:pPr>
      <w:r>
        <w:rPr>
          <w:rtl w:val="0"/>
        </w:rPr>
        <w:tab/>
        <w:t>•</w:t>
        <w:tab/>
      </w:r>
      <w:r>
        <w:rPr>
          <w:rtl w:val="0"/>
          <w:lang w:val="fr-FR"/>
        </w:rPr>
        <w:t xml:space="preserve">Implement </w:t>
      </w:r>
      <w:r>
        <w:rPr>
          <w:b w:val="1"/>
          <w:bCs w:val="1"/>
          <w:rtl w:val="0"/>
          <w:lang w:val="en-US"/>
        </w:rPr>
        <w:t>strict limits on frivolous housing court filings</w:t>
      </w:r>
      <w:r>
        <w:rPr>
          <w:rtl w:val="0"/>
        </w:rPr>
        <w:t xml:space="preserve"> and penalize landlords who fail to uphold maintenance responsibilities.</w:t>
      </w:r>
    </w:p>
    <w:p>
      <w:pPr>
        <w:pStyle w:val="Body"/>
        <w:bidi w:val="0"/>
        <w:ind w:left="720"/>
      </w:pPr>
      <w:r>
        <w:rPr>
          <w:rtl w:val="0"/>
        </w:rPr>
        <w:tab/>
        <w:t>•</w:t>
        <w:tab/>
      </w:r>
      <w:r>
        <w:rPr>
          <w:rtl w:val="0"/>
          <w:lang w:val="fr-FR"/>
        </w:rPr>
        <w:t xml:space="preserve">Enforce </w:t>
      </w:r>
      <w:r>
        <w:rPr>
          <w:b w:val="1"/>
          <w:bCs w:val="1"/>
          <w:rtl w:val="0"/>
          <w:lang w:val="en-US"/>
        </w:rPr>
        <w:t>anti-displacement protections</w:t>
      </w:r>
      <w:r>
        <w:rPr>
          <w:rtl w:val="0"/>
        </w:rPr>
        <w:t xml:space="preserve"> in gentrifying neighborhoods.</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Pilot Public Banking for Housing Finance</w:t>
      </w:r>
    </w:p>
    <w:p>
      <w:pPr>
        <w:pStyle w:val="Body"/>
        <w:bidi w:val="0"/>
        <w:ind w:left="720"/>
      </w:pPr>
      <w:r>
        <w:rPr>
          <w:rtl w:val="0"/>
        </w:rPr>
        <w:tab/>
        <w:t>•</w:t>
        <w:tab/>
      </w:r>
      <w:r>
        <w:rPr>
          <w:rtl w:val="0"/>
        </w:rPr>
        <w:t xml:space="preserve">Create a </w:t>
      </w:r>
      <w:r>
        <w:rPr>
          <w:b w:val="1"/>
          <w:bCs w:val="1"/>
          <w:rtl w:val="0"/>
          <w:lang w:val="en-US"/>
        </w:rPr>
        <w:t>NYC Housing Bank</w:t>
      </w:r>
      <w:r>
        <w:rPr>
          <w:rtl w:val="0"/>
        </w:rPr>
        <w:t xml:space="preserve"> to offer </w:t>
      </w:r>
      <w:r>
        <w:rPr>
          <w:b w:val="1"/>
          <w:bCs w:val="1"/>
          <w:rtl w:val="0"/>
          <w:lang w:val="en-US"/>
        </w:rPr>
        <w:t>low-interest mortgages for first-time, low-income buyers</w:t>
      </w:r>
      <w:r>
        <w:rPr>
          <w:rtl w:val="0"/>
        </w:rPr>
        <w:t xml:space="preserve"> excluded from traditional financing.</w:t>
      </w:r>
    </w:p>
    <w:p>
      <w:pPr>
        <w:pStyle w:val="Body"/>
        <w:bidi w:val="0"/>
        <w:ind w:left="720"/>
      </w:pPr>
    </w:p>
    <w:p>
      <w:pPr>
        <w:pStyle w:val="Body"/>
        <w:rPr>
          <w:b w:val="1"/>
          <w:bCs w:val="1"/>
        </w:rPr>
      </w:pPr>
      <w:r>
        <w:rPr>
          <w:b w:val="1"/>
          <w:bCs w:val="1"/>
          <w:rtl w:val="0"/>
          <w:lang w:val="en-US"/>
        </w:rPr>
        <w:t>Phase 3: Long-Term Wealth Building &amp; Systemic Change (Years 7-15)</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Reduce NYC</w:t>
      </w:r>
      <w:r>
        <w:rPr>
          <w:b w:val="1"/>
          <w:bCs w:val="1"/>
          <w:rtl w:val="1"/>
        </w:rPr>
        <w:t>’</w:t>
      </w:r>
      <w:r>
        <w:rPr>
          <w:b w:val="1"/>
          <w:bCs w:val="1"/>
          <w:rtl w:val="0"/>
          <w:lang w:val="en-US"/>
        </w:rPr>
        <w:t>s Reliance on Rental Subsidies</w:t>
      </w:r>
    </w:p>
    <w:p>
      <w:pPr>
        <w:pStyle w:val="Body"/>
        <w:bidi w:val="0"/>
        <w:ind w:left="720"/>
      </w:pPr>
      <w:r>
        <w:rPr>
          <w:rtl w:val="0"/>
        </w:rPr>
        <w:tab/>
        <w:t>•</w:t>
        <w:tab/>
      </w:r>
      <w:r>
        <w:rPr>
          <w:rtl w:val="0"/>
        </w:rPr>
        <w:t xml:space="preserve">As ownership expands, </w:t>
      </w:r>
      <w:r>
        <w:rPr>
          <w:b w:val="1"/>
          <w:bCs w:val="1"/>
          <w:rtl w:val="0"/>
          <w:lang w:val="en-US"/>
        </w:rPr>
        <w:t>reduce the need for ongoing rental assistance</w:t>
      </w:r>
      <w:r>
        <w:rPr>
          <w:rtl w:val="0"/>
        </w:rPr>
        <w:t>, freeing city resources for reinvestment in public infrastructure.</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Expand Racial Wealth-Building Strategies in Housing</w:t>
      </w:r>
    </w:p>
    <w:p>
      <w:pPr>
        <w:pStyle w:val="Body"/>
        <w:bidi w:val="0"/>
        <w:ind w:left="720"/>
      </w:pPr>
      <w:r>
        <w:rPr>
          <w:rtl w:val="0"/>
        </w:rPr>
        <w:tab/>
        <w:t>•</w:t>
        <w:tab/>
      </w:r>
      <w:r>
        <w:rPr>
          <w:rtl w:val="0"/>
        </w:rPr>
        <w:t xml:space="preserve">Offer </w:t>
      </w:r>
      <w:r>
        <w:rPr>
          <w:b w:val="1"/>
          <w:bCs w:val="1"/>
          <w:rtl w:val="0"/>
          <w:lang w:val="en-US"/>
        </w:rPr>
        <w:t>tax credits for landlords who sell to tenants rather than corporate investors.</w:t>
      </w:r>
    </w:p>
    <w:p>
      <w:pPr>
        <w:pStyle w:val="Body"/>
        <w:bidi w:val="0"/>
        <w:ind w:left="720"/>
      </w:pPr>
      <w:r>
        <w:rPr>
          <w:rtl w:val="0"/>
        </w:rPr>
        <w:tab/>
        <w:t>•</w:t>
        <w:tab/>
      </w:r>
      <w:r>
        <w:rPr>
          <w:rtl w:val="0"/>
          <w:lang w:val="fr-FR"/>
        </w:rPr>
        <w:t xml:space="preserve">Implement </w:t>
      </w:r>
      <w:r>
        <w:rPr>
          <w:b w:val="1"/>
          <w:bCs w:val="1"/>
          <w:rtl w:val="0"/>
          <w:lang w:val="en-US"/>
        </w:rPr>
        <w:t>estate planning and financial literacy programs</w:t>
      </w:r>
      <w:r>
        <w:rPr>
          <w:rtl w:val="0"/>
        </w:rPr>
        <w:t xml:space="preserve"> to sustain intergenerational wealth transfer.</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Integrate Housing &amp; Public Health Funding</w:t>
      </w:r>
    </w:p>
    <w:p>
      <w:pPr>
        <w:pStyle w:val="Body"/>
        <w:bidi w:val="0"/>
        <w:ind w:left="720"/>
      </w:pPr>
      <w:r>
        <w:rPr>
          <w:rtl w:val="0"/>
        </w:rPr>
        <w:tab/>
        <w:t>•</w:t>
        <w:tab/>
      </w:r>
      <w:r>
        <w:rPr>
          <w:rtl w:val="0"/>
        </w:rPr>
        <w:t xml:space="preserve">Leverage Medicaid waivers to </w:t>
      </w:r>
      <w:r>
        <w:rPr>
          <w:b w:val="1"/>
          <w:bCs w:val="1"/>
          <w:rtl w:val="0"/>
          <w:lang w:val="en-US"/>
        </w:rPr>
        <w:t>fund housing stability initiatives</w:t>
      </w:r>
      <w:r>
        <w:rPr>
          <w:rtl w:val="0"/>
        </w:rPr>
        <w:t xml:space="preserve">, reducing </w:t>
      </w:r>
      <w:r>
        <w:rPr>
          <w:b w:val="1"/>
          <w:bCs w:val="1"/>
          <w:rtl w:val="0"/>
          <w:lang w:val="en-US"/>
        </w:rPr>
        <w:t>public health costs tied to poor housing conditions.</w:t>
      </w:r>
    </w:p>
    <w:p>
      <w:pPr>
        <w:pStyle w:val="Body"/>
        <w:bidi w:val="0"/>
        <w:ind w:left="720"/>
      </w:pPr>
    </w:p>
    <w:p>
      <w:pPr>
        <w:pStyle w:val="Body"/>
        <w:rPr>
          <w:b w:val="1"/>
          <w:bCs w:val="1"/>
        </w:rPr>
      </w:pPr>
      <w:r>
        <w:rPr>
          <w:b w:val="1"/>
          <w:bCs w:val="1"/>
          <w:rtl w:val="0"/>
          <w:lang w:val="en-US"/>
        </w:rPr>
        <w:t>IV. Legislative &amp; Policy Context: Current Supportive Legislation</w:t>
      </w:r>
    </w:p>
    <w:p>
      <w:pPr>
        <w:pStyle w:val="Body"/>
        <w:bidi w:val="0"/>
      </w:pPr>
    </w:p>
    <w:p>
      <w:pPr>
        <w:pStyle w:val="Body"/>
        <w:rPr>
          <w:b w:val="1"/>
          <w:bCs w:val="1"/>
        </w:rPr>
      </w:pPr>
      <w:r>
        <w:rPr>
          <w:b w:val="1"/>
          <w:bCs w:val="1"/>
          <w:rtl w:val="0"/>
          <w:lang w:val="en-US"/>
        </w:rPr>
        <w:t>New York State</w:t>
      </w:r>
    </w:p>
    <w:p>
      <w:pPr>
        <w:pStyle w:val="Body"/>
        <w:bidi w:val="0"/>
      </w:pPr>
    </w:p>
    <w:p>
      <w:pPr>
        <w:pStyle w:val="Body"/>
        <w:rPr>
          <w:b w:val="1"/>
          <w:bCs w:val="1"/>
        </w:rPr>
      </w:pPr>
      <w:r>
        <w:rPr>
          <w:b w:val="1"/>
          <w:bCs w:val="1"/>
          <w:rtl w:val="0"/>
          <w:lang w:val="en-US"/>
        </w:rPr>
        <w:t xml:space="preserve">1. Tenant Opportunity to Purchase Act (A3353) </w:t>
      </w:r>
      <w:r>
        <w:rPr>
          <w:b w:val="1"/>
          <w:bCs w:val="1"/>
          <w:rtl w:val="0"/>
        </w:rPr>
        <w:t xml:space="preserve">– </w:t>
      </w:r>
      <w:r>
        <w:rPr>
          <w:b w:val="1"/>
          <w:bCs w:val="1"/>
          <w:rtl w:val="0"/>
          <w:lang w:val="en-US"/>
        </w:rPr>
        <w:t>2023-2024</w:t>
      </w:r>
    </w:p>
    <w:p>
      <w:pPr>
        <w:pStyle w:val="Body"/>
        <w:bidi w:val="0"/>
        <w:ind w:left="720"/>
      </w:pPr>
      <w:r>
        <w:rPr>
          <w:rtl w:val="0"/>
        </w:rPr>
        <w:tab/>
        <w:t>•</w:t>
        <w:tab/>
      </w:r>
      <w:r>
        <w:rPr>
          <w:b w:val="1"/>
          <w:bCs w:val="1"/>
          <w:rtl w:val="0"/>
          <w:lang w:val="en-US"/>
        </w:rPr>
        <w:t>Sponsor</w:t>
      </w:r>
      <w:r>
        <w:rPr>
          <w:rtl w:val="0"/>
        </w:rPr>
        <w:t xml:space="preserve">: Assembly Member </w:t>
      </w:r>
      <w:r>
        <w:rPr>
          <w:b w:val="1"/>
          <w:bCs w:val="1"/>
          <w:rtl w:val="0"/>
          <w:lang w:val="de-DE"/>
        </w:rPr>
        <w:t>Marcela Mitaynes</w:t>
      </w:r>
    </w:p>
    <w:p>
      <w:pPr>
        <w:pStyle w:val="Body"/>
        <w:bidi w:val="0"/>
        <w:ind w:left="720"/>
      </w:pPr>
      <w:r>
        <w:rPr>
          <w:rtl w:val="0"/>
        </w:rPr>
        <w:tab/>
        <w:t>•</w:t>
        <w:tab/>
      </w:r>
      <w:r>
        <w:rPr>
          <w:b w:val="1"/>
          <w:bCs w:val="1"/>
          <w:rtl w:val="0"/>
          <w:lang w:val="en-US"/>
        </w:rPr>
        <w:t>Function</w:t>
      </w:r>
      <w:r>
        <w:rPr>
          <w:rtl w:val="0"/>
        </w:rPr>
        <w:t xml:space="preserve">: Grants tenants the </w:t>
      </w:r>
      <w:r>
        <w:rPr>
          <w:b w:val="1"/>
          <w:bCs w:val="1"/>
          <w:rtl w:val="0"/>
          <w:lang w:val="en-US"/>
        </w:rPr>
        <w:t>first right to purchase their buildings before outside investors.</w:t>
      </w:r>
    </w:p>
    <w:p>
      <w:pPr>
        <w:pStyle w:val="Body"/>
        <w:bidi w:val="0"/>
        <w:ind w:left="720"/>
      </w:pPr>
    </w:p>
    <w:p>
      <w:pPr>
        <w:pStyle w:val="Body"/>
        <w:rPr>
          <w:b w:val="1"/>
          <w:bCs w:val="1"/>
        </w:rPr>
      </w:pPr>
      <w:r>
        <w:rPr>
          <w:b w:val="1"/>
          <w:bCs w:val="1"/>
          <w:rtl w:val="0"/>
          <w:lang w:val="en-US"/>
        </w:rPr>
        <w:t>2. Good Cause Eviction Law (2024)</w:t>
      </w:r>
    </w:p>
    <w:p>
      <w:pPr>
        <w:pStyle w:val="Body"/>
        <w:bidi w:val="0"/>
        <w:ind w:left="720"/>
      </w:pPr>
      <w:r>
        <w:rPr>
          <w:rtl w:val="0"/>
        </w:rPr>
        <w:tab/>
        <w:t>•</w:t>
        <w:tab/>
      </w:r>
      <w:r>
        <w:rPr>
          <w:rtl w:val="0"/>
        </w:rPr>
        <w:t xml:space="preserve">Prevents landlords from arbitrarily refusing lease renewals, </w:t>
      </w:r>
      <w:r>
        <w:rPr>
          <w:b w:val="1"/>
          <w:bCs w:val="1"/>
          <w:rtl w:val="0"/>
          <w:lang w:val="en-US"/>
        </w:rPr>
        <w:t>stabilizing communities.</w:t>
      </w:r>
    </w:p>
    <w:p>
      <w:pPr>
        <w:pStyle w:val="Body"/>
        <w:bidi w:val="0"/>
        <w:ind w:left="720"/>
      </w:pPr>
    </w:p>
    <w:p>
      <w:pPr>
        <w:pStyle w:val="Body"/>
        <w:rPr>
          <w:b w:val="1"/>
          <w:bCs w:val="1"/>
        </w:rPr>
      </w:pPr>
      <w:r>
        <w:rPr>
          <w:b w:val="1"/>
          <w:bCs w:val="1"/>
          <w:rtl w:val="0"/>
          <w:lang w:val="en-US"/>
        </w:rPr>
        <w:t>3. Governor Hochul</w:t>
      </w:r>
      <w:r>
        <w:rPr>
          <w:b w:val="1"/>
          <w:bCs w:val="1"/>
          <w:rtl w:val="1"/>
        </w:rPr>
        <w:t>’</w:t>
      </w:r>
      <w:r>
        <w:rPr>
          <w:b w:val="1"/>
          <w:bCs w:val="1"/>
          <w:rtl w:val="0"/>
          <w:lang w:val="en-US"/>
        </w:rPr>
        <w:t>s Housing Fund Proposal (2025)</w:t>
      </w:r>
    </w:p>
    <w:p>
      <w:pPr>
        <w:pStyle w:val="Body"/>
        <w:bidi w:val="0"/>
        <w:ind w:left="720"/>
      </w:pPr>
      <w:r>
        <w:rPr>
          <w:rtl w:val="0"/>
        </w:rPr>
        <w:tab/>
        <w:t>•</w:t>
        <w:tab/>
      </w:r>
      <w:r>
        <w:rPr>
          <w:rtl w:val="0"/>
          <w:lang w:val="it-IT"/>
        </w:rPr>
        <w:t xml:space="preserve">Allocates </w:t>
      </w:r>
      <w:r>
        <w:rPr>
          <w:b w:val="1"/>
          <w:bCs w:val="1"/>
          <w:rtl w:val="0"/>
          <w:lang w:val="en-US"/>
        </w:rPr>
        <w:t>$100M toward affordable housing infrastructure</w:t>
      </w:r>
      <w:r>
        <w:rPr>
          <w:rtl w:val="0"/>
        </w:rPr>
        <w:t>, which could support tenant ownership models.</w:t>
      </w:r>
    </w:p>
    <w:p>
      <w:pPr>
        <w:pStyle w:val="Body"/>
        <w:bidi w:val="0"/>
        <w:ind w:left="720"/>
      </w:pPr>
    </w:p>
    <w:p>
      <w:pPr>
        <w:pStyle w:val="Body"/>
        <w:rPr>
          <w:b w:val="1"/>
          <w:bCs w:val="1"/>
        </w:rPr>
      </w:pPr>
      <w:r>
        <w:rPr>
          <w:b w:val="1"/>
          <w:bCs w:val="1"/>
          <w:rtl w:val="0"/>
          <w:lang w:val="nl-NL"/>
        </w:rPr>
        <w:t>Federal</w:t>
      </w:r>
    </w:p>
    <w:p>
      <w:pPr>
        <w:pStyle w:val="Body"/>
        <w:bidi w:val="0"/>
      </w:pPr>
    </w:p>
    <w:p>
      <w:pPr>
        <w:pStyle w:val="Body"/>
        <w:rPr>
          <w:b w:val="1"/>
          <w:bCs w:val="1"/>
        </w:rPr>
      </w:pPr>
      <w:r>
        <w:rPr>
          <w:b w:val="1"/>
          <w:bCs w:val="1"/>
          <w:rtl w:val="0"/>
          <w:lang w:val="en-US"/>
        </w:rPr>
        <w:t>1. Manufactured Housing Tenant</w:t>
      </w:r>
      <w:r>
        <w:rPr>
          <w:b w:val="1"/>
          <w:bCs w:val="1"/>
          <w:rtl w:val="1"/>
        </w:rPr>
        <w:t>’</w:t>
      </w:r>
      <w:r>
        <w:rPr>
          <w:b w:val="1"/>
          <w:bCs w:val="1"/>
          <w:rtl w:val="0"/>
          <w:lang w:val="en-US"/>
        </w:rPr>
        <w:t>s Bill of Rights Act of 2023 (S.2204)</w:t>
      </w:r>
    </w:p>
    <w:p>
      <w:pPr>
        <w:pStyle w:val="Body"/>
        <w:bidi w:val="0"/>
        <w:ind w:left="720"/>
      </w:pPr>
      <w:r>
        <w:rPr>
          <w:rtl w:val="0"/>
        </w:rPr>
        <w:tab/>
        <w:t>•</w:t>
        <w:tab/>
      </w:r>
      <w:r>
        <w:rPr>
          <w:rtl w:val="0"/>
        </w:rPr>
        <w:t xml:space="preserve">Establishes </w:t>
      </w:r>
      <w:r>
        <w:rPr>
          <w:b w:val="1"/>
          <w:bCs w:val="1"/>
          <w:rtl w:val="0"/>
          <w:lang w:val="en-US"/>
        </w:rPr>
        <w:t>minimum protections for tenants in manufactured housing communities</w:t>
      </w:r>
      <w:r>
        <w:rPr>
          <w:rtl w:val="0"/>
          <w:lang w:val="da-DK"/>
        </w:rPr>
        <w:t xml:space="preserve">, signaling </w:t>
      </w:r>
      <w:r>
        <w:rPr>
          <w:b w:val="1"/>
          <w:bCs w:val="1"/>
          <w:rtl w:val="0"/>
          <w:lang w:val="en-US"/>
        </w:rPr>
        <w:t>federal support for tenant rights expansion.</w:t>
      </w:r>
    </w:p>
    <w:p>
      <w:pPr>
        <w:pStyle w:val="Body"/>
        <w:bidi w:val="0"/>
        <w:ind w:left="720"/>
      </w:pPr>
    </w:p>
    <w:p>
      <w:pPr>
        <w:pStyle w:val="Body"/>
        <w:rPr>
          <w:b w:val="1"/>
          <w:bCs w:val="1"/>
        </w:rPr>
      </w:pPr>
      <w:r>
        <w:rPr>
          <w:b w:val="1"/>
          <w:bCs w:val="1"/>
          <w:rtl w:val="0"/>
          <w:lang w:val="en-US"/>
        </w:rPr>
        <w:t>2. National Tenants Bill of Rights (2024, proposed)</w:t>
      </w:r>
    </w:p>
    <w:p>
      <w:pPr>
        <w:pStyle w:val="Body"/>
        <w:bidi w:val="0"/>
        <w:ind w:left="720"/>
      </w:pPr>
      <w:r>
        <w:rPr>
          <w:rtl w:val="0"/>
        </w:rPr>
        <w:tab/>
        <w:t>•</w:t>
        <w:tab/>
      </w:r>
      <w:r>
        <w:rPr>
          <w:rtl w:val="0"/>
        </w:rPr>
        <w:t xml:space="preserve">Pushes for </w:t>
      </w:r>
      <w:r>
        <w:rPr>
          <w:b w:val="1"/>
          <w:bCs w:val="1"/>
          <w:rtl w:val="0"/>
          <w:lang w:val="fr-FR"/>
        </w:rPr>
        <w:t>federal-level tenant protections</w:t>
      </w:r>
      <w:r>
        <w:rPr>
          <w:rtl w:val="0"/>
        </w:rPr>
        <w:t xml:space="preserve">, laying groundwork for future </w:t>
      </w:r>
      <w:r>
        <w:rPr>
          <w:b w:val="1"/>
          <w:bCs w:val="1"/>
          <w:rtl w:val="0"/>
          <w:lang w:val="en-US"/>
        </w:rPr>
        <w:t>ownership-based policies.</w:t>
      </w:r>
    </w:p>
    <w:p>
      <w:pPr>
        <w:pStyle w:val="Body"/>
        <w:bidi w:val="0"/>
        <w:ind w:left="720"/>
      </w:pPr>
    </w:p>
    <w:p>
      <w:pPr>
        <w:pStyle w:val="Body"/>
        <w:rPr>
          <w:b w:val="1"/>
          <w:bCs w:val="1"/>
        </w:rPr>
      </w:pPr>
      <w:r>
        <w:rPr>
          <w:b w:val="1"/>
          <w:bCs w:val="1"/>
          <w:rtl w:val="0"/>
        </w:rPr>
        <w:t>3. AOC</w:t>
      </w:r>
      <w:r>
        <w:rPr>
          <w:b w:val="1"/>
          <w:bCs w:val="1"/>
          <w:rtl w:val="1"/>
        </w:rPr>
        <w:t>’</w:t>
      </w:r>
      <w:r>
        <w:rPr>
          <w:b w:val="1"/>
          <w:bCs w:val="1"/>
          <w:rtl w:val="0"/>
          <w:lang w:val="en-US"/>
        </w:rPr>
        <w:t>s Affordable Housing Legislation (2024, proposed)</w:t>
      </w:r>
    </w:p>
    <w:p>
      <w:pPr>
        <w:pStyle w:val="Body"/>
        <w:bidi w:val="0"/>
        <w:ind w:left="720"/>
      </w:pPr>
      <w:r>
        <w:rPr>
          <w:rtl w:val="0"/>
        </w:rPr>
        <w:tab/>
        <w:t>•</w:t>
        <w:tab/>
      </w:r>
      <w:r>
        <w:rPr>
          <w:rtl w:val="0"/>
          <w:lang w:val="fr-FR"/>
        </w:rPr>
        <w:t xml:space="preserve">Proposes </w:t>
      </w:r>
      <w:r>
        <w:rPr>
          <w:b w:val="1"/>
          <w:bCs w:val="1"/>
          <w:rtl w:val="0"/>
          <w:lang w:val="en-US"/>
        </w:rPr>
        <w:t>federally funded social housing</w:t>
      </w:r>
      <w:r>
        <w:rPr>
          <w:rtl w:val="0"/>
        </w:rPr>
        <w:t xml:space="preserve">, setting a precedent for </w:t>
      </w:r>
      <w:r>
        <w:rPr>
          <w:b w:val="1"/>
          <w:bCs w:val="1"/>
          <w:rtl w:val="0"/>
          <w:lang w:val="en-US"/>
        </w:rPr>
        <w:t>nonprofit &amp; cooperative ownership.</w:t>
      </w:r>
    </w:p>
    <w:p>
      <w:pPr>
        <w:pStyle w:val="Body"/>
        <w:bidi w:val="0"/>
        <w:ind w:left="720"/>
      </w:pPr>
    </w:p>
    <w:p>
      <w:pPr>
        <w:pStyle w:val="Body"/>
        <w:rPr>
          <w:b w:val="1"/>
          <w:bCs w:val="1"/>
        </w:rPr>
      </w:pPr>
      <w:r>
        <w:rPr>
          <w:b w:val="1"/>
          <w:bCs w:val="1"/>
          <w:rtl w:val="0"/>
          <w:lang w:val="en-US"/>
        </w:rPr>
        <w:t>V. Economic &amp; Social Impact of Tenant Ownership Expansion</w:t>
      </w:r>
    </w:p>
    <w:p>
      <w:pPr>
        <w:pStyle w:val="Body"/>
        <w:bidi w:val="0"/>
      </w:pP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Closing the Racial Wealth Gap</w:t>
      </w:r>
    </w:p>
    <w:p>
      <w:pPr>
        <w:pStyle w:val="Body"/>
        <w:bidi w:val="0"/>
        <w:ind w:left="720"/>
      </w:pPr>
      <w:r>
        <w:rPr>
          <w:rtl w:val="0"/>
        </w:rPr>
        <w:tab/>
        <w:t>•</w:t>
        <w:tab/>
      </w:r>
      <w:r>
        <w:rPr>
          <w:rtl w:val="0"/>
        </w:rPr>
        <w:t xml:space="preserve">Homeownership is the </w:t>
      </w:r>
      <w:r>
        <w:rPr>
          <w:b w:val="1"/>
          <w:bCs w:val="1"/>
          <w:rtl w:val="0"/>
          <w:lang w:val="en-US"/>
        </w:rPr>
        <w:t>largest driver of wealth for white families</w:t>
      </w:r>
      <w:r>
        <w:rPr>
          <w:rtl w:val="0"/>
        </w:rPr>
        <w:t>—</w:t>
      </w:r>
      <w:r>
        <w:rPr>
          <w:rtl w:val="0"/>
        </w:rPr>
        <w:t xml:space="preserve">expanding ownership to Black &amp; Latino households </w:t>
      </w:r>
      <w:r>
        <w:rPr>
          <w:b w:val="1"/>
          <w:bCs w:val="1"/>
          <w:rtl w:val="0"/>
          <w:lang w:val="en-US"/>
        </w:rPr>
        <w:t>builds intergenerational financial security.</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Reducing Government Spending</w:t>
      </w:r>
    </w:p>
    <w:p>
      <w:pPr>
        <w:pStyle w:val="Body"/>
        <w:bidi w:val="0"/>
        <w:ind w:left="720"/>
      </w:pPr>
      <w:r>
        <w:rPr>
          <w:rtl w:val="0"/>
        </w:rPr>
        <w:tab/>
        <w:t>•</w:t>
        <w:tab/>
      </w:r>
      <w:r>
        <w:rPr>
          <w:rtl w:val="0"/>
        </w:rPr>
        <w:t xml:space="preserve">By transitioning from </w:t>
      </w:r>
      <w:r>
        <w:rPr>
          <w:b w:val="1"/>
          <w:bCs w:val="1"/>
          <w:rtl w:val="0"/>
          <w:lang w:val="en-US"/>
        </w:rPr>
        <w:t>rental subsidies to ownership</w:t>
      </w:r>
      <w:r>
        <w:rPr>
          <w:rtl w:val="0"/>
        </w:rPr>
        <w:t xml:space="preserve">, the government </w:t>
      </w:r>
      <w:r>
        <w:rPr>
          <w:b w:val="1"/>
          <w:bCs w:val="1"/>
          <w:rtl w:val="0"/>
          <w:lang w:val="en-US"/>
        </w:rPr>
        <w:t>reduces long-term dependency on public assistance.</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Stabilizing Communities &amp; Preventing Gentrification</w:t>
      </w:r>
    </w:p>
    <w:p>
      <w:pPr>
        <w:pStyle w:val="Body"/>
        <w:bidi w:val="0"/>
        <w:ind w:left="720"/>
      </w:pPr>
      <w:r>
        <w:rPr>
          <w:rtl w:val="0"/>
        </w:rPr>
        <w:tab/>
        <w:t>•</w:t>
        <w:tab/>
      </w:r>
      <w:r>
        <w:rPr>
          <w:rtl w:val="0"/>
        </w:rPr>
        <w:t xml:space="preserve">Owner-occupied homes experience </w:t>
      </w:r>
      <w:r>
        <w:rPr>
          <w:b w:val="1"/>
          <w:bCs w:val="1"/>
          <w:rtl w:val="0"/>
          <w:lang w:val="en-US"/>
        </w:rPr>
        <w:t>25% lower displacement rates</w:t>
      </w:r>
      <w:r>
        <w:rPr>
          <w:rtl w:val="0"/>
        </w:rPr>
        <w:t xml:space="preserve"> and </w:t>
      </w:r>
      <w:r>
        <w:rPr>
          <w:b w:val="1"/>
          <w:bCs w:val="1"/>
          <w:rtl w:val="0"/>
          <w:lang w:val="en-US"/>
        </w:rPr>
        <w:t>higher community investment.</w:t>
      </w:r>
    </w:p>
    <w:p>
      <w:pPr>
        <w:pStyle w:val="Body"/>
        <w:bidi w:val="0"/>
        <w:ind w:left="720"/>
      </w:pPr>
    </w:p>
    <w:p>
      <w:pPr>
        <w:pStyle w:val="Body"/>
        <w:bidi w:val="0"/>
        <w:ind w:left="720"/>
      </w:pPr>
      <w:r>
        <w:rPr>
          <w:rFonts w:ascii="Arial Unicode MS" w:cs="Arial Unicode MS" w:hAnsi="Arial Unicode MS" w:eastAsia="Arial Unicode MS" w:hint="default"/>
          <w:b w:val="0"/>
          <w:bCs w:val="0"/>
          <w:i w:val="0"/>
          <w:iCs w:val="0"/>
          <w:rtl w:val="0"/>
        </w:rPr>
        <w:t>✅</w:t>
      </w:r>
      <w:r>
        <w:rPr>
          <w:rtl w:val="0"/>
        </w:rPr>
        <w:t xml:space="preserve"> </w:t>
      </w:r>
      <w:r>
        <w:rPr>
          <w:b w:val="1"/>
          <w:bCs w:val="1"/>
          <w:rtl w:val="0"/>
          <w:lang w:val="en-US"/>
        </w:rPr>
        <w:t>Improving Public Health &amp; Reducing Healthcare Costs</w:t>
      </w:r>
    </w:p>
    <w:p>
      <w:pPr>
        <w:pStyle w:val="Body"/>
        <w:bidi w:val="0"/>
        <w:ind w:left="720"/>
      </w:pPr>
      <w:r>
        <w:rPr>
          <w:rtl w:val="0"/>
        </w:rPr>
        <w:tab/>
        <w:t>•</w:t>
        <w:tab/>
      </w:r>
      <w:r>
        <w:rPr>
          <w:rtl w:val="0"/>
        </w:rPr>
        <w:t xml:space="preserve">Stable housing leads to </w:t>
      </w:r>
      <w:r>
        <w:rPr>
          <w:b w:val="1"/>
          <w:bCs w:val="1"/>
          <w:rtl w:val="0"/>
          <w:lang w:val="en-US"/>
        </w:rPr>
        <w:t>better health outcomes, reducing Medicaid expenditures</w:t>
      </w:r>
      <w:r>
        <w:rPr>
          <w:rtl w:val="0"/>
        </w:rPr>
        <w:t xml:space="preserve"> on preventable illnesses caused by unsafe housing.</w:t>
      </w:r>
    </w:p>
    <w:p>
      <w:pPr>
        <w:pStyle w:val="Body"/>
        <w:bidi w:val="0"/>
        <w:ind w:left="720"/>
      </w:pPr>
    </w:p>
    <w:p>
      <w:pPr>
        <w:pStyle w:val="Body"/>
        <w:rPr>
          <w:b w:val="1"/>
          <w:bCs w:val="1"/>
        </w:rPr>
      </w:pPr>
      <w:r>
        <w:rPr>
          <w:b w:val="1"/>
          <w:bCs w:val="1"/>
          <w:rtl w:val="0"/>
          <w:lang w:val="en-US"/>
        </w:rPr>
        <w:t>VI. Next Steps &amp; Action Items</w:t>
      </w:r>
    </w:p>
    <w:p>
      <w:pPr>
        <w:pStyle w:val="Body"/>
        <w:bidi w:val="0"/>
      </w:pPr>
    </w:p>
    <w:p>
      <w:pPr>
        <w:pStyle w:val="Body"/>
        <w:bidi w:val="0"/>
      </w:pPr>
      <w:r>
        <w:rPr>
          <w:rFonts w:ascii="Arial Unicode MS" w:cs="Arial Unicode MS" w:hAnsi="Arial Unicode MS" w:eastAsia="Arial Unicode MS" w:hint="eastAsia"/>
          <w:b w:val="0"/>
          <w:bCs w:val="0"/>
          <w:i w:val="0"/>
          <w:iCs w:val="0"/>
          <w:rtl w:val="0"/>
        </w:rPr>
        <w:t>📌</w:t>
      </w:r>
      <w:r>
        <w:rPr>
          <w:rtl w:val="0"/>
        </w:rPr>
        <w:t xml:space="preserve"> </w:t>
      </w:r>
      <w:r>
        <w:rPr>
          <w:b w:val="1"/>
          <w:bCs w:val="1"/>
          <w:rtl w:val="0"/>
          <w:lang w:val="en-US"/>
        </w:rPr>
        <w:t>Draft NYC-Specific TOPA Legislation</w:t>
      </w:r>
      <w:r>
        <w:rPr>
          <w:rtl w:val="0"/>
        </w:rPr>
        <w:t xml:space="preserve"> (if state bill fails).</w:t>
      </w:r>
    </w:p>
    <w:p>
      <w:pPr>
        <w:pStyle w:val="Body"/>
        <w:bidi w:val="0"/>
      </w:pPr>
      <w:r>
        <w:rPr>
          <w:rFonts w:ascii="Arial Unicode MS" w:cs="Arial Unicode MS" w:hAnsi="Arial Unicode MS" w:eastAsia="Arial Unicode MS" w:hint="eastAsia"/>
          <w:b w:val="0"/>
          <w:bCs w:val="0"/>
          <w:i w:val="0"/>
          <w:iCs w:val="0"/>
          <w:rtl w:val="0"/>
        </w:rPr>
        <w:t>📌</w:t>
      </w:r>
      <w:r>
        <w:rPr>
          <w:rtl w:val="0"/>
        </w:rPr>
        <w:t xml:space="preserve"> </w:t>
      </w:r>
      <w:r>
        <w:rPr>
          <w:b w:val="1"/>
          <w:bCs w:val="1"/>
          <w:rtl w:val="0"/>
          <w:lang w:val="en-US"/>
        </w:rPr>
        <w:t>Advocate for Section 8 &amp; CityFHEPS Amendments</w:t>
      </w:r>
      <w:r>
        <w:rPr>
          <w:rtl w:val="0"/>
        </w:rPr>
        <w:t xml:space="preserve"> to allow down payment use.</w:t>
      </w:r>
    </w:p>
    <w:p>
      <w:pPr>
        <w:pStyle w:val="Body"/>
        <w:bidi w:val="0"/>
      </w:pPr>
      <w:r>
        <w:rPr>
          <w:rFonts w:ascii="Arial Unicode MS" w:cs="Arial Unicode MS" w:hAnsi="Arial Unicode MS" w:eastAsia="Arial Unicode MS" w:hint="eastAsia"/>
          <w:b w:val="0"/>
          <w:bCs w:val="0"/>
          <w:i w:val="0"/>
          <w:iCs w:val="0"/>
          <w:rtl w:val="0"/>
        </w:rPr>
        <w:t>📌</w:t>
      </w:r>
      <w:r>
        <w:rPr>
          <w:rtl w:val="0"/>
        </w:rPr>
        <w:t xml:space="preserve"> </w:t>
      </w:r>
      <w:r>
        <w:rPr>
          <w:b w:val="1"/>
          <w:bCs w:val="1"/>
          <w:rtl w:val="0"/>
          <w:lang w:val="en-US"/>
        </w:rPr>
        <w:t>Engage City Council &amp; Public Advocate</w:t>
      </w:r>
      <w:r>
        <w:rPr>
          <w:rtl w:val="0"/>
        </w:rPr>
        <w:t xml:space="preserve"> to push municipal ownership initiatives.</w:t>
      </w:r>
    </w:p>
    <w:p>
      <w:pPr>
        <w:pStyle w:val="Body"/>
        <w:bidi w:val="0"/>
      </w:pPr>
      <w:r>
        <w:rPr>
          <w:rFonts w:ascii="Arial Unicode MS" w:cs="Arial Unicode MS" w:hAnsi="Arial Unicode MS" w:eastAsia="Arial Unicode MS" w:hint="eastAsia"/>
          <w:b w:val="0"/>
          <w:bCs w:val="0"/>
          <w:i w:val="0"/>
          <w:iCs w:val="0"/>
          <w:rtl w:val="0"/>
        </w:rPr>
        <w:t>📌</w:t>
      </w:r>
      <w:r>
        <w:rPr>
          <w:rtl w:val="0"/>
        </w:rPr>
        <w:t xml:space="preserve"> </w:t>
      </w:r>
      <w:r>
        <w:rPr>
          <w:b w:val="1"/>
          <w:bCs w:val="1"/>
          <w:rtl w:val="0"/>
          <w:lang w:val="en-US"/>
        </w:rPr>
        <w:t>Develop Pilot Programs for CLTs &amp; Tenant-Owned Cooperatives</w:t>
      </w:r>
      <w:r>
        <w:rPr>
          <w:rtl w:val="0"/>
        </w:rPr>
        <w:t xml:space="preserve"> in targeted neighborhoods.</w:t>
      </w:r>
    </w:p>
    <w:p>
      <w:pPr>
        <w:pStyle w:val="Body"/>
        <w:bidi w:val="0"/>
      </w:pPr>
    </w:p>
    <w:p>
      <w:pPr>
        <w:pStyle w:val="Body"/>
        <w:rPr>
          <w:b w:val="1"/>
          <w:bCs w:val="1"/>
        </w:rPr>
      </w:pPr>
      <w:r>
        <w:rPr>
          <w:b w:val="1"/>
          <w:bCs w:val="1"/>
          <w:rtl w:val="0"/>
          <w:lang w:val="en-US"/>
        </w:rPr>
        <w:t>VII. Conclusion: A Vision for Housing Justice &amp; Economic Empowerment</w:t>
      </w:r>
    </w:p>
    <w:p>
      <w:pPr>
        <w:pStyle w:val="Body"/>
        <w:bidi w:val="0"/>
      </w:pPr>
    </w:p>
    <w:p>
      <w:pPr>
        <w:pStyle w:val="Body"/>
        <w:bidi w:val="0"/>
      </w:pPr>
      <w:r>
        <w:rPr>
          <w:rtl w:val="0"/>
        </w:rPr>
        <w:t xml:space="preserve">New York City must </w:t>
      </w:r>
      <w:r>
        <w:rPr>
          <w:b w:val="1"/>
          <w:bCs w:val="1"/>
          <w:rtl w:val="0"/>
          <w:lang w:val="en-US"/>
        </w:rPr>
        <w:t>break the cycle of landlord-controlled subsidies</w:t>
      </w:r>
      <w:r>
        <w:rPr>
          <w:rtl w:val="0"/>
        </w:rPr>
        <w:t xml:space="preserve"> and instead </w:t>
      </w:r>
      <w:r>
        <w:rPr>
          <w:b w:val="1"/>
          <w:bCs w:val="1"/>
          <w:rtl w:val="0"/>
          <w:lang w:val="en-US"/>
        </w:rPr>
        <w:t>empower tenants to own their homes</w:t>
      </w:r>
      <w:r>
        <w:rPr>
          <w:rtl w:val="0"/>
        </w:rPr>
        <w:t>—</w:t>
      </w:r>
      <w:r>
        <w:rPr>
          <w:rtl w:val="0"/>
        </w:rPr>
        <w:t>a step toward economic independence, racial equity, and long-term citywide financial stability.</w:t>
      </w:r>
    </w:p>
    <w:p>
      <w:pPr>
        <w:pStyle w:val="Body"/>
        <w:bidi w:val="0"/>
      </w:pPr>
    </w:p>
    <w:p>
      <w:pPr>
        <w:pStyle w:val="Body"/>
        <w:bidi w:val="0"/>
      </w:pPr>
      <w:r>
        <w:rPr>
          <w:rtl w:val="0"/>
        </w:rPr>
        <w:t xml:space="preserve">This plan </w:t>
      </w:r>
      <w:r>
        <w:rPr>
          <w:b w:val="1"/>
          <w:bCs w:val="1"/>
          <w:rtl w:val="0"/>
          <w:lang w:val="en-US"/>
        </w:rPr>
        <w:t>not only restructures housing policy but redefines housing as a tool for social justice and economic mobility.</w:t>
      </w:r>
      <w:r>
        <w:rPr>
          <w:rtl w:val="0"/>
        </w:rPr>
        <w:t xml:space="preserve"> By transitioning to </w:t>
      </w:r>
      <w:r>
        <w:rPr>
          <w:b w:val="1"/>
          <w:bCs w:val="1"/>
          <w:rtl w:val="0"/>
          <w:lang w:val="en-US"/>
        </w:rPr>
        <w:t>ownership-driven policies</w:t>
      </w:r>
      <w:r>
        <w:rPr>
          <w:rtl w:val="0"/>
        </w:rPr>
        <w:t xml:space="preserve">, we can create a </w:t>
      </w:r>
      <w:r>
        <w:rPr>
          <w:b w:val="1"/>
          <w:bCs w:val="1"/>
          <w:rtl w:val="0"/>
          <w:lang w:val="en-US"/>
        </w:rPr>
        <w:t>self-sustaining system that prioritizes tenants over landlords, communities over corporate investors, and intergenerational wealth over perpetual instability.</w:t>
      </w:r>
    </w:p>
    <w:p>
      <w:pPr>
        <w:pStyle w:val="Body"/>
        <w:bidi w:val="0"/>
      </w:pPr>
    </w:p>
    <w:p>
      <w:pPr>
        <w:pStyle w:val="Body"/>
        <w:bidi w:val="0"/>
      </w:pPr>
      <w:r>
        <w:rPr>
          <w:rtl w:val="0"/>
        </w:rPr>
        <w:t xml:space="preserve">Would you like a follow-up </w:t>
      </w:r>
      <w:r>
        <w:rPr>
          <w:b w:val="1"/>
          <w:bCs w:val="1"/>
          <w:rtl w:val="0"/>
          <w:lang w:val="en-US"/>
        </w:rPr>
        <w:t>presentation deck</w:t>
      </w:r>
      <w:r>
        <w:rPr>
          <w:rtl w:val="0"/>
        </w:rPr>
        <w:t xml:space="preserve"> or </w:t>
      </w:r>
      <w:r>
        <w:rPr>
          <w:b w:val="1"/>
          <w:bCs w:val="1"/>
          <w:rtl w:val="0"/>
          <w:lang w:val="en-US"/>
        </w:rPr>
        <w:t>legislative draft</w:t>
      </w:r>
      <w:r>
        <w:rPr>
          <w:rtl w:val="0"/>
        </w:rPr>
        <w:t xml:space="preserve"> for specific proposals? Let me know how you</w:t>
      </w:r>
      <w:r>
        <w:rPr>
          <w:rtl w:val="1"/>
        </w:rPr>
        <w:t>’</w:t>
      </w:r>
      <w:r>
        <w:rPr>
          <w:rtl w:val="0"/>
        </w:rPr>
        <w:t>d like to move forward!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