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E7F7" w14:textId="1E4EAFC3" w:rsidR="00241359" w:rsidRPr="00B503BA" w:rsidRDefault="00B503BA" w:rsidP="00B503BA">
      <w:pPr>
        <w:pStyle w:val="Heading1"/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503BA">
        <w:rPr>
          <w:rFonts w:ascii="Times New Roman" w:hAnsi="Times New Roman" w:cs="Times New Roman"/>
          <w:sz w:val="28"/>
          <w:szCs w:val="40"/>
        </w:rPr>
        <w:t>TITLE: PUBLIC EQUITY TRANSFER FRAMEWORK (PETF) ACT</w:t>
      </w:r>
    </w:p>
    <w:p w14:paraId="5921D5E8" w14:textId="77777777" w:rsidR="00241359" w:rsidRPr="00B503BA" w:rsidRDefault="00000000" w:rsidP="00B503BA">
      <w:pPr>
        <w:pStyle w:val="Heading3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Be it enacted by the City Council of the City of New York:</w:t>
      </w:r>
    </w:p>
    <w:p w14:paraId="021803C5" w14:textId="77777777" w:rsidR="00241359" w:rsidRPr="00B503BA" w:rsidRDefault="00241359" w:rsidP="00B503BA">
      <w:pPr>
        <w:spacing w:line="240" w:lineRule="auto"/>
        <w:rPr>
          <w:rFonts w:ascii="Times New Roman" w:hAnsi="Times New Roman" w:cs="Times New Roman"/>
        </w:rPr>
      </w:pPr>
    </w:p>
    <w:p w14:paraId="6E5551EA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1. SHORT TITLE</w:t>
      </w:r>
    </w:p>
    <w:p w14:paraId="26FDF2C8" w14:textId="094EECBA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This Act shall be known and may be cited as the "Public Equity Transfer Framework Act."</w:t>
      </w:r>
    </w:p>
    <w:p w14:paraId="7757B12E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2. DECLARATION OF LEGISLATIVE INTENT</w:t>
      </w:r>
    </w:p>
    <w:p w14:paraId="7A351955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Whereas the City of New York seeks to transform housing subsidies into pathways for ownership and intergenerational wealth; and</w:t>
      </w:r>
    </w:p>
    <w:p w14:paraId="6219DA2C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Whereas current subsidy programs disproportionately benefit landlords and fail to address asset inequality; therefore</w:t>
      </w:r>
    </w:p>
    <w:p w14:paraId="18968C6D" w14:textId="7960955C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The Council finds and declares that the legal conversion of rental subsidies into equity instruments is in the public interest.</w:t>
      </w:r>
    </w:p>
    <w:p w14:paraId="6295FDCC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3. DEFINITIONS</w:t>
      </w:r>
    </w:p>
    <w:p w14:paraId="2F3670E6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"Convertible Public Housing Equity Instrument" means a financial mechanism wherein a qualifying public subsidy is reclassified as an ownership contribution within a limited-equity cooperative.</w:t>
      </w:r>
    </w:p>
    <w:p w14:paraId="5695EFB6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"Qualified Tenant Association" means any tenant association certified by HPD to participate in TCAP.</w:t>
      </w:r>
    </w:p>
    <w:p w14:paraId="6B1497FA" w14:textId="33DC4A40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(c) "HPD" means the New York City Department of Housing Preservation and Development.</w:t>
      </w:r>
    </w:p>
    <w:p w14:paraId="10173AB9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4. ESTABLISHMENT OF CONVERTIBLE PUBLIC HOUSING EQUITY INSTRUMENTS</w:t>
      </w:r>
    </w:p>
    <w:p w14:paraId="66348A12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HPD is authorized to convert any housing subsidy, including but not limited to HCV, CityFHEPS, and HASA, into a Convertible Public Housing Equity Instrument.</w:t>
      </w:r>
    </w:p>
    <w:p w14:paraId="3FF316A8" w14:textId="2519594F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Such instruments shall be credited toward the purchase of cooperative shares by eligible tenants.</w:t>
      </w:r>
    </w:p>
    <w:p w14:paraId="6BB90BD6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5. TENANT RIGHTS</w:t>
      </w:r>
    </w:p>
    <w:p w14:paraId="350804A8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Tenants participating in the TCAP program shall be entitled to accrue equity value equivalent to the sum of redirected subsidies during the transition period.</w:t>
      </w:r>
    </w:p>
    <w:p w14:paraId="27218EAF" w14:textId="5884004B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Resale value of shares shall be capped to maintain affordability.</w:t>
      </w:r>
    </w:p>
    <w:p w14:paraId="4D6BA8F7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6. ADMINISTRATION AND OVERSIGHT</w:t>
      </w:r>
    </w:p>
    <w:p w14:paraId="363DD9F5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HPD shall issue rules governing eligibility, certification, and disbursement.</w:t>
      </w:r>
    </w:p>
    <w:p w14:paraId="7C367973" w14:textId="5BDF5E9A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Annual reports shall be published detailing outcomes, compliance, and tenant equity growth.</w:t>
      </w:r>
    </w:p>
    <w:p w14:paraId="50DE3806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7. EFFECTIVE DATE</w:t>
      </w:r>
    </w:p>
    <w:p w14:paraId="22AAAD82" w14:textId="00F5478F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This Act shall take effect 90 days after enactment.</w:t>
      </w:r>
    </w:p>
    <w:p w14:paraId="08CF09F4" w14:textId="77371152" w:rsidR="00241359" w:rsidRPr="00B503BA" w:rsidRDefault="00B503BA" w:rsidP="00B503BA">
      <w:pPr>
        <w:pStyle w:val="Heading1"/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503BA">
        <w:rPr>
          <w:rFonts w:ascii="Times New Roman" w:hAnsi="Times New Roman" w:cs="Times New Roman"/>
          <w:sz w:val="28"/>
          <w:szCs w:val="40"/>
        </w:rPr>
        <w:lastRenderedPageBreak/>
        <w:t>TITLE: AMENDMENT TO NYS REAL PROPERTY LAW TO ENABLE SUBSIDY-BACKED COOPERATIVES</w:t>
      </w:r>
    </w:p>
    <w:p w14:paraId="09BD9230" w14:textId="77777777" w:rsidR="00241359" w:rsidRPr="00B503BA" w:rsidRDefault="00241359" w:rsidP="00B503BA">
      <w:pPr>
        <w:spacing w:line="240" w:lineRule="auto"/>
        <w:rPr>
          <w:rFonts w:ascii="Times New Roman" w:hAnsi="Times New Roman" w:cs="Times New Roman"/>
        </w:rPr>
      </w:pPr>
    </w:p>
    <w:p w14:paraId="6C8A6832" w14:textId="5B0C19DB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AN ACT to amend the real property law, in relation to permitting public housing subsidies to constitute equity contributions in cooperative housing.</w:t>
      </w:r>
    </w:p>
    <w:p w14:paraId="7B021DE9" w14:textId="7A48D3E0" w:rsidR="00241359" w:rsidRPr="00B503BA" w:rsidRDefault="00000000" w:rsidP="00B503BA">
      <w:pPr>
        <w:pStyle w:val="Heading3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The People of the State of New York, represented in Senate and Assembly, do enact as follows:</w:t>
      </w:r>
    </w:p>
    <w:p w14:paraId="1B426D55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1. Section 216 of the Real Property Law is amended to read:</w:t>
      </w:r>
    </w:p>
    <w:p w14:paraId="7E81BAC3" w14:textId="56F5391A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Public subsidies, including Housing Choice Vouchers (HCV), CityFHEPS, and HASA, shall be deemed valid consideration toward the purchase of cooperative shares in limited-equity housing entities approved by the New York City Department of Housing Preservation and Development.</w:t>
      </w:r>
    </w:p>
    <w:p w14:paraId="51E6C532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2. Section 220 of the Real Property Law is amended by adding:</w:t>
      </w:r>
    </w:p>
    <w:p w14:paraId="1D2800D5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Protections for tenants undergoing subsidy conversion shall include a moratorium on eviction filings for up to 12 months during the conversion process, provided the tenant remains in compliance with program obligations.</w:t>
      </w:r>
    </w:p>
    <w:p w14:paraId="0966C4E5" w14:textId="189C7689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Public subsidies used for share purchase shall be shielded from personal creditor attachment and exempt from taxation.</w:t>
      </w:r>
    </w:p>
    <w:p w14:paraId="711476DA" w14:textId="457C2250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3. This act shall take effect immediately.</w:t>
      </w:r>
    </w:p>
    <w:p w14:paraId="2F554A76" w14:textId="27372F33" w:rsidR="00B503BA" w:rsidRDefault="00B50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1A707A" w14:textId="77777777" w:rsidR="00241359" w:rsidRPr="00B503BA" w:rsidRDefault="00241359" w:rsidP="00B503BA">
      <w:pPr>
        <w:spacing w:line="240" w:lineRule="auto"/>
        <w:rPr>
          <w:rFonts w:ascii="Times New Roman" w:hAnsi="Times New Roman" w:cs="Times New Roman"/>
        </w:rPr>
      </w:pPr>
    </w:p>
    <w:p w14:paraId="76166708" w14:textId="696467E5" w:rsidR="00241359" w:rsidRPr="00B503BA" w:rsidRDefault="00B503BA" w:rsidP="00B503BA">
      <w:pPr>
        <w:pStyle w:val="Heading1"/>
        <w:spacing w:line="240" w:lineRule="auto"/>
        <w:rPr>
          <w:rFonts w:ascii="Times New Roman" w:hAnsi="Times New Roman" w:cs="Times New Roman"/>
          <w:sz w:val="44"/>
          <w:szCs w:val="44"/>
        </w:rPr>
      </w:pPr>
      <w:r w:rsidRPr="00B503BA">
        <w:rPr>
          <w:rFonts w:ascii="Times New Roman" w:hAnsi="Times New Roman" w:cs="Times New Roman"/>
          <w:szCs w:val="44"/>
        </w:rPr>
        <w:t>TITLE: MUNICIPAL ENABLING ORDINANCE FOR SUBSIDIZED LIMITED-EQUITY COOPERATIVES</w:t>
      </w:r>
    </w:p>
    <w:p w14:paraId="547B99C3" w14:textId="77777777" w:rsidR="00241359" w:rsidRPr="00B503BA" w:rsidRDefault="00241359" w:rsidP="00B503BA">
      <w:pPr>
        <w:spacing w:line="240" w:lineRule="auto"/>
        <w:rPr>
          <w:rFonts w:ascii="Times New Roman" w:hAnsi="Times New Roman" w:cs="Times New Roman"/>
        </w:rPr>
      </w:pPr>
    </w:p>
    <w:p w14:paraId="75913F11" w14:textId="399CC717" w:rsidR="00241359" w:rsidRPr="00B503BA" w:rsidRDefault="00000000" w:rsidP="00B503BA">
      <w:pPr>
        <w:pStyle w:val="Heading3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Be it enacted by the Council of the City of New York:</w:t>
      </w:r>
    </w:p>
    <w:p w14:paraId="602D7047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1. SHORT TITLE</w:t>
      </w:r>
    </w:p>
    <w:p w14:paraId="0E6A7399" w14:textId="4E8E86DC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This ordinance may be cited as the "Subsidized Limited-Equity Cooperative Recognition Act."</w:t>
      </w:r>
    </w:p>
    <w:p w14:paraId="24E15CD2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2. PURPOSE</w:t>
      </w:r>
    </w:p>
    <w:p w14:paraId="0591480E" w14:textId="1059AD99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 xml:space="preserve">To establish a new classification of cooperative housing for units acquired through the Tenant Co-op Acquisition Program (TCAP), </w:t>
      </w:r>
      <w:proofErr w:type="gramStart"/>
      <w:r w:rsidRPr="00B503BA">
        <w:rPr>
          <w:rFonts w:ascii="Times New Roman" w:hAnsi="Times New Roman" w:cs="Times New Roman"/>
          <w:sz w:val="22"/>
        </w:rPr>
        <w:t>in order to</w:t>
      </w:r>
      <w:proofErr w:type="gramEnd"/>
      <w:r w:rsidRPr="00B503BA">
        <w:rPr>
          <w:rFonts w:ascii="Times New Roman" w:hAnsi="Times New Roman" w:cs="Times New Roman"/>
          <w:sz w:val="22"/>
        </w:rPr>
        <w:t xml:space="preserve"> ensure affordability, democratic governance, and compliance with public objectives.</w:t>
      </w:r>
    </w:p>
    <w:p w14:paraId="3185FD8E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3. DEFINITIONS</w:t>
      </w:r>
    </w:p>
    <w:p w14:paraId="160184D2" w14:textId="4CD8870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"Subsidized Limited-Equity Cooperative" means a multi-family residential building acquired by a qualified tenant association using converted public subsidies under TCAP.</w:t>
      </w:r>
    </w:p>
    <w:p w14:paraId="53511AD2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4. ADMINISTRATIVE CERTIFICATION</w:t>
      </w:r>
    </w:p>
    <w:p w14:paraId="697EBC69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HPD shall develop and maintain a registry of all certified cooperatives under this ordinance.</w:t>
      </w:r>
    </w:p>
    <w:p w14:paraId="5C734D0B" w14:textId="29C100F8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 xml:space="preserve">(b) Certification shall </w:t>
      </w:r>
      <w:proofErr w:type="gramStart"/>
      <w:r w:rsidRPr="00B503BA">
        <w:rPr>
          <w:rFonts w:ascii="Times New Roman" w:hAnsi="Times New Roman" w:cs="Times New Roman"/>
          <w:sz w:val="22"/>
        </w:rPr>
        <w:t>require:</w:t>
      </w:r>
      <w:proofErr w:type="gramEnd"/>
      <w:r w:rsidRPr="00B503BA">
        <w:rPr>
          <w:rFonts w:ascii="Times New Roman" w:hAnsi="Times New Roman" w:cs="Times New Roman"/>
          <w:sz w:val="22"/>
        </w:rPr>
        <w:t xml:space="preserve"> adoption of TCAP-approved bylaws, financial reserve plans, and affordability covenants.</w:t>
      </w:r>
    </w:p>
    <w:p w14:paraId="4E5F935C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5. AFFORDABILITY &amp; COMPLIANCE</w:t>
      </w:r>
    </w:p>
    <w:p w14:paraId="43A50DA2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Maximum resale prices shall be fixed based on original share cost plus no more than 2% annual appreciation.</w:t>
      </w:r>
    </w:p>
    <w:p w14:paraId="245AAF90" w14:textId="6C4EF35F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Certified co-ops shall submit to a triennial audit by HPD.</w:t>
      </w:r>
    </w:p>
    <w:p w14:paraId="460DE008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6. LEGAL STANDING</w:t>
      </w:r>
    </w:p>
    <w:p w14:paraId="67336BD2" w14:textId="2BDB7614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Tenant associations operating as certified cooperatives shall have standing in Housing Court to assert violations of this ordinance.</w:t>
      </w:r>
    </w:p>
    <w:p w14:paraId="3ABC3FBD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7. EFFECTIVE DATE</w:t>
      </w:r>
    </w:p>
    <w:p w14:paraId="24E0BE98" w14:textId="2C3CD51A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This ordinance shall take effect 120 days after enactment.</w:t>
      </w:r>
    </w:p>
    <w:p w14:paraId="7B1892DF" w14:textId="77777777" w:rsidR="00B503BA" w:rsidRDefault="00B503BA">
      <w:pPr>
        <w:rPr>
          <w:rFonts w:ascii="Times New Roman" w:hAnsi="Times New Roman" w:cs="Times New Roman"/>
          <w:smallCaps/>
          <w:spacing w:val="5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br w:type="page"/>
      </w:r>
    </w:p>
    <w:p w14:paraId="63120296" w14:textId="34C8169F" w:rsidR="00241359" w:rsidRPr="00B503BA" w:rsidRDefault="00B503BA" w:rsidP="00B503BA">
      <w:pPr>
        <w:pStyle w:val="Heading1"/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B503BA">
        <w:rPr>
          <w:rFonts w:ascii="Times New Roman" w:hAnsi="Times New Roman" w:cs="Times New Roman"/>
          <w:sz w:val="28"/>
          <w:szCs w:val="40"/>
        </w:rPr>
        <w:lastRenderedPageBreak/>
        <w:t>TITLE: COMMUNITY OPPORTUNITY TO PURCHASE ACT (COPA) — EXPANSION AMENDMENT</w:t>
      </w:r>
    </w:p>
    <w:p w14:paraId="404FA2EC" w14:textId="77777777" w:rsidR="00B503BA" w:rsidRPr="00B503BA" w:rsidRDefault="00B503BA" w:rsidP="00B503BA">
      <w:pPr>
        <w:rPr>
          <w:rFonts w:ascii="Times New Roman" w:hAnsi="Times New Roman" w:cs="Times New Roman"/>
        </w:rPr>
      </w:pPr>
    </w:p>
    <w:p w14:paraId="4A158CC1" w14:textId="0F16A2F2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AN ACT to expand the rights of tenant associations to purchase residential properties prior to third-party sale or foreclosure.</w:t>
      </w:r>
    </w:p>
    <w:p w14:paraId="352A9092" w14:textId="7275E026" w:rsidR="00241359" w:rsidRPr="00B503BA" w:rsidRDefault="00000000" w:rsidP="00B503BA">
      <w:pPr>
        <w:pStyle w:val="Heading3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The People of the State of New York, represented in Senate and Assembly, do enact as follows:</w:t>
      </w:r>
    </w:p>
    <w:p w14:paraId="3CF900FD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1. DEFINITIONS</w:t>
      </w:r>
    </w:p>
    <w:p w14:paraId="37A7BC7B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"Tenant Association" means any tenant organization legally recognized under city or state housing law.</w:t>
      </w:r>
    </w:p>
    <w:p w14:paraId="67A3DF3A" w14:textId="2F250186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"Trigger Event" means a listing for sale, tax lien foreclosure, deed-in-lieu transaction, or foreclosure auction.</w:t>
      </w:r>
    </w:p>
    <w:p w14:paraId="14B7AAAF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2. EXPANDED NOTICE REQUIREMENTS</w:t>
      </w:r>
    </w:p>
    <w:p w14:paraId="651BC3A7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Sellers of covered buildings shall notify all resident tenant associations and HPD of any Trigger Event not less than 90 days prior to public listing or contract signing.</w:t>
      </w:r>
    </w:p>
    <w:p w14:paraId="752DD3D4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The notice must include:</w:t>
      </w:r>
    </w:p>
    <w:p w14:paraId="7A245703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(1) Proposed sale price;</w:t>
      </w:r>
    </w:p>
    <w:p w14:paraId="5F2AF69D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(2) Estimated closing timeline;</w:t>
      </w:r>
    </w:p>
    <w:p w14:paraId="5A3D4F2E" w14:textId="7059C6E3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(3) A statement of tenant association right to submit purchase intent.</w:t>
      </w:r>
    </w:p>
    <w:p w14:paraId="7D1384E1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3. RIGHT OF FIRST REFUSAL</w:t>
      </w:r>
    </w:p>
    <w:p w14:paraId="70DD9E87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Tenant associations shall have 90 days to match any bona fide third-party offer.</w:t>
      </w:r>
    </w:p>
    <w:p w14:paraId="7E646FBD" w14:textId="3F2FD585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Sellers must provide documentation to HPD and affected tenants confirming compliance.</w:t>
      </w:r>
    </w:p>
    <w:p w14:paraId="6E1FAAE2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4. ENFORCEMENT AND REMEDIES</w:t>
      </w:r>
    </w:p>
    <w:p w14:paraId="4FEB83D5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HPD shall have authority to:</w:t>
      </w:r>
    </w:p>
    <w:p w14:paraId="192D533B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(a) Suspend transfer approvals for violations;</w:t>
      </w:r>
    </w:p>
    <w:p w14:paraId="7ADEB188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(b) Issue fines of up to $50,000 for noncompliance;</w:t>
      </w:r>
    </w:p>
    <w:p w14:paraId="5A7E3070" w14:textId="291F2E1A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(c) File for injunctive relief in Housing Court.</w:t>
      </w:r>
    </w:p>
    <w:p w14:paraId="36150C02" w14:textId="77777777" w:rsidR="00241359" w:rsidRPr="00B503BA" w:rsidRDefault="00000000" w:rsidP="00B503BA">
      <w:pPr>
        <w:pStyle w:val="Heading2"/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SECTION 5. EFFECTIVE DATE</w:t>
      </w:r>
    </w:p>
    <w:p w14:paraId="607A81F7" w14:textId="77777777" w:rsidR="00241359" w:rsidRPr="00B503BA" w:rsidRDefault="00000000" w:rsidP="00B503BA">
      <w:pPr>
        <w:spacing w:line="240" w:lineRule="auto"/>
        <w:rPr>
          <w:rFonts w:ascii="Times New Roman" w:hAnsi="Times New Roman" w:cs="Times New Roman"/>
        </w:rPr>
      </w:pPr>
      <w:r w:rsidRPr="00B503BA">
        <w:rPr>
          <w:rFonts w:ascii="Times New Roman" w:hAnsi="Times New Roman" w:cs="Times New Roman"/>
          <w:sz w:val="22"/>
        </w:rPr>
        <w:t>This Act shall take effect on the 1st day of the fiscal quarter following enactment.</w:t>
      </w:r>
    </w:p>
    <w:sectPr w:rsidR="00241359" w:rsidRPr="00B503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190908">
    <w:abstractNumId w:val="8"/>
  </w:num>
  <w:num w:numId="2" w16cid:durableId="584843348">
    <w:abstractNumId w:val="6"/>
  </w:num>
  <w:num w:numId="3" w16cid:durableId="767778258">
    <w:abstractNumId w:val="5"/>
  </w:num>
  <w:num w:numId="4" w16cid:durableId="1508519533">
    <w:abstractNumId w:val="4"/>
  </w:num>
  <w:num w:numId="5" w16cid:durableId="930966036">
    <w:abstractNumId w:val="7"/>
  </w:num>
  <w:num w:numId="6" w16cid:durableId="1943798820">
    <w:abstractNumId w:val="3"/>
  </w:num>
  <w:num w:numId="7" w16cid:durableId="1477869026">
    <w:abstractNumId w:val="2"/>
  </w:num>
  <w:num w:numId="8" w16cid:durableId="236017541">
    <w:abstractNumId w:val="1"/>
  </w:num>
  <w:num w:numId="9" w16cid:durableId="1946686762">
    <w:abstractNumId w:val="0"/>
  </w:num>
  <w:num w:numId="10" w16cid:durableId="516579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359"/>
    <w:rsid w:val="0029639D"/>
    <w:rsid w:val="00326F90"/>
    <w:rsid w:val="006C5C75"/>
    <w:rsid w:val="00AA1D8D"/>
    <w:rsid w:val="00B47730"/>
    <w:rsid w:val="00B503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A8320"/>
  <w14:defaultImageDpi w14:val="300"/>
  <w15:docId w15:val="{D0780B32-D89B-034C-AF37-B86C624C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3BA"/>
  </w:style>
  <w:style w:type="paragraph" w:styleId="Heading1">
    <w:name w:val="heading 1"/>
    <w:basedOn w:val="Normal"/>
    <w:next w:val="Normal"/>
    <w:link w:val="Heading1Char"/>
    <w:uiPriority w:val="9"/>
    <w:qFormat/>
    <w:rsid w:val="00B503B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3BA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3B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BA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BA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BA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BA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BA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BA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B503B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503B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03B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503BA"/>
    <w:rPr>
      <w:smallCaps/>
      <w:spacing w:val="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503BA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503BA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BA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503BA"/>
    <w:rPr>
      <w:rFonts w:asciiTheme="majorHAnsi" w:eastAsiaTheme="majorEastAsia" w:hAnsiTheme="majorHAnsi" w:cstheme="majorBidi"/>
      <w:szCs w:val="22"/>
    </w:rPr>
  </w:style>
  <w:style w:type="paragraph" w:styleId="ListParagraph">
    <w:name w:val="List Paragraph"/>
    <w:basedOn w:val="Normal"/>
    <w:uiPriority w:val="34"/>
    <w:qFormat/>
    <w:rsid w:val="00B503BA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503B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503BA"/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BA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BA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BA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BA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BA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BA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03BA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B503BA"/>
    <w:rPr>
      <w:b/>
      <w:color w:val="C0504D" w:themeColor="accent2"/>
    </w:rPr>
  </w:style>
  <w:style w:type="character" w:styleId="Emphasis">
    <w:name w:val="Emphasis"/>
    <w:uiPriority w:val="20"/>
    <w:qFormat/>
    <w:rsid w:val="00B503BA"/>
    <w:rPr>
      <w:b/>
      <w:i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BA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BA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B503BA"/>
    <w:rPr>
      <w:i/>
    </w:rPr>
  </w:style>
  <w:style w:type="character" w:styleId="IntenseEmphasis">
    <w:name w:val="Intense Emphasis"/>
    <w:uiPriority w:val="21"/>
    <w:qFormat/>
    <w:rsid w:val="00B503BA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B503BA"/>
    <w:rPr>
      <w:b/>
    </w:rPr>
  </w:style>
  <w:style w:type="character" w:styleId="IntenseReference">
    <w:name w:val="Intense Reference"/>
    <w:uiPriority w:val="32"/>
    <w:qFormat/>
    <w:rsid w:val="00B503BA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B503B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03BA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503BA"/>
  </w:style>
  <w:style w:type="paragraph" w:customStyle="1" w:styleId="PersonalName">
    <w:name w:val="Personal Name"/>
    <w:basedOn w:val="Title"/>
    <w:rsid w:val="00B503BA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DC077F-7E71-F941-ADA1-01CEDFBF2123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796</Words>
  <Characters>5140</Characters>
  <Application>Microsoft Office Word</Application>
  <DocSecurity>0</DocSecurity>
  <Lines>107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Seth Foss</cp:lastModifiedBy>
  <cp:revision>2</cp:revision>
  <dcterms:created xsi:type="dcterms:W3CDTF">2013-12-23T23:15:00Z</dcterms:created>
  <dcterms:modified xsi:type="dcterms:W3CDTF">2025-05-22T22:23:00Z</dcterms:modified>
  <cp:category/>
</cp:coreProperties>
</file>