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Cognitive &amp; Neuroscientific Toolkit for Housing &amp; Political Strategy</w:t>
      </w:r>
    </w:p>
    <w:p>
      <w:pPr>
        <w:pStyle w:val="Heading1"/>
      </w:pPr>
      <w:r>
        <w:t>1. Strategic Memory &amp; Organizational Framing</w:t>
      </w:r>
    </w:p>
    <w:p>
      <w:r>
        <w:t>**Source:** Gershberg &amp; Shimamura (1995) — Frontal Lobe Damage and Free Recall</w:t>
      </w:r>
    </w:p>
    <w:p>
      <w:r>
        <w:t>**Core Idea:** Strategic organization improves memory recall and execution.</w:t>
      </w:r>
    </w:p>
    <w:p>
      <w:r>
        <w:t>**Application:**</w:t>
      </w:r>
    </w:p>
    <w:p>
      <w:pPr>
        <w:pStyle w:val="ListBullet"/>
      </w:pPr>
      <w:r>
        <w:t>• Political messaging benefits from structured formats: thematic clustering, lists, repetition.</w:t>
      </w:r>
    </w:p>
    <w:p>
      <w:pPr>
        <w:pStyle w:val="ListBullet"/>
      </w:pPr>
      <w:r>
        <w:t>• Policy proposals and advocacy campaigns should be scaffolded like memory-enhancing outlines.</w:t>
      </w:r>
    </w:p>
    <w:p>
      <w:r>
        <w:t>**Actionable Tip:** Use stakeholder maps, checklists, and grouped talking points in proposals or community organizing.</w:t>
      </w:r>
    </w:p>
    <w:p>
      <w:pPr>
        <w:pStyle w:val="Heading1"/>
      </w:pPr>
      <w:r>
        <w:t>2. Adaptive Plasticity in Coalition Work</w:t>
      </w:r>
    </w:p>
    <w:p>
      <w:r>
        <w:t>**Source:** Reuter-Lorenz &amp; Park (2014) — Scaffolding Theory of Aging and Cognition (STAC)</w:t>
      </w:r>
    </w:p>
    <w:p>
      <w:r>
        <w:t>**Core Idea:** Experience and diversity promote resilience via scaffolding.</w:t>
      </w:r>
    </w:p>
    <w:p>
      <w:r>
        <w:t>**Application:**</w:t>
      </w:r>
    </w:p>
    <w:p>
      <w:pPr>
        <w:pStyle w:val="ListBullet"/>
      </w:pPr>
      <w:r>
        <w:t>• Cross-sector collaboration (legal, lived experience, policy) builds institutional resilience.</w:t>
      </w:r>
    </w:p>
    <w:p>
      <w:pPr>
        <w:pStyle w:val="ListBullet"/>
      </w:pPr>
      <w:r>
        <w:t>• Long-term engagement preserves “movement memory” and adaptability.</w:t>
      </w:r>
    </w:p>
    <w:p>
      <w:r>
        <w:t>**Actionable Tip:** Encourage intergenerational mentorship, cross-training in legal and organizing tactics.</w:t>
      </w:r>
    </w:p>
    <w:p>
      <w:pPr>
        <w:pStyle w:val="Heading1"/>
      </w:pPr>
      <w:r>
        <w:t>3. Multi-Modal Encoding Through Drawing</w:t>
      </w:r>
    </w:p>
    <w:p>
      <w:r>
        <w:t>**Source:** Fernandes et al. (2018) — Drawing and Memory</w:t>
      </w:r>
    </w:p>
    <w:p>
      <w:r>
        <w:t>**Core Idea:** Drawing engages multiple encoding systems, strengthening recall.</w:t>
      </w:r>
    </w:p>
    <w:p>
      <w:r>
        <w:t>**Application:**</w:t>
      </w:r>
    </w:p>
    <w:p>
      <w:pPr>
        <w:pStyle w:val="ListBullet"/>
      </w:pPr>
      <w:r>
        <w:t>• Infographics and maps (e.g., NYC Worst Landlords) enhance audience retention.</w:t>
      </w:r>
    </w:p>
    <w:p>
      <w:pPr>
        <w:pStyle w:val="ListBullet"/>
      </w:pPr>
      <w:r>
        <w:t>• Legislative or community flowcharts support clarity in presentations.</w:t>
      </w:r>
    </w:p>
    <w:p>
      <w:r>
        <w:t>**Actionable Tip:** Always pair verbal messaging with hand-drawn or digital visuals for maximum impact.</w:t>
      </w:r>
    </w:p>
    <w:p>
      <w:pPr>
        <w:pStyle w:val="Heading1"/>
      </w:pPr>
      <w:r>
        <w:t>4. Prestimulus Threat Processing</w:t>
      </w:r>
    </w:p>
    <w:p>
      <w:r>
        <w:t>**Source:** Sussman et al. (2016) — Prestimulus Brain Activity &amp; Threat Perception</w:t>
      </w:r>
    </w:p>
    <w:p>
      <w:r>
        <w:t>**Core Idea:** Brain readiness biases attention toward emotionally salient (especially threatening) stimuli.</w:t>
      </w:r>
    </w:p>
    <w:p>
      <w:r>
        <w:t>**Application:**</w:t>
      </w:r>
    </w:p>
    <w:p>
      <w:pPr>
        <w:pStyle w:val="ListBullet"/>
      </w:pPr>
      <w:r>
        <w:t>• Fear-based housing conditions (eviction risk, abuse) heighten tenants’ vigilance.</w:t>
      </w:r>
    </w:p>
    <w:p>
      <w:pPr>
        <w:pStyle w:val="ListBullet"/>
      </w:pPr>
      <w:r>
        <w:t>• Political messaging using emotional cues influences memory and belief anchoring.</w:t>
      </w:r>
    </w:p>
    <w:p>
      <w:r>
        <w:t>**Actionable Tip:** Use primed emotional narratives to frame facts—start campaigns with personal testimony to anchor memory.</w:t>
      </w:r>
    </w:p>
    <w:p>
      <w:pPr>
        <w:pStyle w:val="Heading1"/>
      </w:pPr>
      <w:r>
        <w:t>5. ICAP Framework for Message Engagement</w:t>
      </w:r>
    </w:p>
    <w:p>
      <w:r>
        <w:t>**Source:** Chi &amp; Wylie (2014) — ICAP Framework</w:t>
      </w:r>
    </w:p>
    <w:p>
      <w:r>
        <w:t>**Core Idea:** Deeper engagement (Interactive &gt; Constructive &gt; Active &gt; Passive) leads to stronger learning and memory.</w:t>
      </w:r>
    </w:p>
    <w:p>
      <w:r>
        <w:t>**Application:**</w:t>
      </w:r>
    </w:p>
    <w:p>
      <w:pPr>
        <w:pStyle w:val="ListBullet"/>
      </w:pPr>
      <w:r>
        <w:t>• Campaigns that involve the audience in discussion or reflection yield longer retention.</w:t>
      </w:r>
    </w:p>
    <w:p>
      <w:pPr>
        <w:pStyle w:val="ListBullet"/>
      </w:pPr>
      <w:r>
        <w:t>• Workshops and interactive tenant rights sessions outperform passive flyers.</w:t>
      </w:r>
    </w:p>
    <w:p>
      <w:r>
        <w:t>**Actionable Tip:** Design advocacy sessions with hands-on, interactive elements like mock court or peer-teaching.</w:t>
      </w:r>
    </w:p>
    <w:p>
      <w:pPr>
        <w:pStyle w:val="Heading1"/>
      </w:pPr>
      <w:r>
        <w:t>6. Growth Mindset and Cognitive Belief Systems</w:t>
      </w:r>
    </w:p>
    <w:p>
      <w:r>
        <w:t>**Source:** Blackwell et al. (2007) — Implicit Theories of Intelligence</w:t>
      </w:r>
    </w:p>
    <w:p>
      <w:r>
        <w:t>**Core Idea:** Beliefs about one's ability to grow influence academic (and likely civic) resilience.</w:t>
      </w:r>
    </w:p>
    <w:p>
      <w:r>
        <w:t>**Application:**</w:t>
      </w:r>
    </w:p>
    <w:p>
      <w:pPr>
        <w:pStyle w:val="ListBullet"/>
      </w:pPr>
      <w:r>
        <w:t>• Tenants facing systemic abuse often internalize failure.</w:t>
      </w:r>
    </w:p>
    <w:p>
      <w:pPr>
        <w:pStyle w:val="ListBullet"/>
      </w:pPr>
      <w:r>
        <w:t>• Promoting a growth mindset through empowerment can counter disengagement.</w:t>
      </w:r>
    </w:p>
    <w:p>
      <w:r>
        <w:t>**Actionable Tip:** Integrate 'growth-oriented' language into outreach (e.g., “You can learn your rights, build power, change systems”).</w:t>
      </w:r>
    </w:p>
    <w:p>
      <w:pPr>
        <w:pStyle w:val="Heading1"/>
      </w:pPr>
      <w:r>
        <w:t>7. Emotion-Driven, Social Learning</w:t>
      </w:r>
    </w:p>
    <w:p>
      <w:r>
        <w:t>**Source:** Immordino-Yang et al. (2019) — Social-Emotional Brain Development</w:t>
      </w:r>
    </w:p>
    <w:p>
      <w:r>
        <w:t>**Core Idea:** Brain development is shaped by emotional and social experiences.</w:t>
      </w:r>
    </w:p>
    <w:p>
      <w:r>
        <w:t>**Application:**</w:t>
      </w:r>
    </w:p>
    <w:p>
      <w:pPr>
        <w:pStyle w:val="ListBullet"/>
      </w:pPr>
      <w:r>
        <w:t>• Chronic stress from housing insecurity damages learning potential and emotional regulation.</w:t>
      </w:r>
    </w:p>
    <w:p>
      <w:pPr>
        <w:pStyle w:val="ListBullet"/>
      </w:pPr>
      <w:r>
        <w:t>• Community safety and validation are central to cognitive development.</w:t>
      </w:r>
    </w:p>
    <w:p>
      <w:r>
        <w:t>**Actionable Tip:** Structure outreach to restore a sense of dignity, belonging, and emotional safety.</w:t>
      </w:r>
    </w:p>
    <w:p>
      <w:pPr>
        <w:pStyle w:val="Heading1"/>
      </w:pPr>
      <w:r>
        <w:t>Cumulative Tactics</w:t>
      </w:r>
    </w:p>
    <w:p>
      <w:pPr>
        <w:pStyle w:val="ListBullet"/>
      </w:pPr>
      <w:r>
        <w:t>• Policy like Memory Cues: Use narrative framing, story arcs, and visual maps.</w:t>
      </w:r>
    </w:p>
    <w:p>
      <w:pPr>
        <w:pStyle w:val="ListBullet"/>
      </w:pPr>
      <w:r>
        <w:t>• Growth Through Scaffolding: Cross-pollinate experiences, build multi-disciplinary teams.</w:t>
      </w:r>
    </w:p>
    <w:p>
      <w:pPr>
        <w:pStyle w:val="ListBullet"/>
      </w:pPr>
      <w:r>
        <w:t>• Draw to Anchor: Use flowcharts and tenant 'journey maps' in all presentations.</w:t>
      </w:r>
    </w:p>
    <w:p>
      <w:pPr>
        <w:pStyle w:val="ListBullet"/>
      </w:pPr>
      <w:r>
        <w:t>• Activate Before Message: Prime emotionally, then deliver complex policy content.</w:t>
      </w:r>
    </w:p>
    <w:p>
      <w:pPr>
        <w:pStyle w:val="ListBullet"/>
      </w:pPr>
      <w:r>
        <w:t>• Engage to Retain: Prioritize dialogue over one-directional education.</w:t>
      </w:r>
    </w:p>
    <w:p>
      <w:pPr>
        <w:pStyle w:val="ListBullet"/>
      </w:pPr>
      <w:r>
        <w:t>• Normalize Learning: Treat tenant advocacy as skill-building, not blame-shifting.</w:t>
      </w:r>
    </w:p>
    <w:p>
      <w:pPr>
        <w:pStyle w:val="ListBullet"/>
      </w:pPr>
      <w:r>
        <w:t>• Center Safety: Belonging is a cognitive precondition—not just a moral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