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p>
    <w:p>
      <w:pPr>
        <w:pStyle w:val="Heading"/>
      </w:pPr>
      <w:r>
        <w:rPr>
          <w:rFonts w:cs="Arial Unicode MS" w:eastAsia="Arial Unicode MS"/>
          <w:rtl w:val="0"/>
          <w:lang w:val="en-US"/>
        </w:rPr>
        <w:t xml:space="preserve">  </w:t>
      </w:r>
      <w:r>
        <w:rPr>
          <w:rFonts w:cs="Arial Unicode MS" w:eastAsia="Arial Unicode MS"/>
          <w:rtl w:val="0"/>
          <w:lang w:val="fr-FR"/>
        </w:rPr>
        <w:t>Introduction</w:t>
      </w:r>
    </w:p>
    <w:p>
      <w:pPr>
        <w:pStyle w:val="Body"/>
      </w:pPr>
      <w:r>
        <w:tab/>
      </w:r>
      <w:r>
        <w:rPr>
          <w:rtl w:val="0"/>
        </w:rPr>
        <w:t>This proposal outlines a transformative housing policy framework designed to transition New York</w:t>
      </w:r>
      <w:r>
        <w:rPr>
          <w:rtl w:val="1"/>
        </w:rPr>
        <w:t>’</w:t>
      </w:r>
      <w:r>
        <w:rPr>
          <w:rtl w:val="0"/>
        </w:rPr>
        <w:t>s housing subsidy structure from a landlord-driven model to a tenant ownership strategy focused on equity, wealth-building, and long-term stability for marginalized communities. Leveraging existing rental subsidies, this reform reallocates funds toward cooperative housing ownership, community land trusts (CLTs), and long-term affordable housing structures to empower tenants. (Furman Center, 2019; Shelterforce, 2024; Time, 2024)</w:t>
      </w:r>
    </w:p>
    <w:p>
      <w:pPr>
        <w:pStyle w:val="Heading"/>
        <w:jc w:val="left"/>
      </w:pPr>
      <w:r>
        <w:rPr>
          <w:rtl w:val="0"/>
          <w:lang w:val="en-US"/>
        </w:rPr>
        <w:t>Context and Background</w:t>
      </w:r>
      <w:r>
        <w:rPr>
          <w:rtl w:val="0"/>
          <w:lang w:val="en-US"/>
        </w:rPr>
        <w:t xml:space="preserve"> </w:t>
      </w:r>
    </w:p>
    <w:p>
      <w:pPr>
        <w:pStyle w:val="Body"/>
      </w:pPr>
      <w:r>
        <w:tab/>
      </w:r>
      <w:r>
        <w:rPr>
          <w:rtl w:val="0"/>
        </w:rPr>
        <w:t>New York City faces a historic housing affordability crisis, with over 209,000 households on NYCHA waitlists, only 5% of lottery units reserved for tenants with mobility disabilities, and an eviction system that disproportionately affects low-income and disabled residents. Federal and state housing policies continue to favor landlord subsidies such as Section 8, which fail to create lasting wealth or security for tenants(Ansell, S</w:t>
      </w:r>
      <w:r>
        <w:rPr>
          <w:rtl w:val="0"/>
          <w:lang w:val="da-DK"/>
        </w:rPr>
        <w:t>ø</w:t>
      </w:r>
      <w:r>
        <w:rPr>
          <w:rtl w:val="0"/>
        </w:rPr>
        <w:t>rensen, &amp; Torfing, 2021; NYU Furman Center, 2019)</w:t>
      </w:r>
      <w:r>
        <w:rPr>
          <w:rtl w:val="0"/>
        </w:rPr>
        <w:t>.</w:t>
      </w:r>
      <w:r>
        <w:rPr>
          <w:rtl w:val="0"/>
        </w:rPr>
        <w:t xml:space="preserve"> This proposal responds to critical gaps in current housing policy by advocating for tenant ownership through restructured subsidy use, community-controlled housing, and updated legislation. (HUD, 2023; HCR, 2024; Bottcher, Rivera, &amp; Morgan, 2025)</w:t>
      </w:r>
    </w:p>
    <w:p>
      <w:pPr>
        <w:pStyle w:val="Heading"/>
        <w:jc w:val="left"/>
      </w:pPr>
      <w:r>
        <w:rPr>
          <w:rtl w:val="0"/>
          <w:lang w:val="en-US"/>
        </w:rPr>
        <w:t>Policy Landscape and Research Gaps</w:t>
      </w:r>
    </w:p>
    <w:p>
      <w:pPr>
        <w:pStyle w:val="Body"/>
        <w:sectPr>
          <w:headerReference w:type="default" r:id="rId4"/>
          <w:footerReference w:type="default" r:id="rId5"/>
          <w:pgSz w:w="12240" w:h="15840" w:orient="portrait"/>
          <w:pgMar w:top="1440" w:right="1440" w:bottom="1440" w:left="1440" w:header="720" w:footer="720"/>
          <w:bidi w:val="0"/>
        </w:sectPr>
      </w:pPr>
      <w:r>
        <w:tab/>
      </w:r>
      <w:r>
        <w:rPr>
          <w:rtl w:val="0"/>
        </w:rPr>
        <w:t>Despite federal and state funding, most public housing resources are concentrated in rental subsidy programs. Public housing waitlist systems are inequitable and lack prioritization for the most vulnerable. There's insufficient data on the long-term health and cognitive effects of housing instability.(Been, O</w:t>
      </w:r>
      <w:r>
        <w:rPr>
          <w:rtl w:val="1"/>
        </w:rPr>
        <w:t>’</w:t>
      </w:r>
      <w:r>
        <w:rPr>
          <w:rtl w:val="0"/>
        </w:rPr>
        <w:t>Regan, &amp; Waldinger, 2019; Shelterforce, 2024)</w:t>
      </w:r>
      <w:r>
        <w:rPr>
          <w:rtl w:val="0"/>
        </w:rPr>
        <w:t>.</w:t>
      </w:r>
      <w:r>
        <w:rPr>
          <w:rtl w:val="0"/>
        </w:rPr>
        <w:t xml:space="preserve"> The lack of support for tenant acquisition initiatives like the Tenant Opportunity to Purchase Act (TOPA) and underutilization of CLTs exacerbate displacement and intergenerational poverty. (Ansell et al., 2021)</w:t>
      </w:r>
    </w:p>
    <w:p>
      <w:pPr>
        <w:pStyle w:val="Heading"/>
      </w:pPr>
    </w:p>
    <w:p>
      <w:pPr>
        <w:pStyle w:val="Heading"/>
      </w:pPr>
      <w:r>
        <w:rPr>
          <w:rFonts w:cs="Arial Unicode MS" w:eastAsia="Arial Unicode MS"/>
          <w:rtl w:val="0"/>
          <w:lang w:val="en-US"/>
        </w:rPr>
        <w:t>Budget Analysis and Reallocation Strategy</w:t>
      </w:r>
    </w:p>
    <w:p>
      <w:pPr>
        <w:pStyle w:val="Body"/>
      </w:pPr>
    </w:p>
    <w:p>
      <w:pPr>
        <w:pStyle w:val="Body"/>
        <w:numPr>
          <w:ilvl w:val="0"/>
          <w:numId w:val="2"/>
        </w:numPr>
      </w:pPr>
      <w:r>
        <w:rPr>
          <w:rtl w:val="0"/>
        </w:rPr>
        <w:t xml:space="preserve"> Redirect a portion of HUD and Section 8 subsidies into a revolving Tenant Ownership Fund.</w:t>
      </w:r>
    </w:p>
    <w:p>
      <w:pPr>
        <w:pStyle w:val="Body"/>
        <w:numPr>
          <w:ilvl w:val="0"/>
          <w:numId w:val="2"/>
        </w:numPr>
      </w:pPr>
      <w:r>
        <w:rPr>
          <w:rtl w:val="0"/>
        </w:rPr>
        <w:t>Use NYC</w:t>
      </w:r>
      <w:r>
        <w:rPr>
          <w:rtl w:val="1"/>
        </w:rPr>
        <w:t>’</w:t>
      </w:r>
      <w:r>
        <w:rPr>
          <w:rtl w:val="0"/>
        </w:rPr>
        <w:t>s capital housing budget to support Green New Deal retrofits in NYCHA housing</w:t>
      </w:r>
      <w:r>
        <w:rPr>
          <w:rtl w:val="0"/>
        </w:rPr>
        <w:t>.</w:t>
      </w:r>
    </w:p>
    <w:p>
      <w:pPr>
        <w:pStyle w:val="Body"/>
        <w:numPr>
          <w:ilvl w:val="0"/>
          <w:numId w:val="2"/>
        </w:numPr>
      </w:pPr>
      <w:r>
        <w:rPr>
          <w:rtl w:val="0"/>
        </w:rPr>
        <w:t xml:space="preserve"> Establish a state-funded Public Cooperative Housing Bank with low-interest loan options for tenant-led acquisitions(Desmond, 2015; Gubits et al., 2016; Chetty et al., 2016)</w:t>
      </w:r>
      <w:r>
        <w:rPr>
          <w:rtl w:val="0"/>
        </w:rPr>
        <w:t>.</w:t>
      </w:r>
    </w:p>
    <w:p>
      <w:pPr>
        <w:pStyle w:val="Body"/>
        <w:numPr>
          <w:ilvl w:val="0"/>
          <w:numId w:val="2"/>
        </w:numPr>
      </w:pPr>
      <w:r>
        <w:rPr>
          <w:rtl w:val="0"/>
        </w:rPr>
        <w:t>Create interagency partnerships to track eviction trends, rehabilitation needs, and high-risk displacement zones. (New Yorker, 2025; Rosanvallon, 2011)</w:t>
      </w:r>
    </w:p>
    <w:p>
      <w:pPr>
        <w:pStyle w:val="Heading"/>
      </w:pPr>
      <w:r>
        <w:rPr>
          <w:rFonts w:cs="Arial Unicode MS" w:eastAsia="Arial Unicode MS"/>
          <w:rtl w:val="0"/>
          <w:lang w:val="en-US"/>
        </w:rPr>
        <w:t>Proposed Policy Amendments</w:t>
      </w:r>
    </w:p>
    <w:p>
      <w:pPr>
        <w:pStyle w:val="Body"/>
      </w:pPr>
    </w:p>
    <w:p>
      <w:pPr>
        <w:pStyle w:val="Body"/>
        <w:numPr>
          <w:ilvl w:val="0"/>
          <w:numId w:val="3"/>
        </w:numPr>
      </w:pPr>
      <w:r>
        <w:rPr>
          <w:rtl w:val="0"/>
        </w:rPr>
        <w:t xml:space="preserve">Expand the Tenant Opportunity to Purchase Act (TOPA) statewide, giving tenants first right to </w:t>
      </w:r>
      <w:r>
        <w:tab/>
      </w:r>
      <w:r>
        <w:rPr>
          <w:rtl w:val="0"/>
        </w:rPr>
        <w:t>purchase</w:t>
      </w:r>
      <w:r>
        <w:rPr>
          <w:rtl w:val="0"/>
        </w:rPr>
        <w:t xml:space="preserve"> when the </w:t>
      </w:r>
      <w:r>
        <w:rPr>
          <w:rtl w:val="0"/>
        </w:rPr>
        <w:t>apartment</w:t>
      </w:r>
      <w:r>
        <w:rPr>
          <w:rtl w:val="0"/>
        </w:rPr>
        <w:t xml:space="preserve"> is going to </w:t>
      </w:r>
      <w:r>
        <w:rPr>
          <w:rtl w:val="0"/>
        </w:rPr>
        <w:t>market</w:t>
      </w:r>
    </w:p>
    <w:p>
      <w:pPr>
        <w:pStyle w:val="Body"/>
        <w:numPr>
          <w:ilvl w:val="0"/>
          <w:numId w:val="2"/>
        </w:numPr>
      </w:pPr>
      <w:r>
        <w:rPr>
          <w:rtl w:val="0"/>
        </w:rPr>
        <w:t xml:space="preserve"> Create legal pathways for voucher conversion from rent to equity in cooperative or CLT units.</w:t>
      </w:r>
    </w:p>
    <w:p>
      <w:pPr>
        <w:pStyle w:val="Body"/>
        <w:numPr>
          <w:ilvl w:val="0"/>
          <w:numId w:val="2"/>
        </w:numPr>
      </w:pPr>
      <w:r>
        <w:rPr>
          <w:rtl w:val="0"/>
        </w:rPr>
        <w:t>. Mandate landlord transparency through third-party audits for subsidy recipients.</w:t>
      </w:r>
    </w:p>
    <w:p>
      <w:pPr>
        <w:pStyle w:val="Body"/>
        <w:numPr>
          <w:ilvl w:val="0"/>
          <w:numId w:val="2"/>
        </w:numPr>
      </w:pPr>
      <w:r>
        <w:rPr>
          <w:rtl w:val="0"/>
        </w:rPr>
        <w:t>HPD and DHCR must collaborate on co-op governance oversight and compliance.</w:t>
      </w:r>
    </w:p>
    <w:p>
      <w:pPr>
        <w:pStyle w:val="Body"/>
        <w:numPr>
          <w:ilvl w:val="0"/>
          <w:numId w:val="2"/>
        </w:numPr>
      </w:pPr>
      <w:r>
        <w:rPr>
          <w:rtl w:val="0"/>
        </w:rPr>
        <w:t xml:space="preserve"> Increase accessibility requirements for housing developments to meet ADA standards.</w:t>
      </w:r>
    </w:p>
    <w:p>
      <w:pPr>
        <w:pStyle w:val="Body"/>
        <w:numPr>
          <w:ilvl w:val="0"/>
          <w:numId w:val="2"/>
        </w:numPr>
      </w:pPr>
      <w:r>
        <w:rPr>
          <w:rtl w:val="0"/>
        </w:rPr>
        <w:t>Mandate that all new affordable housing be net-zero, ready to align with climate goals.</w:t>
      </w:r>
      <w:r>
        <w:rPr>
          <w:rFonts w:ascii="Arial Unicode MS" w:cs="Arial Unicode MS" w:hAnsi="Arial Unicode MS" w:eastAsia="Arial Unicode MS"/>
          <w:b w:val="0"/>
          <w:bCs w:val="0"/>
          <w:i w:val="0"/>
          <w:iCs w:val="0"/>
        </w:rPr>
        <w:br w:type="page"/>
      </w:r>
    </w:p>
    <w:p>
      <w:pPr>
        <w:pStyle w:val="Body"/>
      </w:pPr>
    </w:p>
    <w:p>
      <w:pPr>
        <w:pStyle w:val="Heading"/>
      </w:pPr>
      <w:r>
        <w:rPr>
          <w:rFonts w:cs="Arial Unicode MS" w:eastAsia="Arial Unicode MS"/>
          <w:rtl w:val="0"/>
          <w:lang w:val="en-US"/>
        </w:rPr>
        <w:t>Implementation Framewor</w:t>
      </w:r>
      <w:r>
        <w:rPr>
          <w:rFonts w:cs="Arial Unicode MS" w:eastAsia="Arial Unicode MS"/>
          <w:rtl w:val="0"/>
          <w:lang w:val="en-US"/>
        </w:rPr>
        <w:t>k</w:t>
      </w:r>
    </w:p>
    <w:p>
      <w:pPr>
        <w:pStyle w:val="Body"/>
      </w:pPr>
      <w:r>
        <w:rPr>
          <w:b w:val="1"/>
          <w:bCs w:val="1"/>
          <w:i w:val="1"/>
          <w:iCs w:val="1"/>
          <w:rtl w:val="0"/>
          <w:lang w:val="en-US"/>
        </w:rPr>
        <w:t>Phase 1</w:t>
      </w:r>
      <w:r>
        <w:rPr>
          <w:b w:val="1"/>
          <w:bCs w:val="1"/>
          <w:i w:val="1"/>
          <w:iCs w:val="1"/>
          <w:rtl w:val="0"/>
          <w:lang w:val="en-US"/>
        </w:rPr>
        <w:t>:</w:t>
      </w:r>
      <w:r>
        <w:rPr>
          <w:b w:val="1"/>
          <w:bCs w:val="1"/>
          <w:i w:val="1"/>
          <w:iCs w:val="1"/>
          <w:rtl w:val="0"/>
          <w:lang w:val="en-US"/>
        </w:rPr>
        <w:t xml:space="preserve"> (Year 1):</w:t>
      </w:r>
      <w:r>
        <w:rPr>
          <w:rtl w:val="0"/>
        </w:rPr>
        <w:t xml:space="preserve"> </w:t>
      </w:r>
    </w:p>
    <w:p>
      <w:pPr>
        <w:pStyle w:val="Body"/>
        <w:numPr>
          <w:ilvl w:val="1"/>
          <w:numId w:val="5"/>
        </w:numPr>
      </w:pPr>
      <w:r>
        <w:rPr>
          <w:rtl w:val="0"/>
        </w:rPr>
        <w:t>Establish legal infrastructure</w:t>
      </w:r>
    </w:p>
    <w:p>
      <w:pPr>
        <w:pStyle w:val="Body"/>
        <w:numPr>
          <w:ilvl w:val="1"/>
          <w:numId w:val="5"/>
        </w:numPr>
      </w:pPr>
      <w:r>
        <w:rPr>
          <w:rtl w:val="0"/>
        </w:rPr>
        <w:t>P</w:t>
      </w:r>
      <w:r>
        <w:rPr>
          <w:rtl w:val="0"/>
        </w:rPr>
        <w:t>ass TOPA</w:t>
      </w:r>
    </w:p>
    <w:p>
      <w:pPr>
        <w:pStyle w:val="Body"/>
        <w:numPr>
          <w:ilvl w:val="1"/>
          <w:numId w:val="5"/>
        </w:numPr>
      </w:pPr>
      <w:r>
        <w:rPr>
          <w:rtl w:val="0"/>
        </w:rPr>
        <w:t>I</w:t>
      </w:r>
      <w:r>
        <w:rPr>
          <w:rtl w:val="0"/>
        </w:rPr>
        <w:t>dentify eligible buildings on Worst Landlords List.</w:t>
      </w:r>
    </w:p>
    <w:p>
      <w:pPr>
        <w:pStyle w:val="Heading 2"/>
      </w:pPr>
      <w:r>
        <w:rPr>
          <w:rtl w:val="0"/>
        </w:rPr>
        <w:t>Phase 2</w:t>
      </w:r>
      <w:r>
        <w:rPr>
          <w:rtl w:val="0"/>
        </w:rPr>
        <w:t>:</w:t>
      </w:r>
      <w:r>
        <w:rPr>
          <w:rtl w:val="0"/>
        </w:rPr>
        <w:t xml:space="preserve"> (Years 2</w:t>
      </w:r>
      <w:r>
        <w:rPr>
          <w:rtl w:val="0"/>
        </w:rPr>
        <w:t>–</w:t>
      </w:r>
      <w:r>
        <w:rPr>
          <w:rtl w:val="0"/>
        </w:rPr>
        <w:t>3):</w:t>
      </w:r>
    </w:p>
    <w:p>
      <w:pPr>
        <w:pStyle w:val="Body"/>
        <w:numPr>
          <w:ilvl w:val="1"/>
          <w:numId w:val="5"/>
        </w:numPr>
      </w:pPr>
      <w:r>
        <w:rPr>
          <w:rtl w:val="0"/>
        </w:rPr>
        <w:t>Pilot cooperative conversions in 3</w:t>
      </w:r>
      <w:r>
        <w:rPr>
          <w:rtl w:val="0"/>
        </w:rPr>
        <w:t>–</w:t>
      </w:r>
      <w:r>
        <w:rPr>
          <w:rtl w:val="0"/>
        </w:rPr>
        <w:t>5 NYC buildings using redirected vouchers and low-interest loans.</w:t>
      </w:r>
    </w:p>
    <w:p>
      <w:pPr>
        <w:pStyle w:val="Body"/>
        <w:spacing w:after="140"/>
        <w:rPr>
          <w:b w:val="1"/>
          <w:bCs w:val="1"/>
          <w:i w:val="1"/>
          <w:iCs w:val="1"/>
        </w:rPr>
      </w:pPr>
      <w:r>
        <w:rPr>
          <w:b w:val="1"/>
          <w:bCs w:val="1"/>
          <w:i w:val="1"/>
          <w:iCs w:val="1"/>
          <w:rtl w:val="0"/>
          <w:lang w:val="en-US"/>
        </w:rPr>
        <w:t>Phase 3</w:t>
      </w:r>
      <w:r>
        <w:rPr>
          <w:b w:val="1"/>
          <w:bCs w:val="1"/>
          <w:i w:val="1"/>
          <w:iCs w:val="1"/>
          <w:rtl w:val="0"/>
          <w:lang w:val="en-US"/>
        </w:rPr>
        <w:t>:</w:t>
      </w:r>
      <w:r>
        <w:rPr>
          <w:b w:val="1"/>
          <w:bCs w:val="1"/>
          <w:i w:val="1"/>
          <w:iCs w:val="1"/>
          <w:rtl w:val="0"/>
          <w:lang w:val="en-US"/>
        </w:rPr>
        <w:t>(Years 4</w:t>
      </w:r>
      <w:r>
        <w:rPr>
          <w:b w:val="1"/>
          <w:bCs w:val="1"/>
          <w:i w:val="1"/>
          <w:iCs w:val="1"/>
          <w:rtl w:val="0"/>
        </w:rPr>
        <w:t>–</w:t>
      </w:r>
      <w:r>
        <w:rPr>
          <w:b w:val="1"/>
          <w:bCs w:val="1"/>
          <w:i w:val="1"/>
          <w:iCs w:val="1"/>
          <w:rtl w:val="0"/>
        </w:rPr>
        <w:t xml:space="preserve">5): </w:t>
      </w:r>
    </w:p>
    <w:p>
      <w:pPr>
        <w:pStyle w:val="Body"/>
        <w:numPr>
          <w:ilvl w:val="1"/>
          <w:numId w:val="5"/>
        </w:numPr>
      </w:pPr>
      <w:r>
        <w:rPr>
          <w:rtl w:val="0"/>
        </w:rPr>
        <w:t>Scale to statewide CLT and co-op development w</w:t>
      </w:r>
      <w:r>
        <w:rPr>
          <w:rtl w:val="0"/>
        </w:rPr>
        <w:t>/</w:t>
      </w:r>
      <w:r>
        <w:rPr>
          <w:rtl w:val="0"/>
        </w:rPr>
        <w:t>layered funding(local, state, federal).</w:t>
      </w:r>
    </w:p>
    <w:p>
      <w:pPr>
        <w:pStyle w:val="Body"/>
        <w:numPr>
          <w:ilvl w:val="1"/>
          <w:numId w:val="5"/>
        </w:numPr>
      </w:pPr>
      <w:r>
        <w:rPr>
          <w:rtl w:val="0"/>
        </w:rPr>
        <w:t>HPD, DHCR, Legal Aid Society, and community organizations provide oversight.</w:t>
      </w:r>
    </w:p>
    <w:p>
      <w:pPr>
        <w:pStyle w:val="Heading"/>
      </w:pPr>
      <w:r>
        <w:rPr>
          <w:rFonts w:cs="Arial Unicode MS" w:eastAsia="Arial Unicode MS"/>
          <w:rtl w:val="0"/>
          <w:lang w:val="en-US"/>
        </w:rPr>
        <w:t>Research Agenda</w:t>
      </w:r>
    </w:p>
    <w:p>
      <w:pPr>
        <w:pStyle w:val="Body"/>
      </w:pPr>
    </w:p>
    <w:p>
      <w:pPr>
        <w:pStyle w:val="Body"/>
        <w:numPr>
          <w:ilvl w:val="1"/>
          <w:numId w:val="5"/>
        </w:numPr>
      </w:pPr>
      <w:r>
        <w:rPr>
          <w:rtl w:val="0"/>
        </w:rPr>
        <w:t>Conduct NYC eviction trend analysis (2020</w:t>
      </w:r>
      <w:r>
        <w:rPr>
          <w:rtl w:val="0"/>
        </w:rPr>
        <w:t>–</w:t>
      </w:r>
      <w:r>
        <w:rPr>
          <w:rtl w:val="0"/>
        </w:rPr>
        <w:t>2025).</w:t>
      </w:r>
    </w:p>
    <w:p>
      <w:pPr>
        <w:pStyle w:val="Body"/>
        <w:numPr>
          <w:ilvl w:val="1"/>
          <w:numId w:val="5"/>
        </w:numPr>
      </w:pPr>
      <w:r>
        <w:rPr>
          <w:rtl w:val="0"/>
        </w:rPr>
        <w:t>Analyze the mental and physical health impacts of long-term housing instability.</w:t>
      </w:r>
    </w:p>
    <w:p>
      <w:pPr>
        <w:pStyle w:val="Body"/>
        <w:numPr>
          <w:ilvl w:val="1"/>
          <w:numId w:val="5"/>
        </w:numPr>
      </w:pPr>
      <w:r>
        <w:rPr>
          <w:rtl w:val="0"/>
        </w:rPr>
        <w:t>Track longitudinal outcomes for tenants who transition to ownership models.</w:t>
      </w:r>
    </w:p>
    <w:p>
      <w:pPr>
        <w:pStyle w:val="Body"/>
        <w:numPr>
          <w:ilvl w:val="1"/>
          <w:numId w:val="5"/>
        </w:numPr>
      </w:pPr>
      <w:r>
        <w:rPr>
          <w:rtl w:val="0"/>
        </w:rPr>
        <w:t>Use HVS and HUD datasets to assess racial equity outcomes in housing assistance.</w:t>
      </w:r>
    </w:p>
    <w:p>
      <w:pPr>
        <w:pStyle w:val="Heading"/>
      </w:pPr>
      <w:r>
        <w:rPr>
          <w:rFonts w:cs="Arial Unicode MS" w:eastAsia="Arial Unicode MS"/>
          <w:rtl w:val="0"/>
          <w:lang w:val="it-IT"/>
        </w:rPr>
        <w:t>Conclusion</w:t>
      </w:r>
    </w:p>
    <w:p>
      <w:pPr>
        <w:pStyle w:val="Body"/>
      </w:pPr>
      <w:r>
        <w:tab/>
      </w:r>
      <w:r>
        <w:rPr>
          <w:rtl w:val="0"/>
        </w:rPr>
        <w:t>This reform proposal presents a historic opportunity to shift New York housing policy toward a model that centers on intergenerational equity, health, and community control. Through restructured subsidies, cooperative housing, and legislative reform, this initiative positions housing not just as shelter but as a tool for justice and wealth-building.</w:t>
      </w:r>
      <w:r>
        <w:rPr>
          <w:rFonts w:ascii="Arial Unicode MS" w:cs="Arial Unicode MS" w:hAnsi="Arial Unicode MS" w:eastAsia="Arial Unicode MS"/>
          <w:b w:val="0"/>
          <w:bCs w:val="0"/>
          <w:i w:val="0"/>
          <w:iCs w:val="0"/>
        </w:rPr>
        <w:br w:type="page"/>
      </w:r>
    </w:p>
    <w:p>
      <w:pPr>
        <w:pStyle w:val="Heading"/>
      </w:pPr>
      <w:r>
        <w:rPr>
          <w:rFonts w:cs="Arial Unicode MS" w:eastAsia="Arial Unicode MS"/>
          <w:rtl w:val="0"/>
          <w:lang w:val="fr-FR"/>
        </w:rPr>
        <w:t>References</w:t>
      </w:r>
    </w:p>
    <w:p>
      <w:pPr>
        <w:pStyle w:val="Footnote"/>
        <w:bidi w:val="0"/>
      </w:pPr>
      <w:r>
        <w:rPr>
          <w:rtl w:val="0"/>
        </w:rPr>
        <w:t>Ansell, C., S</w:t>
      </w:r>
      <w:r>
        <w:rPr>
          <w:rtl w:val="0"/>
          <w:lang w:val="da-DK"/>
        </w:rPr>
        <w:t>ø</w:t>
      </w:r>
      <w:r>
        <w:rPr>
          <w:rtl w:val="0"/>
          <w:lang w:val="en-US"/>
        </w:rPr>
        <w:t xml:space="preserve">rensen, E., &amp; Torfing, J. (2021). The COVID-19 pandemic as a game changer for </w:t>
      </w:r>
    </w:p>
    <w:p>
      <w:pPr>
        <w:pStyle w:val="Footnote"/>
        <w:bidi w:val="0"/>
      </w:pPr>
      <w:r>
        <w:tab/>
      </w:r>
      <w:r>
        <w:rPr>
          <w:rtl w:val="0"/>
          <w:lang w:val="en-US"/>
        </w:rPr>
        <w:t xml:space="preserve">public administration and leadership? The need for robust governance responses to </w:t>
      </w:r>
    </w:p>
    <w:p>
      <w:pPr>
        <w:pStyle w:val="Footnote"/>
        <w:bidi w:val="0"/>
      </w:pPr>
      <w:r>
        <w:tab/>
      </w:r>
      <w:r>
        <w:rPr>
          <w:rtl w:val="0"/>
          <w:lang w:val="en-US"/>
        </w:rPr>
        <w:t>turbulent problems. Public Management Review, 23(7), 949</w:t>
      </w:r>
      <w:r>
        <w:rPr>
          <w:rtl w:val="0"/>
        </w:rPr>
        <w:t>–</w:t>
      </w:r>
      <w:r>
        <w:rPr>
          <w:rtl w:val="0"/>
        </w:rPr>
        <w:t xml:space="preserve">960. </w:t>
      </w:r>
      <w:r>
        <w:rPr>
          <w:rStyle w:val="Hyperlink.0"/>
        </w:rPr>
        <w:fldChar w:fldCharType="begin" w:fldLock="0"/>
      </w:r>
      <w:r>
        <w:rPr>
          <w:rStyle w:val="Hyperlink.0"/>
        </w:rPr>
        <w:instrText xml:space="preserve"> HYPERLINK "https://doi.org/"</w:instrText>
      </w:r>
      <w:r>
        <w:rPr>
          <w:rStyle w:val="Hyperlink.0"/>
        </w:rPr>
        <w:fldChar w:fldCharType="separate" w:fldLock="0"/>
      </w:r>
      <w:r>
        <w:rPr>
          <w:rStyle w:val="Hyperlink.0"/>
          <w:rtl w:val="0"/>
          <w:lang w:val="en-US"/>
        </w:rPr>
        <w:t>https://doi.org/</w:t>
      </w:r>
      <w:r>
        <w:rPr/>
        <w:fldChar w:fldCharType="end" w:fldLock="0"/>
      </w:r>
      <w:r>
        <w:tab/>
      </w:r>
    </w:p>
    <w:p>
      <w:pPr>
        <w:pStyle w:val="Footnote"/>
        <w:bidi w:val="0"/>
      </w:pPr>
      <w:r>
        <w:tab/>
      </w:r>
      <w:r>
        <w:rPr>
          <w:rtl w:val="0"/>
        </w:rPr>
        <w:t>10.1080/14719037.2020.1820272</w:t>
      </w:r>
    </w:p>
    <w:p>
      <w:pPr>
        <w:pStyle w:val="Footnote"/>
        <w:bidi w:val="0"/>
      </w:pPr>
    </w:p>
    <w:p>
      <w:pPr>
        <w:pStyle w:val="Footnote"/>
        <w:bidi w:val="0"/>
      </w:pPr>
      <w:r>
        <w:rPr>
          <w:rtl w:val="0"/>
        </w:rPr>
        <w:t>Been, V., O</w:t>
      </w:r>
      <w:r>
        <w:rPr>
          <w:rtl w:val="1"/>
        </w:rPr>
        <w:t>’</w:t>
      </w:r>
      <w:r>
        <w:rPr>
          <w:rtl w:val="0"/>
          <w:lang w:val="en-US"/>
        </w:rPr>
        <w:t xml:space="preserve">Regan, K., &amp; Waldinger, D. (2019). Allocation of the Limited Subsidies for </w:t>
      </w:r>
    </w:p>
    <w:p>
      <w:pPr>
        <w:pStyle w:val="Footnote"/>
        <w:bidi w:val="0"/>
      </w:pPr>
      <w:r>
        <w:tab/>
      </w:r>
      <w:r>
        <w:rPr>
          <w:rtl w:val="0"/>
          <w:lang w:val="en-US"/>
        </w:rPr>
        <w:t xml:space="preserve">Affordable Housing. NYU Furman Center. </w:t>
      </w:r>
      <w:r>
        <w:rPr>
          <w:rStyle w:val="Hyperlink.0"/>
        </w:rPr>
        <w:fldChar w:fldCharType="begin" w:fldLock="0"/>
      </w:r>
      <w:r>
        <w:rPr>
          <w:rStyle w:val="Hyperlink.0"/>
        </w:rPr>
        <w:instrText xml:space="preserve"> HYPERLINK "https://furmancenter.org"</w:instrText>
      </w:r>
      <w:r>
        <w:rPr>
          <w:rStyle w:val="Hyperlink.0"/>
        </w:rPr>
        <w:fldChar w:fldCharType="separate" w:fldLock="0"/>
      </w:r>
      <w:r>
        <w:rPr>
          <w:rStyle w:val="Hyperlink.0"/>
          <w:rtl w:val="0"/>
        </w:rPr>
        <w:t>https://furmancenter.org</w:t>
      </w:r>
      <w:r>
        <w:rPr/>
        <w:fldChar w:fldCharType="end" w:fldLock="0"/>
      </w:r>
    </w:p>
    <w:p>
      <w:pPr>
        <w:pStyle w:val="Footnote"/>
        <w:bidi w:val="0"/>
      </w:pPr>
    </w:p>
    <w:p>
      <w:pPr>
        <w:pStyle w:val="Footnote"/>
        <w:bidi w:val="0"/>
      </w:pPr>
      <w:r>
        <w:rPr>
          <w:rtl w:val="0"/>
          <w:lang w:val="en-US"/>
        </w:rPr>
        <w:t xml:space="preserve">Bottcher, E., Rivera, C., &amp; Morgan, T. (2025, January 22). Op-Ed | A Home for All: Addressing </w:t>
      </w:r>
    </w:p>
    <w:p>
      <w:pPr>
        <w:pStyle w:val="Footnote"/>
        <w:bidi w:val="0"/>
      </w:pPr>
      <w:r>
        <w:tab/>
      </w:r>
      <w:r>
        <w:rPr>
          <w:rtl w:val="0"/>
          <w:lang w:val="en-US"/>
        </w:rPr>
        <w:t xml:space="preserve">the Housing Crisis for New Yorkers with Disabilities. AMNY. </w:t>
      </w:r>
      <w:r>
        <w:rPr>
          <w:rStyle w:val="Hyperlink.0"/>
        </w:rPr>
        <w:fldChar w:fldCharType="begin" w:fldLock="0"/>
      </w:r>
      <w:r>
        <w:rPr>
          <w:rStyle w:val="Hyperlink.0"/>
        </w:rPr>
        <w:instrText xml:space="preserve"> HYPERLINK "https://www.amny.com/"</w:instrText>
      </w:r>
      <w:r>
        <w:rPr>
          <w:rStyle w:val="Hyperlink.0"/>
        </w:rPr>
        <w:fldChar w:fldCharType="separate" w:fldLock="0"/>
      </w:r>
      <w:r>
        <w:rPr>
          <w:rStyle w:val="Hyperlink.0"/>
          <w:rtl w:val="0"/>
        </w:rPr>
        <w:t>https://www.amny.com/</w:t>
      </w:r>
      <w:r>
        <w:rPr/>
        <w:fldChar w:fldCharType="end" w:fldLock="0"/>
      </w:r>
      <w:r>
        <w:tab/>
        <w:tab/>
      </w:r>
    </w:p>
    <w:p>
      <w:pPr>
        <w:pStyle w:val="Footnote"/>
        <w:bidi w:val="0"/>
      </w:pPr>
      <w:r>
        <w:tab/>
      </w:r>
      <w:r>
        <w:rPr>
          <w:rtl w:val="0"/>
          <w:lang w:val="en-US"/>
        </w:rPr>
        <w:t>opinion/</w:t>
      </w:r>
    </w:p>
    <w:p>
      <w:pPr>
        <w:pStyle w:val="Footnote"/>
        <w:bidi w:val="0"/>
      </w:pPr>
    </w:p>
    <w:p>
      <w:pPr>
        <w:pStyle w:val="Footnote"/>
        <w:bidi w:val="0"/>
      </w:pPr>
      <w:r>
        <w:rPr>
          <w:rtl w:val="0"/>
          <w:lang w:val="en-US"/>
        </w:rPr>
        <w:t xml:space="preserve">Chetty, R., Hendren, N., &amp; Katz, L. (2016). The effects of exposure to better neighborhoods on </w:t>
      </w:r>
    </w:p>
    <w:p>
      <w:pPr>
        <w:pStyle w:val="Footnote"/>
        <w:bidi w:val="0"/>
      </w:pPr>
      <w:r>
        <w:tab/>
      </w:r>
      <w:r>
        <w:rPr>
          <w:rtl w:val="0"/>
          <w:lang w:val="en-US"/>
        </w:rPr>
        <w:t xml:space="preserve">children: New evidence from the Moving to Opportunity experiment. American </w:t>
      </w:r>
    </w:p>
    <w:p>
      <w:pPr>
        <w:pStyle w:val="Footnote"/>
        <w:bidi w:val="0"/>
      </w:pPr>
      <w:r>
        <w:tab/>
      </w:r>
      <w:r>
        <w:rPr>
          <w:rtl w:val="0"/>
          <w:lang w:val="en-US"/>
        </w:rPr>
        <w:t>Economic Review, 106(4), 855-902.</w:t>
      </w:r>
    </w:p>
    <w:p>
      <w:pPr>
        <w:pStyle w:val="Footnote"/>
        <w:bidi w:val="0"/>
      </w:pPr>
    </w:p>
    <w:p>
      <w:pPr>
        <w:pStyle w:val="Footnote"/>
        <w:bidi w:val="0"/>
      </w:pPr>
      <w:r>
        <w:rPr>
          <w:rtl w:val="0"/>
          <w:lang w:val="en-US"/>
        </w:rPr>
        <w:t xml:space="preserve">Community Service Society of New York. (n.d.). Pathways to Social Housing in New York. </w:t>
      </w:r>
    </w:p>
    <w:p>
      <w:pPr>
        <w:pStyle w:val="Footnote"/>
        <w:bidi w:val="0"/>
      </w:pPr>
      <w:r>
        <w:tab/>
      </w:r>
      <w:r>
        <w:rPr>
          <w:rStyle w:val="Hyperlink.0"/>
        </w:rPr>
        <w:fldChar w:fldCharType="begin" w:fldLock="0"/>
      </w:r>
      <w:r>
        <w:rPr>
          <w:rStyle w:val="Hyperlink.0"/>
        </w:rPr>
        <w:instrText xml:space="preserve"> HYPERLINK "https://www.cssny.org/pathways/Pathways-to-Social-Housing.pdf"</w:instrText>
      </w:r>
      <w:r>
        <w:rPr>
          <w:rStyle w:val="Hyperlink.0"/>
        </w:rPr>
        <w:fldChar w:fldCharType="separate" w:fldLock="0"/>
      </w:r>
      <w:r>
        <w:rPr>
          <w:rStyle w:val="Hyperlink.0"/>
          <w:rtl w:val="0"/>
          <w:lang w:val="en-US"/>
        </w:rPr>
        <w:t>https://www.cssny.org/pathways/Pathways-to-Social-Housing.pdf</w:t>
      </w:r>
      <w:r>
        <w:rPr/>
        <w:fldChar w:fldCharType="end" w:fldLock="0"/>
      </w:r>
    </w:p>
    <w:p>
      <w:pPr>
        <w:pStyle w:val="Footnote"/>
        <w:bidi w:val="0"/>
      </w:pPr>
    </w:p>
    <w:p>
      <w:pPr>
        <w:pStyle w:val="Footnote"/>
        <w:bidi w:val="0"/>
      </w:pPr>
      <w:r>
        <w:rPr>
          <w:rtl w:val="0"/>
          <w:lang w:val="en-US"/>
        </w:rPr>
        <w:t xml:space="preserve">Desmond, M. (2015). Unaffordable America: Poverty, housing, and eviction. Institute for </w:t>
      </w:r>
    </w:p>
    <w:p>
      <w:pPr>
        <w:pStyle w:val="Footnote"/>
        <w:bidi w:val="0"/>
      </w:pPr>
      <w:r>
        <w:tab/>
      </w:r>
      <w:r>
        <w:rPr>
          <w:rtl w:val="0"/>
          <w:lang w:val="en-US"/>
        </w:rPr>
        <w:t xml:space="preserve">Research on Poverty. </w:t>
      </w:r>
      <w:r>
        <w:rPr>
          <w:rStyle w:val="Hyperlink.0"/>
        </w:rPr>
        <w:fldChar w:fldCharType="begin" w:fldLock="0"/>
      </w:r>
      <w:r>
        <w:rPr>
          <w:rStyle w:val="Hyperlink.0"/>
        </w:rPr>
        <w:instrText xml:space="preserve"> HYPERLINK "https://www.irp.wisc.edu"</w:instrText>
      </w:r>
      <w:r>
        <w:rPr>
          <w:rStyle w:val="Hyperlink.0"/>
        </w:rPr>
        <w:fldChar w:fldCharType="separate" w:fldLock="0"/>
      </w:r>
      <w:r>
        <w:rPr>
          <w:rStyle w:val="Hyperlink.0"/>
          <w:rtl w:val="0"/>
        </w:rPr>
        <w:t>https://www.irp.wisc.edu</w:t>
      </w:r>
      <w:r>
        <w:rPr/>
        <w:fldChar w:fldCharType="end" w:fldLock="0"/>
      </w:r>
    </w:p>
    <w:p>
      <w:pPr>
        <w:pStyle w:val="Footnote"/>
        <w:bidi w:val="0"/>
      </w:pPr>
    </w:p>
    <w:p>
      <w:pPr>
        <w:pStyle w:val="Footnote"/>
        <w:bidi w:val="0"/>
      </w:pPr>
      <w:r>
        <w:rPr>
          <w:rtl w:val="0"/>
          <w:lang w:val="en-US"/>
        </w:rPr>
        <w:t>Furman Center. (2019). State of New York City</w:t>
      </w:r>
      <w:r>
        <w:rPr>
          <w:rtl w:val="1"/>
        </w:rPr>
        <w:t>’</w:t>
      </w:r>
      <w:r>
        <w:rPr>
          <w:rtl w:val="0"/>
          <w:lang w:val="en-US"/>
        </w:rPr>
        <w:t>s Housing and Neighborhoods. https://</w:t>
      </w:r>
    </w:p>
    <w:p>
      <w:pPr>
        <w:pStyle w:val="Footnote"/>
        <w:bidi w:val="0"/>
      </w:pPr>
      <w:r>
        <w:tab/>
      </w:r>
      <w:r>
        <w:rPr>
          <w:rStyle w:val="Hyperlink.0"/>
        </w:rPr>
        <w:fldChar w:fldCharType="begin" w:fldLock="0"/>
      </w:r>
      <w:r>
        <w:rPr>
          <w:rStyle w:val="Hyperlink.0"/>
        </w:rPr>
        <w:instrText xml:space="preserve"> HYPERLINK "http://furmancenter.org"</w:instrText>
      </w:r>
      <w:r>
        <w:rPr>
          <w:rStyle w:val="Hyperlink.0"/>
        </w:rPr>
        <w:fldChar w:fldCharType="separate" w:fldLock="0"/>
      </w:r>
      <w:r>
        <w:rPr>
          <w:rStyle w:val="Hyperlink.0"/>
          <w:rtl w:val="0"/>
        </w:rPr>
        <w:t>furmancenter.org</w:t>
      </w:r>
      <w:r>
        <w:rPr/>
        <w:fldChar w:fldCharType="end" w:fldLock="0"/>
      </w:r>
    </w:p>
    <w:p>
      <w:pPr>
        <w:pStyle w:val="Footnote"/>
        <w:bidi w:val="0"/>
      </w:pPr>
    </w:p>
    <w:p>
      <w:pPr>
        <w:pStyle w:val="Footnote"/>
        <w:bidi w:val="0"/>
      </w:pPr>
      <w:r>
        <w:rPr>
          <w:rtl w:val="0"/>
          <w:lang w:val="en-US"/>
        </w:rPr>
        <w:t>Gubits, D., et al. (2016). Family Options Study: Three-Year Impacts of Housing and Services</w:t>
      </w:r>
    </w:p>
    <w:p>
      <w:pPr>
        <w:pStyle w:val="Footnote"/>
        <w:bidi w:val="0"/>
      </w:pPr>
      <w:r>
        <w:tab/>
      </w:r>
      <w:r>
        <w:rPr>
          <w:rtl w:val="0"/>
          <w:lang w:val="en-US"/>
        </w:rPr>
        <w:t xml:space="preserve"> Interventions for Homeless Families. U.S. Department of Housing and Urban </w:t>
      </w:r>
    </w:p>
    <w:p>
      <w:pPr>
        <w:pStyle w:val="Footnote"/>
        <w:bidi w:val="0"/>
      </w:pPr>
      <w:r>
        <w:tab/>
      </w:r>
      <w:r>
        <w:rPr>
          <w:rtl w:val="0"/>
          <w:lang w:val="en-US"/>
        </w:rPr>
        <w:t>Development.</w:t>
      </w:r>
    </w:p>
    <w:p>
      <w:pPr>
        <w:pStyle w:val="Footnote"/>
        <w:bidi w:val="0"/>
      </w:pPr>
    </w:p>
    <w:p>
      <w:pPr>
        <w:pStyle w:val="Footnote"/>
        <w:bidi w:val="0"/>
      </w:pPr>
      <w:r>
        <w:rPr>
          <w:rtl w:val="0"/>
          <w:lang w:val="en-US"/>
        </w:rPr>
        <w:t xml:space="preserve">HCR. (2024). Homes and Community Renewal: Affordable Housing Initiatives in NY State. </w:t>
      </w:r>
    </w:p>
    <w:p>
      <w:pPr>
        <w:pStyle w:val="Footnote"/>
        <w:bidi w:val="0"/>
      </w:pPr>
      <w:r>
        <w:tab/>
      </w:r>
      <w:r>
        <w:rPr>
          <w:rStyle w:val="Hyperlink.0"/>
        </w:rPr>
        <w:fldChar w:fldCharType="begin" w:fldLock="0"/>
      </w:r>
      <w:r>
        <w:rPr>
          <w:rStyle w:val="Hyperlink.0"/>
        </w:rPr>
        <w:instrText xml:space="preserve"> HYPERLINK "https://hcr.ny.gov"</w:instrText>
      </w:r>
      <w:r>
        <w:rPr>
          <w:rStyle w:val="Hyperlink.0"/>
        </w:rPr>
        <w:fldChar w:fldCharType="separate" w:fldLock="0"/>
      </w:r>
      <w:r>
        <w:rPr>
          <w:rStyle w:val="Hyperlink.0"/>
          <w:rtl w:val="0"/>
        </w:rPr>
        <w:t>https://hcr.ny.gov</w:t>
      </w:r>
      <w:r>
        <w:rPr/>
        <w:fldChar w:fldCharType="end" w:fldLock="0"/>
      </w:r>
    </w:p>
    <w:p>
      <w:pPr>
        <w:pStyle w:val="Footnote"/>
        <w:bidi w:val="0"/>
      </w:pPr>
    </w:p>
    <w:p>
      <w:pPr>
        <w:pStyle w:val="Footnote"/>
        <w:bidi w:val="0"/>
      </w:pPr>
      <w:r>
        <w:rPr>
          <w:rtl w:val="0"/>
          <w:lang w:val="en-US"/>
        </w:rPr>
        <w:t xml:space="preserve">HUD. (2023). Picture of Subsidized Households. </w:t>
      </w:r>
      <w:r>
        <w:rPr>
          <w:rStyle w:val="Hyperlink.0"/>
        </w:rPr>
        <w:fldChar w:fldCharType="begin" w:fldLock="0"/>
      </w:r>
      <w:r>
        <w:rPr>
          <w:rStyle w:val="Hyperlink.0"/>
        </w:rPr>
        <w:instrText xml:space="preserve"> HYPERLINK "https://www.huduser.gov/portal/datasets/"</w:instrText>
      </w:r>
      <w:r>
        <w:rPr>
          <w:rStyle w:val="Hyperlink.0"/>
        </w:rPr>
        <w:fldChar w:fldCharType="separate" w:fldLock="0"/>
      </w:r>
      <w:r>
        <w:rPr>
          <w:rStyle w:val="Hyperlink.0"/>
          <w:rtl w:val="0"/>
          <w:lang w:val="en-US"/>
        </w:rPr>
        <w:t>https://www.huduser.gov/portal/datasets/</w:t>
      </w:r>
      <w:r>
        <w:rPr/>
        <w:fldChar w:fldCharType="end" w:fldLock="0"/>
      </w:r>
    </w:p>
    <w:p>
      <w:pPr>
        <w:pStyle w:val="Footnote"/>
        <w:bidi w:val="0"/>
      </w:pPr>
      <w:r>
        <w:tab/>
      </w:r>
      <w:r>
        <w:rPr>
          <w:rtl w:val="0"/>
        </w:rPr>
        <w:t>assthsg.html</w:t>
      </w:r>
    </w:p>
    <w:p>
      <w:pPr>
        <w:pStyle w:val="Footnote"/>
        <w:bidi w:val="0"/>
      </w:pPr>
    </w:p>
    <w:p>
      <w:pPr>
        <w:pStyle w:val="Footnote"/>
        <w:bidi w:val="0"/>
      </w:pPr>
      <w:r>
        <w:rPr>
          <w:rtl w:val="0"/>
          <w:lang w:val="en-US"/>
        </w:rPr>
        <w:t>New Yorker. (2025, March 17). What do we buy into when we buy a home? https://</w:t>
      </w:r>
    </w:p>
    <w:p>
      <w:pPr>
        <w:pStyle w:val="Footnote"/>
        <w:bidi w:val="0"/>
      </w:pPr>
      <w:r>
        <w:tab/>
      </w:r>
      <w:r>
        <w:rPr>
          <w:rStyle w:val="Hyperlink.0"/>
        </w:rPr>
        <w:fldChar w:fldCharType="begin" w:fldLock="0"/>
      </w:r>
      <w:r>
        <w:rPr>
          <w:rStyle w:val="Hyperlink.0"/>
        </w:rPr>
        <w:instrText xml:space="preserve"> HYPERLINK "http://www.newyorker.com/magazine/2025/03/17/what-do-we-buy-into-when-we-buy-a-home"</w:instrText>
      </w:r>
      <w:r>
        <w:rPr>
          <w:rStyle w:val="Hyperlink.0"/>
        </w:rPr>
        <w:fldChar w:fldCharType="separate" w:fldLock="0"/>
      </w:r>
      <w:r>
        <w:rPr>
          <w:rStyle w:val="Hyperlink.0"/>
          <w:rtl w:val="0"/>
          <w:lang w:val="en-US"/>
        </w:rPr>
        <w:t>www.newyorker.com/magazine/2025/03/17/what-do-we-buy-into-when-we-buy-a-home</w:t>
      </w:r>
      <w:r>
        <w:rPr/>
        <w:fldChar w:fldCharType="end" w:fldLock="0"/>
      </w:r>
    </w:p>
    <w:p>
      <w:pPr>
        <w:pStyle w:val="Footnote"/>
        <w:bidi w:val="0"/>
      </w:pPr>
    </w:p>
    <w:p>
      <w:pPr>
        <w:pStyle w:val="Footnote"/>
        <w:bidi w:val="0"/>
      </w:pPr>
    </w:p>
    <w:p>
      <w:pPr>
        <w:pStyle w:val="Footnote"/>
        <w:bidi w:val="0"/>
      </w:pPr>
      <w:r>
        <w:rPr>
          <w:rtl w:val="0"/>
          <w:lang w:val="en-US"/>
        </w:rPr>
        <w:t>Rosanvallon, P. (2011). Democratic Legitimacy: Impartiality, Reflexivity, Proximity. Princeton</w:t>
      </w:r>
      <w:r>
        <w:tab/>
        <w:tab/>
        <w:tab/>
        <w:tab/>
      </w:r>
      <w:r>
        <w:rPr>
          <w:rtl w:val="0"/>
          <w:lang w:val="en-US"/>
        </w:rPr>
        <w:t>University Press.</w:t>
      </w:r>
    </w:p>
    <w:p>
      <w:pPr>
        <w:pStyle w:val="Footnote"/>
        <w:bidi w:val="0"/>
      </w:pPr>
    </w:p>
    <w:p>
      <w:pPr>
        <w:pStyle w:val="Footnote"/>
        <w:bidi w:val="0"/>
      </w:pPr>
      <w:r>
        <w:rPr>
          <w:rtl w:val="0"/>
          <w:lang w:val="en-US"/>
        </w:rPr>
        <w:t>Shelterforce. (2024, July 3). How Policy Can Help Tenants Purchase Their Homes: A Webinar.</w:t>
      </w:r>
      <w:r>
        <w:tab/>
        <w:tab/>
      </w:r>
    </w:p>
    <w:p>
      <w:pPr>
        <w:pStyle w:val="Footnote"/>
        <w:bidi w:val="0"/>
      </w:pPr>
      <w:r>
        <w:tab/>
      </w:r>
      <w:r>
        <w:rPr>
          <w:rtl w:val="0"/>
          <w:lang w:val="en-US"/>
        </w:rPr>
        <w:t>https://shelterforce.org/2024/07/03/how-policy-can-help-tenants-purchase-their-homes-a-</w:t>
      </w:r>
      <w:r>
        <w:tab/>
      </w:r>
    </w:p>
    <w:p>
      <w:pPr>
        <w:pStyle w:val="Footnote"/>
        <w:bidi w:val="0"/>
      </w:pPr>
      <w:r>
        <w:tab/>
      </w:r>
      <w:r>
        <w:rPr>
          <w:rtl w:val="0"/>
          <w:lang w:val="en-US"/>
        </w:rPr>
        <w:t>webinar/</w:t>
      </w:r>
    </w:p>
    <w:p>
      <w:pPr>
        <w:pStyle w:val="Footnote"/>
        <w:bidi w:val="0"/>
      </w:pPr>
    </w:p>
    <w:p>
      <w:pPr>
        <w:pStyle w:val="Footnote"/>
        <w:bidi w:val="0"/>
      </w:pPr>
      <w:r>
        <w:rPr>
          <w:rtl w:val="0"/>
          <w:lang w:val="en-US"/>
        </w:rPr>
        <w:t xml:space="preserve">Time. (2024, July). Community Land Trusts: How They Combat the Affordable Housing Crisis. </w:t>
      </w:r>
    </w:p>
    <w:p>
      <w:pPr>
        <w:pStyle w:val="Footnote"/>
        <w:bidi w:val="0"/>
      </w:pPr>
      <w:r>
        <w:tab/>
      </w:r>
      <w:r>
        <w:rPr>
          <w:rtl w:val="0"/>
          <w:lang w:val="en-US"/>
        </w:rPr>
        <w:t>https://time.com/7212194/community-land-trusts-how-they-combat-affordable-housing-</w:t>
      </w:r>
    </w:p>
    <w:p>
      <w:pPr>
        <w:pStyle w:val="Footnote"/>
        <w:bidi w:val="0"/>
      </w:pPr>
      <w:r>
        <w:tab/>
      </w:r>
      <w:r>
        <w:rPr>
          <w:rtl w:val="0"/>
          <w:lang w:val="nl-NL"/>
        </w:rPr>
        <w:t>crisis/</w:t>
      </w:r>
    </w:p>
    <w:sectPr>
      <w:headerReference w:type="default" r:id="rId6"/>
      <w:footerReference w:type="default" r:id="rId7"/>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itle"/>
      <w:pBdr>
        <w:top w:val="nil"/>
        <w:left w:val="nil"/>
        <w:bottom w:val="nil"/>
        <w:right w:val="nil"/>
      </w:pBdr>
      <w:rPr>
        <w:outline w:val="0"/>
        <w:color w:val="000000"/>
        <w14:textFill>
          <w14:solidFill>
            <w14:srgbClr w14:val="000000"/>
          </w14:solidFill>
        </w14:textFill>
      </w:rPr>
    </w:pPr>
    <w:r>
      <w:rPr>
        <w:rtl w:val="0"/>
        <w:lang w:val="en-US"/>
      </w:rPr>
      <w:t xml:space="preserve">Comprehensive Housing Subsidy </w:t>
    </w:r>
    <w:r>
      <w:rPr>
        <w:outline w:val="0"/>
        <w:color w:val="000000"/>
        <w:rtl w:val="0"/>
        <w:lang w:val="en-US"/>
        <w14:textFill>
          <w14:solidFill>
            <w14:srgbClr w14:val="000000"/>
          </w14:solidFill>
        </w14:textFill>
      </w:rPr>
      <w:t>Reform</w:t>
    </w:r>
    <w:r>
      <w:rPr>
        <w:outline w:val="0"/>
        <w:color w:val="000000"/>
        <w:rtl w:val="0"/>
        <w:lang w:val="en-US"/>
        <w14:textFill>
          <w14:solidFill>
            <w14:srgbClr w14:val="000000"/>
          </w14:solidFill>
        </w14:textFill>
      </w:rPr>
      <w:t xml:space="preserve"> </w:t>
    </w:r>
  </w:p>
  <w:p>
    <w:pPr>
      <w:pStyle w:val="Title"/>
      <w:pBdr>
        <w:top w:val="nil"/>
        <w:left w:val="nil"/>
        <w:bottom w:val="nil"/>
        <w:right w:val="nil"/>
      </w:pBdr>
    </w:pPr>
    <w:r>
      <w:rPr>
        <w:outline w:val="0"/>
        <w:color w:val="000000"/>
        <w:rtl w:val="0"/>
        <w:lang w:val="en-US"/>
        <w14:textFill>
          <w14:solidFill>
            <w14:srgbClr w14:val="000000"/>
          </w14:solidFill>
        </w14:textFill>
      </w:rPr>
      <w:t>Policy</w:t>
    </w:r>
    <w:r>
      <w:rPr>
        <w:rtl w:val="0"/>
        <w:lang w:val="en-US"/>
      </w:rPr>
      <w:t xml:space="preserve"> </w:t>
    </w:r>
    <w:r>
      <w:rPr>
        <w:rtl w:val="0"/>
        <w:lang w:val="en-US"/>
      </w:rPr>
      <w:t>Proposal Outline</w:t>
    </w:r>
  </w:p>
  <w:p>
    <w:pPr>
      <w:pStyle w:val="Body"/>
      <w:jc w:val="center"/>
    </w:pPr>
    <w:r>
      <w:rPr>
        <w:rtl w:val="0"/>
        <w:lang w:val="en-US"/>
      </w:rPr>
      <w:t>By Seth Foss</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itle"/>
      <w:pBdr>
        <w:top w:val="nil"/>
        <w:left w:val="nil"/>
        <w:bottom w:val="nil"/>
        <w:right w:val="nil"/>
      </w:pBdr>
    </w:pPr>
    <w:r>
      <w:rPr/>
      <w:fldChar w:fldCharType="begin" w:fldLock="0"/>
    </w:r>
    <w:r>
      <w:instrText xml:space="preserve"> PAGE </w:instrText>
    </w:r>
    <w:r>
      <w:rPr/>
      <w:fldChar w:fldCharType="separate" w:fldLock="0"/>
    </w:r>
    <w:r/>
    <w:r>
      <w:rPr/>
      <w:fldChar w:fldCharType="end" w:fldLock="0"/>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160" w:line="360" w:lineRule="auto"/>
      <w:ind w:left="0" w:right="0" w:firstLine="0"/>
      <w:jc w:val="center"/>
      <w:outlineLvl w:val="9"/>
    </w:pPr>
    <w:rPr>
      <w:rFonts w:ascii="Times Roman" w:cs="Arial Unicode MS" w:hAnsi="Times Roman" w:eastAsia="Arial Unicode MS"/>
      <w:b w:val="0"/>
      <w:bCs w:val="0"/>
      <w:i w:val="0"/>
      <w:iCs w:val="0"/>
      <w:caps w:val="0"/>
      <w:smallCaps w:val="0"/>
      <w:strike w:val="0"/>
      <w:dstrike w:val="0"/>
      <w:outline w:val="0"/>
      <w:color w:val="000000"/>
      <w:spacing w:val="3"/>
      <w:kern w:val="28"/>
      <w:position w:val="0"/>
      <w:sz w:val="40"/>
      <w:szCs w:val="40"/>
      <w:u w:val="none" w:color="17365d"/>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6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00" w:after="0" w:line="360" w:lineRule="auto"/>
      <w:ind w:left="0" w:right="0" w:firstLine="0"/>
      <w:jc w:val="center"/>
      <w:outlineLvl w:val="0"/>
    </w:pPr>
    <w:rPr>
      <w:rFonts w:ascii="Times Roman" w:cs="Times Roman" w:hAnsi="Times Roman" w:eastAsia="Times Roman"/>
      <w:b w:val="1"/>
      <w:bCs w:val="1"/>
      <w:i w:val="0"/>
      <w:iCs w:val="0"/>
      <w:caps w:val="0"/>
      <w:smallCaps w:val="0"/>
      <w:strike w:val="0"/>
      <w:dstrike w:val="0"/>
      <w:outline w:val="0"/>
      <w:color w:val="000000"/>
      <w:spacing w:val="0"/>
      <w:kern w:val="0"/>
      <w:position w:val="0"/>
      <w:sz w:val="28"/>
      <w:szCs w:val="28"/>
      <w:u w:val="none" w:color="365f91"/>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Bullets">
    <w:name w:val="Bullets"/>
    <w:pPr>
      <w:numPr>
        <w:numId w:val="4"/>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Roman" w:cs="Arial Unicode MS" w:hAnsi="Times Roman" w:eastAsia="Arial Unicode MS"/>
      <w:b w:val="1"/>
      <w:bCs w:val="1"/>
      <w:i w:val="1"/>
      <w:iCs w:val="1"/>
      <w:caps w:val="0"/>
      <w:smallCaps w:val="0"/>
      <w:strike w:val="0"/>
      <w:dstrike w:val="0"/>
      <w:outline w:val="0"/>
      <w:color w:val="525252"/>
      <w:spacing w:val="0"/>
      <w:kern w:val="0"/>
      <w:position w:val="0"/>
      <w:sz w:val="26"/>
      <w:szCs w:val="26"/>
      <w:u w:val="none" w:color="4f81bd"/>
      <w:shd w:val="nil" w:color="auto" w:fill="auto"/>
      <w:vertAlign w:val="baseline"/>
      <w:lang w:val="en-US"/>
      <w14:textOutline>
        <w14:noFill/>
      </w14:textOutline>
      <w14:textFill>
        <w14:solidFill>
          <w14:srgbClr w14:val="535353"/>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60" w:after="2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Roman"/>
        <a:ea typeface="Times Roman"/>
        <a:cs typeface="Times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