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880FC" w14:textId="77777777" w:rsidR="00492CA7" w:rsidRDefault="00000000">
      <w:pPr>
        <w:spacing w:before="240" w:line="288" w:lineRule="auto"/>
      </w:pPr>
      <w:bookmarkStart w:id="0" w:name="nyc_housing_subsidy_reform_public_11269b"/>
      <w:r>
        <w:rPr>
          <w:b/>
          <w:sz w:val="56"/>
        </w:rPr>
        <w:t>NYC HOUSING SUBSIDY REFORM: PUBLIC EQUITY TRANSFER FRAMEWORK</w:t>
      </w:r>
      <w:bookmarkEnd w:id="0"/>
    </w:p>
    <w:p w14:paraId="59793C2E" w14:textId="77777777" w:rsidR="00492CA7" w:rsidRDefault="00000000">
      <w:pPr>
        <w:spacing w:before="240" w:line="271" w:lineRule="auto"/>
      </w:pPr>
      <w:bookmarkStart w:id="1" w:name="complete_legislative_package_impl_4b9d6d"/>
      <w:r>
        <w:rPr>
          <w:b/>
          <w:sz w:val="42"/>
        </w:rPr>
        <w:t>Complete Legislative Package &amp; Implementation Manual</w:t>
      </w:r>
      <w:bookmarkEnd w:id="1"/>
    </w:p>
    <w:p w14:paraId="1B069B7D" w14:textId="77777777" w:rsidR="00492CA7" w:rsidRDefault="00000000">
      <w:pPr>
        <w:spacing w:after="210"/>
      </w:pPr>
      <w:r>
        <w:rPr>
          <w:b/>
        </w:rPr>
        <w:t>Prepared for:</w:t>
      </w:r>
      <w:r>
        <w:t xml:space="preserve"> NYC Municipal Policy Analysis &amp; City Council Legislative Affairs</w:t>
      </w:r>
      <w:r>
        <w:br/>
      </w:r>
      <w:r>
        <w:rPr>
          <w:b/>
        </w:rPr>
        <w:t>Date:</w:t>
      </w:r>
      <w:r>
        <w:t xml:space="preserve"> December 30, 2025</w:t>
      </w:r>
      <w:r>
        <w:br/>
      </w:r>
      <w:r>
        <w:rPr>
          <w:b/>
        </w:rPr>
        <w:t>Status:</w:t>
      </w:r>
      <w:r>
        <w:rPr>
          <w:rFonts w:eastAsia="Georgia" w:hAnsi="Georgia" w:cs="Georgia"/>
        </w:rPr>
        <w:t xml:space="preserve"> Working Draft – Phase II: Comprehensive Bill Text &amp; Financial Modeling</w:t>
      </w:r>
      <w:r>
        <w:br/>
      </w:r>
      <w:r>
        <w:rPr>
          <w:b/>
        </w:rPr>
        <w:t>Version:</w:t>
      </w:r>
      <w:r>
        <w:t xml:space="preserve"> 2.0</w:t>
      </w:r>
    </w:p>
    <w:p w14:paraId="6787B7AA" w14:textId="77777777" w:rsidR="00492CA7" w:rsidRDefault="00BB14A2">
      <w:r>
        <w:rPr>
          <w:noProof/>
        </w:rPr>
        <w:pict w14:anchorId="5B488484">
          <v:rect id="_x0000_i1068" alt="" style="width:434.5pt;height:.05pt;mso-width-percent:0;mso-height-percent:0;mso-width-percent:0;mso-height-percent:0" o:hralign="center" o:hrstd="t" o:hr="t"/>
        </w:pict>
      </w:r>
    </w:p>
    <w:p w14:paraId="5C9DE9DF" w14:textId="77777777" w:rsidR="00492CA7" w:rsidRDefault="00000000">
      <w:pPr>
        <w:spacing w:before="240" w:line="271" w:lineRule="auto"/>
      </w:pPr>
      <w:bookmarkStart w:id="2" w:name="executive_summary"/>
      <w:r>
        <w:rPr>
          <w:b/>
          <w:sz w:val="42"/>
        </w:rPr>
        <w:t>EXECUTIVE SUMMARY</w:t>
      </w:r>
      <w:bookmarkEnd w:id="2"/>
    </w:p>
    <w:p w14:paraId="3121E62E" w14:textId="77777777" w:rsidR="00492CA7" w:rsidRDefault="00000000">
      <w:pPr>
        <w:spacing w:after="210"/>
      </w:pPr>
      <w:r>
        <w:t xml:space="preserve">This comprehensive legislative package restructures NYC rental subsidy allocation into tenant ownership pathways under a </w:t>
      </w:r>
      <w:r>
        <w:rPr>
          <w:b/>
        </w:rPr>
        <w:t>Public Equity Transfer (PET) Framework</w:t>
      </w:r>
      <w:r>
        <w:t xml:space="preserve">, converting $2.8B+ in annual HPD/HRA/NYCHA subsidy expenditure into </w:t>
      </w:r>
      <w:r>
        <w:rPr>
          <w:b/>
        </w:rPr>
        <w:t>intergenerational equity investments</w:t>
      </w:r>
      <w:r>
        <w:t xml:space="preserve"> through:</w:t>
      </w:r>
    </w:p>
    <w:p w14:paraId="7C884833" w14:textId="77777777" w:rsidR="00492CA7" w:rsidRDefault="00000000">
      <w:pPr>
        <w:numPr>
          <w:ilvl w:val="0"/>
          <w:numId w:val="1"/>
        </w:numPr>
      </w:pPr>
      <w:r>
        <w:rPr>
          <w:b/>
        </w:rPr>
        <w:t>Tenant Ownership Conversion Mechanism</w:t>
      </w:r>
      <w:r>
        <w:rPr>
          <w:rFonts w:eastAsia="Georgia" w:hAnsi="Georgia" w:cs="Georgia"/>
        </w:rPr>
        <w:t xml:space="preserve"> — Legal pathways for subsidized renters to transition to cooperative or limited-equity ownership</w:t>
      </w:r>
    </w:p>
    <w:p w14:paraId="1346D666" w14:textId="77777777" w:rsidR="00492CA7" w:rsidRDefault="00000000">
      <w:pPr>
        <w:numPr>
          <w:ilvl w:val="0"/>
          <w:numId w:val="1"/>
        </w:numPr>
      </w:pPr>
      <w:r>
        <w:rPr>
          <w:b/>
        </w:rPr>
        <w:t>Tiered Subsidy Reallocation</w:t>
      </w:r>
      <w:r>
        <w:rPr>
          <w:rFonts w:eastAsia="Georgia" w:hAnsi="Georgia" w:cs="Georgia"/>
        </w:rPr>
        <w:t xml:space="preserve"> — Cross-agency budget integration (HPD → down payment assistance, HRA → covenant financing, NYCHA → conversion grants)</w:t>
      </w:r>
    </w:p>
    <w:p w14:paraId="1F9BC2ED" w14:textId="77777777" w:rsidR="00492CA7" w:rsidRDefault="00000000">
      <w:pPr>
        <w:numPr>
          <w:ilvl w:val="0"/>
          <w:numId w:val="1"/>
        </w:numPr>
      </w:pPr>
      <w:r>
        <w:rPr>
          <w:b/>
        </w:rPr>
        <w:t>Community Land Trust (CLT) Integration</w:t>
      </w:r>
      <w:r>
        <w:rPr>
          <w:rFonts w:eastAsia="Georgia" w:hAnsi="Georgia" w:cs="Georgia"/>
        </w:rPr>
        <w:t xml:space="preserve"> — Permanent affordability locks via ground lease partnerships with 12 NYC CLTs</w:t>
      </w:r>
    </w:p>
    <w:p w14:paraId="3591B698" w14:textId="77777777" w:rsidR="00492CA7" w:rsidRDefault="00000000">
      <w:pPr>
        <w:numPr>
          <w:ilvl w:val="0"/>
          <w:numId w:val="1"/>
        </w:numPr>
      </w:pPr>
      <w:r>
        <w:rPr>
          <w:b/>
        </w:rPr>
        <w:t>Credit Union Partnership Model</w:t>
      </w:r>
      <w:r>
        <w:rPr>
          <w:rFonts w:eastAsia="Georgia" w:hAnsi="Georgia" w:cs="Georgia"/>
        </w:rPr>
        <w:t xml:space="preserve"> — Local financial cooperatives as primary lending partners (mission-aligned, lower default risk, community reinvestment)</w:t>
      </w:r>
    </w:p>
    <w:p w14:paraId="3216BD69" w14:textId="77777777" w:rsidR="00492CA7" w:rsidRDefault="00000000">
      <w:pPr>
        <w:numPr>
          <w:ilvl w:val="0"/>
          <w:numId w:val="1"/>
        </w:numPr>
      </w:pPr>
      <w:r>
        <w:rPr>
          <w:b/>
        </w:rPr>
        <w:t>Intergenerational Wealth Architecture</w:t>
      </w:r>
      <w:r>
        <w:rPr>
          <w:rFonts w:eastAsia="Georgia" w:hAnsi="Georgia" w:cs="Georgia"/>
        </w:rPr>
        <w:t xml:space="preserve"> — Equity accrual mechanisms for Black, Latino, immigrant, and low-income households historically excluded from homeownership</w:t>
      </w:r>
    </w:p>
    <w:p w14:paraId="2D6D36F8" w14:textId="77777777" w:rsidR="00492CA7" w:rsidRDefault="00000000">
      <w:pPr>
        <w:spacing w:after="210"/>
      </w:pPr>
      <w:r>
        <w:rPr>
          <w:b/>
        </w:rPr>
        <w:t>Fiscal Impact:</w:t>
      </w:r>
      <w:r>
        <w:rPr>
          <w:rFonts w:eastAsia="Georgia" w:hAnsi="Georgia" w:cs="Georgia"/>
        </w:rPr>
        <w:t xml:space="preserve"> $450M–$680M redirected subsidy capital + $1.2B–$1.8B in new homeowner equity accrual (conservative 20-year horizon)</w:t>
      </w:r>
      <w:r>
        <w:br/>
      </w:r>
      <w:r>
        <w:rPr>
          <w:b/>
        </w:rPr>
        <w:t>Equity Target:</w:t>
      </w:r>
      <w:r>
        <w:rPr>
          <w:rFonts w:eastAsia="Georgia" w:hAnsi="Georgia" w:cs="Georgia"/>
        </w:rPr>
        <w:t xml:space="preserve"> 65% of conversions benefit households ≤80% AMI; 40% targeting race/ethnicity disaggregated outcomes</w:t>
      </w:r>
      <w:r>
        <w:br/>
      </w:r>
      <w:r>
        <w:rPr>
          <w:b/>
        </w:rPr>
        <w:t>Policy Horizon:</w:t>
      </w:r>
      <w:r>
        <w:t xml:space="preserve"> 10-year rollout (Phase I: 3,000 conversions by Year 3; Phase II: 8,500 by Year 10)</w:t>
      </w:r>
    </w:p>
    <w:p w14:paraId="51E2890E" w14:textId="77777777" w:rsidR="00492CA7" w:rsidRDefault="00BB14A2">
      <w:r>
        <w:rPr>
          <w:noProof/>
        </w:rPr>
        <w:pict w14:anchorId="133DB920">
          <v:rect id="_x0000_i1067" alt="" style="width:434.5pt;height:.05pt;mso-width-percent:0;mso-height-percent:0;mso-width-percent:0;mso-height-percent:0" o:hralign="center" o:hrstd="t" o:hr="t"/>
        </w:pict>
      </w:r>
    </w:p>
    <w:p w14:paraId="7AB0CA6E" w14:textId="77777777" w:rsidR="00492CA7" w:rsidRDefault="00000000">
      <w:pPr>
        <w:spacing w:before="240" w:line="271" w:lineRule="auto"/>
      </w:pPr>
      <w:bookmarkStart w:id="3" w:name="part_i_legislative_bill_text_stat_30002e"/>
      <w:r>
        <w:rPr>
          <w:b/>
          <w:sz w:val="42"/>
        </w:rPr>
        <w:lastRenderedPageBreak/>
        <w:t>PART I: LEGISLATIVE BILL TEXT &amp; STATUTORY LANGUAGE</w:t>
      </w:r>
      <w:bookmarkEnd w:id="3"/>
    </w:p>
    <w:p w14:paraId="6B52D0D3" w14:textId="77777777" w:rsidR="00492CA7" w:rsidRDefault="00000000">
      <w:pPr>
        <w:spacing w:before="240" w:line="271" w:lineRule="auto"/>
      </w:pPr>
      <w:bookmarkStart w:id="4" w:name="proposed_local_law_the_public_equ_61a4b8"/>
      <w:r>
        <w:rPr>
          <w:b/>
          <w:sz w:val="33"/>
        </w:rPr>
        <w:t>PROPOSED LOCAL LAW: THE PUBLIC EQUITY TRANSFER ACT (PET Act)</w:t>
      </w:r>
      <w:bookmarkEnd w:id="4"/>
    </w:p>
    <w:p w14:paraId="63221A06" w14:textId="77777777" w:rsidR="00492CA7" w:rsidRDefault="00BB14A2">
      <w:r>
        <w:rPr>
          <w:noProof/>
        </w:rPr>
        <w:pict w14:anchorId="0070F2AB">
          <v:rect id="_x0000_i1066" alt="" style="width:434.5pt;height:.05pt;mso-width-percent:0;mso-height-percent:0;mso-width-percent:0;mso-height-percent:0" o:hralign="center" o:hrstd="t" o:hr="t"/>
        </w:pict>
      </w:r>
    </w:p>
    <w:p w14:paraId="2E4D3D42" w14:textId="77777777" w:rsidR="00492CA7" w:rsidRDefault="00000000">
      <w:pPr>
        <w:spacing w:before="240" w:line="271" w:lineRule="auto"/>
      </w:pPr>
      <w:bookmarkStart w:id="5" w:name="title_a_local_law_to_establish_a_2c26d6"/>
      <w:r>
        <w:rPr>
          <w:b/>
          <w:sz w:val="28"/>
        </w:rPr>
        <w:t>TITLE: "A LOCAL LAW TO ESTABLISH A PUBLIC EQUITY TRANSFER FRAMEWORK FOR TENANT OWNERSHIP CONVERSION AND SUBSIDY REALLOCATION"</w:t>
      </w:r>
      <w:bookmarkEnd w:id="5"/>
    </w:p>
    <w:p w14:paraId="6433E816" w14:textId="77777777" w:rsidR="00492CA7" w:rsidRDefault="00000000">
      <w:pPr>
        <w:spacing w:after="210"/>
      </w:pPr>
      <w:r>
        <w:rPr>
          <w:b/>
        </w:rPr>
        <w:t>Sponsor:</w:t>
      </w:r>
      <w:r>
        <w:t xml:space="preserve"> [Council Member Name]</w:t>
      </w:r>
      <w:r>
        <w:br/>
      </w:r>
      <w:r>
        <w:rPr>
          <w:b/>
        </w:rPr>
        <w:t>Date Introduced:</w:t>
      </w:r>
      <w:r>
        <w:t xml:space="preserve"> [Date]</w:t>
      </w:r>
      <w:r>
        <w:br/>
      </w:r>
      <w:r>
        <w:rPr>
          <w:b/>
        </w:rPr>
        <w:t>Referred to Committee:</w:t>
      </w:r>
      <w:r>
        <w:t xml:space="preserve"> [Committee Name]</w:t>
      </w:r>
    </w:p>
    <w:p w14:paraId="365B8F66" w14:textId="77777777" w:rsidR="00492CA7" w:rsidRDefault="00BB14A2">
      <w:r>
        <w:rPr>
          <w:noProof/>
        </w:rPr>
        <w:pict w14:anchorId="191AFAE3">
          <v:rect id="_x0000_i1065" alt="" style="width:434.5pt;height:.05pt;mso-width-percent:0;mso-height-percent:0;mso-width-percent:0;mso-height-percent:0" o:hralign="center" o:hrstd="t" o:hr="t"/>
        </w:pict>
      </w:r>
    </w:p>
    <w:p w14:paraId="71991C1C" w14:textId="77777777" w:rsidR="00492CA7" w:rsidRDefault="00000000">
      <w:pPr>
        <w:spacing w:before="240" w:line="271" w:lineRule="auto"/>
      </w:pPr>
      <w:bookmarkStart w:id="6" w:name="section_1_short_title_findings"/>
      <w:r>
        <w:rPr>
          <w:b/>
          <w:sz w:val="33"/>
        </w:rPr>
        <w:t>SECTION 1: SHORT TITLE &amp; FINDINGS</w:t>
      </w:r>
      <w:bookmarkEnd w:id="6"/>
    </w:p>
    <w:p w14:paraId="19D85922" w14:textId="77777777" w:rsidR="00492CA7" w:rsidRDefault="00000000">
      <w:pPr>
        <w:spacing w:after="210"/>
      </w:pPr>
      <w:r>
        <w:t xml:space="preserve">1.1 </w:t>
      </w:r>
      <w:r>
        <w:rPr>
          <w:b/>
        </w:rPr>
        <w:t>Short Title.</w:t>
      </w:r>
      <w:r>
        <w:t xml:space="preserve"> This local law shall be known as the "Public Equity Transfer Act" or the "PET Act."</w:t>
      </w:r>
    </w:p>
    <w:p w14:paraId="1BE023AD" w14:textId="77777777" w:rsidR="00492CA7" w:rsidRDefault="00000000">
      <w:pPr>
        <w:spacing w:after="210"/>
      </w:pPr>
      <w:r>
        <w:t xml:space="preserve">1.2 </w:t>
      </w:r>
      <w:r>
        <w:rPr>
          <w:b/>
        </w:rPr>
        <w:t>Legislative Findings and Intent.</w:t>
      </w:r>
    </w:p>
    <w:p w14:paraId="00C571C7" w14:textId="77777777" w:rsidR="00492CA7" w:rsidRDefault="00000000">
      <w:pPr>
        <w:spacing w:after="210"/>
      </w:pPr>
      <w:r>
        <w:t>The New York City Council finds and declares as follows:</w:t>
      </w:r>
    </w:p>
    <w:p w14:paraId="31AA8F2C" w14:textId="77777777" w:rsidR="00492CA7" w:rsidRDefault="00000000">
      <w:pPr>
        <w:spacing w:after="210"/>
      </w:pPr>
      <w:r>
        <w:t xml:space="preserve">(a) </w:t>
      </w:r>
      <w:r>
        <w:rPr>
          <w:b/>
        </w:rPr>
        <w:t>Housing Affordability Crisis.</w:t>
      </w:r>
      <w:r>
        <w:rPr>
          <w:rFonts w:eastAsia="Georgia" w:hAnsi="Georgia" w:cs="Georgia"/>
        </w:rPr>
        <w:t xml:space="preserve"> As of 2025, New York City faces a critical housing affordability crisis affecting 1.8 million renter households, with median rents consuming 35–65% of household income across all boroughs. Renters earning ≤80% of Area Median Income (AMI) face severe housing cost burdens, limiting access to wealth-building assets and intergenerational economic mobility.</w:t>
      </w:r>
    </w:p>
    <w:p w14:paraId="77436772" w14:textId="77777777" w:rsidR="00492CA7" w:rsidRDefault="00000000">
      <w:pPr>
        <w:spacing w:after="210"/>
      </w:pPr>
      <w:r>
        <w:t xml:space="preserve">(b) </w:t>
      </w:r>
      <w:r>
        <w:rPr>
          <w:b/>
        </w:rPr>
        <w:t>Subsidy Inefficiency and Equity Gaps.</w:t>
      </w:r>
      <w:r>
        <w:t xml:space="preserve"> Current NYC subsidy allocation ($2.8B annually across HPD, HRA, NYCHA, NYC Department of Finance) maintains renters in perpetual expense-only housing arrangements, generating zero equity accrual for tenants and perpetuating wealth disparity along lines of race, ethnicity, national origin, and immigration status. Specifically:</w:t>
      </w:r>
    </w:p>
    <w:p w14:paraId="6FE46B4C" w14:textId="77777777" w:rsidR="00492CA7" w:rsidRDefault="00000000">
      <w:pPr>
        <w:numPr>
          <w:ilvl w:val="0"/>
          <w:numId w:val="2"/>
        </w:numPr>
      </w:pPr>
      <w:r>
        <w:t>Hispanic/Latino households represent 28% of NYC renter population but receive only 18% of subsidy benefits (HRA/HPD allocation data, 2023).</w:t>
      </w:r>
    </w:p>
    <w:p w14:paraId="28F533D4" w14:textId="77777777" w:rsidR="00492CA7" w:rsidRDefault="00000000">
      <w:pPr>
        <w:numPr>
          <w:ilvl w:val="0"/>
          <w:numId w:val="2"/>
        </w:numPr>
      </w:pPr>
      <w:r>
        <w:t>Black households represent 19% of renter population but show 16% participation in affordability programs.</w:t>
      </w:r>
    </w:p>
    <w:p w14:paraId="61D2112C" w14:textId="77777777" w:rsidR="00492CA7" w:rsidRDefault="00000000">
      <w:pPr>
        <w:numPr>
          <w:ilvl w:val="0"/>
          <w:numId w:val="2"/>
        </w:numPr>
      </w:pPr>
      <w:r>
        <w:t>Immigrant households (26% of renters) represent &lt;12% of homeownership subsidy beneficiaries.</w:t>
      </w:r>
    </w:p>
    <w:p w14:paraId="52E9B7EC" w14:textId="77777777" w:rsidR="00492CA7" w:rsidRDefault="00000000">
      <w:pPr>
        <w:numPr>
          <w:ilvl w:val="0"/>
          <w:numId w:val="2"/>
        </w:numPr>
      </w:pPr>
      <w:r>
        <w:rPr>
          <w:rFonts w:eastAsia="Georgia" w:hAnsi="Georgia" w:cs="Georgia"/>
        </w:rPr>
        <w:t>Wealth gap: Median white family net worth ($188K) vs. Black family ($24K) vs. Latino family ($36K) — housing subsidy structure widens this gap over time.</w:t>
      </w:r>
    </w:p>
    <w:p w14:paraId="6B41CAFF" w14:textId="77777777" w:rsidR="00492CA7" w:rsidRDefault="00000000">
      <w:pPr>
        <w:spacing w:after="210"/>
      </w:pPr>
      <w:r>
        <w:lastRenderedPageBreak/>
        <w:t xml:space="preserve">(c) </w:t>
      </w:r>
      <w:r>
        <w:rPr>
          <w:b/>
        </w:rPr>
        <w:t>Community Land Trust Effectiveness.</w:t>
      </w:r>
      <w:r>
        <w:t xml:space="preserve"> CLTs in NYC (East New York CLT, Harlem CLT, Chhaya CDC, and 9 others) have demonstrated success in preserving affordability while enabling tenant equity accrual, with 94% of CLT homes remaining affordable after 10 years (vs. 31% of market-rate conversions). However, CLTs operate with fragmented funding, serving only 2,400 households across 250,000-unit eligible stock.</w:t>
      </w:r>
    </w:p>
    <w:p w14:paraId="561598EA" w14:textId="77777777" w:rsidR="00492CA7" w:rsidRDefault="00000000">
      <w:pPr>
        <w:spacing w:after="210"/>
      </w:pPr>
      <w:r>
        <w:t xml:space="preserve">(d) </w:t>
      </w:r>
      <w:r>
        <w:rPr>
          <w:b/>
        </w:rPr>
        <w:t>Credit Union Comparative Advantage.</w:t>
      </w:r>
      <w:r>
        <w:rPr>
          <w:rFonts w:eastAsia="Georgia" w:hAnsi="Georgia" w:cs="Georgia"/>
        </w:rPr>
        <w:t xml:space="preserve"> Credit unions show 60% lower mortgage default rates than conventional banks for low-income borrowers (2020–2024 Federal Reserve data), superior mission alignment with affordable housing, and documented community reinvestment returns of $1.40–$1.60 per dollar deployed.</w:t>
      </w:r>
    </w:p>
    <w:p w14:paraId="159821A7" w14:textId="77777777" w:rsidR="00492CA7" w:rsidRDefault="00000000">
      <w:pPr>
        <w:spacing w:after="210"/>
      </w:pPr>
      <w:r>
        <w:t xml:space="preserve">(e) </w:t>
      </w:r>
      <w:r>
        <w:rPr>
          <w:b/>
        </w:rPr>
        <w:t>Intergenerational Wealth Building.</w:t>
      </w:r>
      <w:r>
        <w:rPr>
          <w:rFonts w:eastAsia="Georgia" w:hAnsi="Georgia" w:cs="Georgia"/>
        </w:rPr>
        <w:t xml:space="preserve"> Homeownership—particularly when combined with ground-lease permanence (CLT model) and subsidized financing (credit union partnership)—generates measurable intergenerational wealth: median homeowner accumulates $200K–$350K equity over 30 years vs. $0 for renters receiving equivalent subsidy value.</w:t>
      </w:r>
    </w:p>
    <w:p w14:paraId="084FB294" w14:textId="77777777" w:rsidR="00492CA7" w:rsidRDefault="00000000">
      <w:pPr>
        <w:spacing w:after="210"/>
      </w:pPr>
      <w:r>
        <w:t xml:space="preserve">(f) </w:t>
      </w:r>
      <w:r>
        <w:rPr>
          <w:b/>
        </w:rPr>
        <w:t>Equity Imperative.</w:t>
      </w:r>
      <w:r>
        <w:t xml:space="preserve"> Public subsidy allocation must directly address systemic exclusion of marginalized communities from wealth-building assets. Converting subsidy expenditure into ownership pathways aligns with NYC's racial equity commitments and maximizes ROI on public dollars.</w:t>
      </w:r>
    </w:p>
    <w:p w14:paraId="74828000" w14:textId="77777777" w:rsidR="00492CA7" w:rsidRDefault="00000000">
      <w:pPr>
        <w:spacing w:after="210"/>
      </w:pPr>
      <w:r>
        <w:t xml:space="preserve">1.3 </w:t>
      </w:r>
      <w:r>
        <w:rPr>
          <w:b/>
        </w:rPr>
        <w:t>Policy Objectives.</w:t>
      </w:r>
    </w:p>
    <w:p w14:paraId="4D756E98" w14:textId="77777777" w:rsidR="00492CA7" w:rsidRDefault="00000000">
      <w:pPr>
        <w:spacing w:after="210"/>
      </w:pPr>
      <w:r>
        <w:t>The PET Act shall achieve the following objectives:</w:t>
      </w:r>
    </w:p>
    <w:p w14:paraId="2D209AF5" w14:textId="77777777" w:rsidR="00492CA7" w:rsidRDefault="00000000">
      <w:pPr>
        <w:spacing w:after="210"/>
      </w:pPr>
      <w:r>
        <w:rPr>
          <w:rFonts w:eastAsia="Georgia" w:hAnsi="Georgia" w:cs="Georgia"/>
        </w:rPr>
        <w:t>(a) Convert a minimum of 3,000 rental subsidy recipients into homeowners by Year 3 and 8,500 by Year 10, prioritizing households ≤80% AMI.</w:t>
      </w:r>
    </w:p>
    <w:p w14:paraId="56E56565" w14:textId="77777777" w:rsidR="00492CA7" w:rsidRDefault="00000000">
      <w:pPr>
        <w:spacing w:after="210"/>
      </w:pPr>
      <w:r>
        <w:t>(b) Integrate CLTs as permanent affordability engines, targeting 30% of conversions through CLT-mediated ground leases.</w:t>
      </w:r>
    </w:p>
    <w:p w14:paraId="396FBCF7" w14:textId="77777777" w:rsidR="00492CA7" w:rsidRDefault="00000000">
      <w:pPr>
        <w:spacing w:after="210"/>
      </w:pPr>
      <w:r>
        <w:t>(c) Deploy credit unions as primary lending partners, achieving 60%+ of ownership financing through credit union loans.</w:t>
      </w:r>
    </w:p>
    <w:p w14:paraId="0EB13171" w14:textId="77777777" w:rsidR="00492CA7" w:rsidRDefault="00000000">
      <w:pPr>
        <w:spacing w:after="210"/>
      </w:pPr>
      <w:r>
        <w:rPr>
          <w:rFonts w:eastAsia="Georgia" w:hAnsi="Georgia" w:cs="Georgia"/>
        </w:rPr>
        <w:t>(d) Reallocate $450M–$680M in existing subsidy capital across HPD, HRA, and NYCHA to fund down payments, covenant financing, and credit-building initiatives.</w:t>
      </w:r>
    </w:p>
    <w:p w14:paraId="3EC26A22" w14:textId="77777777" w:rsidR="00492CA7" w:rsidRDefault="00000000">
      <w:pPr>
        <w:spacing w:after="210"/>
      </w:pPr>
      <w:r>
        <w:rPr>
          <w:rFonts w:eastAsia="Georgia" w:hAnsi="Georgia" w:cs="Georgia"/>
        </w:rPr>
        <w:t>(e) Generate $1.2B–$1.8B in cumulative household equity accrual (20-year horizon) while maintaining affordability through CLT ground leases and income-linked resale provisions.</w:t>
      </w:r>
    </w:p>
    <w:p w14:paraId="436E6907" w14:textId="77777777" w:rsidR="00492CA7" w:rsidRDefault="00000000">
      <w:pPr>
        <w:spacing w:after="210"/>
      </w:pPr>
      <w:r>
        <w:t>(f) Close disaggregated equity gaps: ensure 40% of benefits target households of color; 35% target immigrant/first-generation owner households; 25% target single-parent families.</w:t>
      </w:r>
    </w:p>
    <w:p w14:paraId="7DC000BD" w14:textId="77777777" w:rsidR="00492CA7" w:rsidRDefault="00BB14A2">
      <w:r>
        <w:rPr>
          <w:noProof/>
        </w:rPr>
        <w:pict w14:anchorId="6EF45CE3">
          <v:rect id="_x0000_i1064" alt="" style="width:434.5pt;height:.05pt;mso-width-percent:0;mso-height-percent:0;mso-width-percent:0;mso-height-percent:0" o:hralign="center" o:hrstd="t" o:hr="t"/>
        </w:pict>
      </w:r>
    </w:p>
    <w:p w14:paraId="49E952A3" w14:textId="77777777" w:rsidR="00492CA7" w:rsidRDefault="00000000">
      <w:pPr>
        <w:spacing w:before="240" w:line="271" w:lineRule="auto"/>
      </w:pPr>
      <w:bookmarkStart w:id="7" w:name="section_2_definitions"/>
      <w:r>
        <w:rPr>
          <w:b/>
          <w:sz w:val="33"/>
        </w:rPr>
        <w:t>SECTION 2: DEFINITIONS</w:t>
      </w:r>
      <w:bookmarkEnd w:id="7"/>
    </w:p>
    <w:p w14:paraId="17141A59" w14:textId="77777777" w:rsidR="00492CA7" w:rsidRDefault="00000000">
      <w:pPr>
        <w:spacing w:after="210"/>
      </w:pPr>
      <w:r>
        <w:t xml:space="preserve">2.1 </w:t>
      </w:r>
      <w:r>
        <w:rPr>
          <w:b/>
        </w:rPr>
        <w:t>Definitions.</w:t>
      </w:r>
      <w:r>
        <w:t xml:space="preserve"> As used in this local law:</w:t>
      </w:r>
    </w:p>
    <w:p w14:paraId="794387B8" w14:textId="77777777" w:rsidR="00492CA7" w:rsidRDefault="00000000">
      <w:pPr>
        <w:spacing w:after="210"/>
      </w:pPr>
      <w:r>
        <w:t xml:space="preserve">(a) </w:t>
      </w:r>
      <w:r>
        <w:rPr>
          <w:b/>
        </w:rPr>
        <w:t>"Public Equity Transfer (PET) Framework"</w:t>
      </w:r>
      <w:r>
        <w:t xml:space="preserve"> means the integrated subsidy reallocation, tenant ownership conversion, and community wealth-building system established herein, combining HPD/HRA/NYCHA capital, CLT partnerships, and credit union financing.</w:t>
      </w:r>
    </w:p>
    <w:p w14:paraId="2EBA914F" w14:textId="77777777" w:rsidR="00492CA7" w:rsidRDefault="00000000">
      <w:pPr>
        <w:spacing w:after="210"/>
      </w:pPr>
      <w:r>
        <w:lastRenderedPageBreak/>
        <w:t xml:space="preserve">(b) </w:t>
      </w:r>
      <w:r>
        <w:rPr>
          <w:b/>
        </w:rPr>
        <w:t>"Eligible Household"</w:t>
      </w:r>
      <w:r>
        <w:t xml:space="preserve"> means a household:</w:t>
      </w:r>
    </w:p>
    <w:p w14:paraId="46655A17" w14:textId="77777777" w:rsidR="00492CA7" w:rsidRDefault="00000000">
      <w:pPr>
        <w:numPr>
          <w:ilvl w:val="0"/>
          <w:numId w:val="3"/>
        </w:numPr>
      </w:pPr>
      <w:r>
        <w:t>(i) Currently receiving rental assistance (Section 8, CityFHEPS, HRA Emergency Rental Assistance, NYCHA subsidy, or HPD-administered subsidy),</w:t>
      </w:r>
    </w:p>
    <w:p w14:paraId="393E0EC1" w14:textId="77777777" w:rsidR="00492CA7" w:rsidRDefault="00000000">
      <w:pPr>
        <w:numPr>
          <w:ilvl w:val="0"/>
          <w:numId w:val="3"/>
        </w:numPr>
      </w:pPr>
      <w:r>
        <w:rPr>
          <w:rFonts w:eastAsia="Georgia" w:hAnsi="Georgia" w:cs="Georgia"/>
        </w:rPr>
        <w:t>(ii) With annual household income ≤120% AMI,</w:t>
      </w:r>
    </w:p>
    <w:p w14:paraId="1CC8D942" w14:textId="77777777" w:rsidR="00492CA7" w:rsidRDefault="00000000">
      <w:pPr>
        <w:numPr>
          <w:ilvl w:val="0"/>
          <w:numId w:val="3"/>
        </w:numPr>
      </w:pPr>
      <w:r>
        <w:t>(iii) Demonstrating 3+ years of on-time rent payment and housing stability, and</w:t>
      </w:r>
    </w:p>
    <w:p w14:paraId="604375F7" w14:textId="77777777" w:rsidR="00492CA7" w:rsidRDefault="00000000">
      <w:pPr>
        <w:numPr>
          <w:ilvl w:val="0"/>
          <w:numId w:val="3"/>
        </w:numPr>
      </w:pPr>
      <w:r>
        <w:t>(iv) Completing mandatory financial literacy and homeownership readiness curriculum.</w:t>
      </w:r>
    </w:p>
    <w:p w14:paraId="17117F64" w14:textId="77777777" w:rsidR="00492CA7" w:rsidRDefault="00000000">
      <w:pPr>
        <w:spacing w:after="210"/>
      </w:pPr>
      <w:r>
        <w:t xml:space="preserve">(c) </w:t>
      </w:r>
      <w:r>
        <w:rPr>
          <w:b/>
        </w:rPr>
        <w:t>"Community Land Trust (CLT)"</w:t>
      </w:r>
      <w:r>
        <w:t xml:space="preserve"> means a nonprofit organization that holds fee-simple title to land while conveying long-term (99-year minimum) ground leases to homeowners, preserving affordability in perpetuity through income-linked resale pricing and right-of-first-refusal clauses.</w:t>
      </w:r>
    </w:p>
    <w:p w14:paraId="1550E012" w14:textId="77777777" w:rsidR="00492CA7" w:rsidRDefault="00000000">
      <w:pPr>
        <w:spacing w:after="210"/>
      </w:pPr>
      <w:r>
        <w:t xml:space="preserve">(d) </w:t>
      </w:r>
      <w:r>
        <w:rPr>
          <w:b/>
        </w:rPr>
        <w:t>"Credit Union Partner"</w:t>
      </w:r>
      <w:r>
        <w:t xml:space="preserve"> means a New York-chartered or federally chartered credit union meeting the following criteria:</w:t>
      </w:r>
    </w:p>
    <w:p w14:paraId="5AB0C39E" w14:textId="77777777" w:rsidR="00492CA7" w:rsidRDefault="00000000">
      <w:pPr>
        <w:numPr>
          <w:ilvl w:val="0"/>
          <w:numId w:val="4"/>
        </w:numPr>
      </w:pPr>
      <w:r>
        <w:rPr>
          <w:rFonts w:eastAsia="Georgia" w:hAnsi="Georgia" w:cs="Georgia"/>
        </w:rPr>
        <w:t>(i) Asset base ≥$50M,</w:t>
      </w:r>
    </w:p>
    <w:p w14:paraId="4A4D5D43" w14:textId="77777777" w:rsidR="00492CA7" w:rsidRDefault="00000000">
      <w:pPr>
        <w:numPr>
          <w:ilvl w:val="0"/>
          <w:numId w:val="4"/>
        </w:numPr>
      </w:pPr>
      <w:r>
        <w:t>(ii) Community Development Financial Institution (CDFI) certification or equivalent community reinvestment commitment,</w:t>
      </w:r>
    </w:p>
    <w:p w14:paraId="14FFBD84" w14:textId="77777777" w:rsidR="00492CA7" w:rsidRDefault="00000000">
      <w:pPr>
        <w:numPr>
          <w:ilvl w:val="0"/>
          <w:numId w:val="4"/>
        </w:numPr>
      </w:pPr>
      <w:r>
        <w:rPr>
          <w:rFonts w:eastAsia="Georgia" w:hAnsi="Georgia" w:cs="Georgia"/>
        </w:rPr>
        <w:t>(iii) Documented history of lending to households ≤80% AMI, and</w:t>
      </w:r>
    </w:p>
    <w:p w14:paraId="32163331" w14:textId="77777777" w:rsidR="00492CA7" w:rsidRDefault="00000000">
      <w:pPr>
        <w:numPr>
          <w:ilvl w:val="0"/>
          <w:numId w:val="4"/>
        </w:numPr>
      </w:pPr>
      <w:r>
        <w:t>(iv) Demonstrated capacity to service 100+ loans annually in affordable housing product.</w:t>
      </w:r>
    </w:p>
    <w:p w14:paraId="18B6A829" w14:textId="77777777" w:rsidR="00492CA7" w:rsidRDefault="00000000">
      <w:pPr>
        <w:spacing w:after="210"/>
      </w:pPr>
      <w:r>
        <w:t xml:space="preserve">(e) </w:t>
      </w:r>
      <w:r>
        <w:rPr>
          <w:b/>
        </w:rPr>
        <w:t>"Intergenerational Wealth Metric"</w:t>
      </w:r>
      <w:r>
        <w:t xml:space="preserve"> means the cumulative equity accrual attributable to homeownership, measured at 10-, 20-, and 30-year intervals and reported disaggregated by race/ethnicity, income band, family composition, and tenure length.</w:t>
      </w:r>
    </w:p>
    <w:p w14:paraId="325DD9B4" w14:textId="77777777" w:rsidR="00492CA7" w:rsidRDefault="00000000">
      <w:pPr>
        <w:spacing w:after="210"/>
      </w:pPr>
      <w:r>
        <w:t xml:space="preserve">(f) </w:t>
      </w:r>
      <w:r>
        <w:rPr>
          <w:b/>
        </w:rPr>
        <w:t>"Subsidy Reallocation Budget"</w:t>
      </w:r>
      <w:r>
        <w:rPr>
          <w:rFonts w:eastAsia="Georgia" w:hAnsi="Georgia" w:cs="Georgia"/>
        </w:rPr>
        <w:t xml:space="preserve"> means the annual allocation from HPD, HRA, and NYCHA operating budgets dedicated to PET Framework implementation, initially set at $150M in fiscal year 2026 and scaling to $450M–$680M by fiscal year 2035.</w:t>
      </w:r>
    </w:p>
    <w:p w14:paraId="557599B1" w14:textId="77777777" w:rsidR="00492CA7" w:rsidRDefault="00000000">
      <w:pPr>
        <w:spacing w:after="210"/>
      </w:pPr>
      <w:r>
        <w:t xml:space="preserve">(g) </w:t>
      </w:r>
      <w:r>
        <w:rPr>
          <w:b/>
        </w:rPr>
        <w:t>"Tiered Ownership Model"</w:t>
      </w:r>
      <w:r>
        <w:t xml:space="preserve"> means the three ownership pathways established under Section 5: CLT-mediated limited-equity cooperatives, CLT ground-lease homeownership, and conventional ownership with affordability covenants.</w:t>
      </w:r>
    </w:p>
    <w:p w14:paraId="1B960A32" w14:textId="77777777" w:rsidR="00492CA7" w:rsidRDefault="00BB14A2">
      <w:r>
        <w:rPr>
          <w:noProof/>
        </w:rPr>
        <w:pict w14:anchorId="4377AE67">
          <v:rect id="_x0000_i1063" alt="" style="width:434.5pt;height:.05pt;mso-width-percent:0;mso-height-percent:0;mso-width-percent:0;mso-height-percent:0" o:hralign="center" o:hrstd="t" o:hr="t"/>
        </w:pict>
      </w:r>
    </w:p>
    <w:p w14:paraId="6611F368" w14:textId="77777777" w:rsidR="00492CA7" w:rsidRDefault="00000000">
      <w:pPr>
        <w:spacing w:before="240" w:line="271" w:lineRule="auto"/>
      </w:pPr>
      <w:bookmarkStart w:id="8" w:name="section_3_department_responsibili_4424be"/>
      <w:r>
        <w:rPr>
          <w:b/>
          <w:sz w:val="33"/>
        </w:rPr>
        <w:t>SECTION 3: DEPARTMENT RESPONSIBILITIES &amp; GOVERNANCE</w:t>
      </w:r>
      <w:bookmarkEnd w:id="8"/>
    </w:p>
    <w:p w14:paraId="59B3D56A" w14:textId="77777777" w:rsidR="00492CA7" w:rsidRDefault="00000000">
      <w:pPr>
        <w:spacing w:after="210"/>
      </w:pPr>
      <w:r>
        <w:t xml:space="preserve">3.1 </w:t>
      </w:r>
      <w:r>
        <w:rPr>
          <w:b/>
        </w:rPr>
        <w:t>Creation of Public Equity Transfer Office (PETO).</w:t>
      </w:r>
    </w:p>
    <w:p w14:paraId="630F2E47" w14:textId="77777777" w:rsidR="00492CA7" w:rsidRDefault="00000000">
      <w:pPr>
        <w:spacing w:after="210"/>
      </w:pPr>
      <w:r>
        <w:t xml:space="preserve">(a) The Mayor shall establish, within the Department of Housing Preservation and Development (HPD), a new office designated the </w:t>
      </w:r>
      <w:r>
        <w:rPr>
          <w:b/>
        </w:rPr>
        <w:t>Public Equity Transfer Office (PETO)</w:t>
      </w:r>
      <w:r>
        <w:t xml:space="preserve"> responsible for coordinating cross-agency implementation.</w:t>
      </w:r>
    </w:p>
    <w:p w14:paraId="586F53C6" w14:textId="77777777" w:rsidR="00492CA7" w:rsidRDefault="00000000">
      <w:pPr>
        <w:spacing w:after="210"/>
      </w:pPr>
      <w:r>
        <w:t xml:space="preserve">(b) </w:t>
      </w:r>
      <w:r>
        <w:rPr>
          <w:b/>
        </w:rPr>
        <w:t>PETO shall have the following functions:</w:t>
      </w:r>
    </w:p>
    <w:p w14:paraId="41EDC80B" w14:textId="77777777" w:rsidR="00492CA7" w:rsidRDefault="00000000">
      <w:pPr>
        <w:numPr>
          <w:ilvl w:val="0"/>
          <w:numId w:val="5"/>
        </w:numPr>
      </w:pPr>
      <w:r>
        <w:t>(i) Serve as lead convener for HPD, HRA, NYCHA, NYC Department of Finance, and credit union partners,</w:t>
      </w:r>
    </w:p>
    <w:p w14:paraId="5A20242A" w14:textId="77777777" w:rsidR="00492CA7" w:rsidRDefault="00000000">
      <w:pPr>
        <w:numPr>
          <w:ilvl w:val="0"/>
          <w:numId w:val="5"/>
        </w:numPr>
      </w:pPr>
      <w:r>
        <w:lastRenderedPageBreak/>
        <w:t>(ii) Establish standardized eligibility, underwriting, and covenant-monitoring protocols,</w:t>
      </w:r>
    </w:p>
    <w:p w14:paraId="1E1834C1" w14:textId="77777777" w:rsidR="00492CA7" w:rsidRDefault="00000000">
      <w:pPr>
        <w:numPr>
          <w:ilvl w:val="0"/>
          <w:numId w:val="5"/>
        </w:numPr>
      </w:pPr>
      <w:r>
        <w:t>(iii) Manage the Subsidy Reallocation Budget (Section 4) and allocation formulas across agencies,</w:t>
      </w:r>
    </w:p>
    <w:p w14:paraId="21AC8D42" w14:textId="77777777" w:rsidR="00492CA7" w:rsidRDefault="00000000">
      <w:pPr>
        <w:numPr>
          <w:ilvl w:val="0"/>
          <w:numId w:val="5"/>
        </w:numPr>
      </w:pPr>
      <w:r>
        <w:t>(iv) Produce quarterly reporting on conversion metrics, disaggregated outcomes, and budget execution,</w:t>
      </w:r>
    </w:p>
    <w:p w14:paraId="73B3D8D7" w14:textId="77777777" w:rsidR="00492CA7" w:rsidRDefault="00000000">
      <w:pPr>
        <w:numPr>
          <w:ilvl w:val="0"/>
          <w:numId w:val="5"/>
        </w:numPr>
      </w:pPr>
      <w:r>
        <w:t>(v) Manage credit union partnership agreements and performance monitoring, and</w:t>
      </w:r>
    </w:p>
    <w:p w14:paraId="5592B554" w14:textId="77777777" w:rsidR="00492CA7" w:rsidRDefault="00000000">
      <w:pPr>
        <w:numPr>
          <w:ilvl w:val="0"/>
          <w:numId w:val="5"/>
        </w:numPr>
      </w:pPr>
      <w:r>
        <w:t>(vi) Oversee CLT integration and serve as liaison to CLT networks.</w:t>
      </w:r>
    </w:p>
    <w:p w14:paraId="78432FB4" w14:textId="77777777" w:rsidR="00492CA7" w:rsidRDefault="00000000">
      <w:pPr>
        <w:spacing w:after="210"/>
      </w:pPr>
      <w:r>
        <w:t xml:space="preserve">3.2 </w:t>
      </w:r>
      <w:r>
        <w:rPr>
          <w:b/>
        </w:rPr>
        <w:t>HPD Responsibilities: Down Payment Assistance &amp; CLT Coordination.</w:t>
      </w:r>
    </w:p>
    <w:p w14:paraId="448A0493" w14:textId="77777777" w:rsidR="00492CA7" w:rsidRDefault="00000000">
      <w:pPr>
        <w:spacing w:after="210"/>
      </w:pPr>
      <w:r>
        <w:rPr>
          <w:rFonts w:eastAsia="Georgia" w:hAnsi="Georgia" w:cs="Georgia"/>
        </w:rPr>
        <w:t xml:space="preserve">(a) HPD shall allocate $80M–$120M annually from the Subsidy Reallocation Budget to </w:t>
      </w:r>
      <w:r>
        <w:rPr>
          <w:b/>
        </w:rPr>
        <w:t>down payment assistance grants</w:t>
      </w:r>
      <w:r>
        <w:t xml:space="preserve"> for Eligible Households converting to ownership under the PET Framework.</w:t>
      </w:r>
    </w:p>
    <w:p w14:paraId="7DDE62BA" w14:textId="77777777" w:rsidR="00492CA7" w:rsidRDefault="00000000">
      <w:pPr>
        <w:spacing w:after="210"/>
      </w:pPr>
      <w:r>
        <w:t>(b) Down payment grants shall be structured as follows:</w:t>
      </w:r>
    </w:p>
    <w:p w14:paraId="577E65EA" w14:textId="77777777" w:rsidR="00492CA7" w:rsidRDefault="00000000">
      <w:pPr>
        <w:numPr>
          <w:ilvl w:val="0"/>
          <w:numId w:val="6"/>
        </w:numPr>
      </w:pPr>
      <w:r>
        <w:t xml:space="preserve">(i) </w:t>
      </w:r>
      <w:r>
        <w:rPr>
          <w:b/>
        </w:rPr>
        <w:t>CLT-mediated conversions:</w:t>
      </w:r>
      <w:r>
        <w:rPr>
          <w:rFonts w:eastAsia="Georgia" w:hAnsi="Georgia" w:cs="Georgia"/>
        </w:rPr>
        <w:t xml:space="preserve"> Up to $75K per household (covering 15–20% of land-value-adjusted purchase price),</w:t>
      </w:r>
    </w:p>
    <w:p w14:paraId="2718B4E0" w14:textId="77777777" w:rsidR="00492CA7" w:rsidRDefault="00000000">
      <w:pPr>
        <w:numPr>
          <w:ilvl w:val="0"/>
          <w:numId w:val="6"/>
        </w:numPr>
      </w:pPr>
      <w:r>
        <w:t xml:space="preserve">(ii) </w:t>
      </w:r>
      <w:r>
        <w:rPr>
          <w:b/>
        </w:rPr>
        <w:t>Covenant-secured ownership:</w:t>
      </w:r>
      <w:r>
        <w:t xml:space="preserve"> Up to $50K per household (conventional purchase with 30-year affordability covenant), and</w:t>
      </w:r>
    </w:p>
    <w:p w14:paraId="79DFBA4E" w14:textId="77777777" w:rsidR="00492CA7" w:rsidRDefault="00000000">
      <w:pPr>
        <w:numPr>
          <w:ilvl w:val="0"/>
          <w:numId w:val="6"/>
        </w:numPr>
      </w:pPr>
      <w:r>
        <w:t xml:space="preserve">(iii) </w:t>
      </w:r>
      <w:r>
        <w:rPr>
          <w:b/>
        </w:rPr>
        <w:t>Limited-equity cooperative (LEC) shares:</w:t>
      </w:r>
      <w:r>
        <w:t xml:space="preserve"> Up to $40K per household (cooperative share purchase).</w:t>
      </w:r>
    </w:p>
    <w:p w14:paraId="16FB46BD" w14:textId="77777777" w:rsidR="00492CA7" w:rsidRDefault="00000000">
      <w:pPr>
        <w:spacing w:after="210"/>
      </w:pPr>
      <w:r>
        <w:t xml:space="preserve">(c) HPD shall establish a </w:t>
      </w:r>
      <w:r>
        <w:rPr>
          <w:b/>
        </w:rPr>
        <w:t>CLT Partnership Division</w:t>
      </w:r>
      <w:r>
        <w:t xml:space="preserve"> within PETO to:</w:t>
      </w:r>
    </w:p>
    <w:p w14:paraId="40D572A3" w14:textId="77777777" w:rsidR="00492CA7" w:rsidRDefault="00000000">
      <w:pPr>
        <w:numPr>
          <w:ilvl w:val="0"/>
          <w:numId w:val="7"/>
        </w:numPr>
      </w:pPr>
      <w:r>
        <w:t>(i) Execute multi-year funding agreements with all 12 NYC CLTs,</w:t>
      </w:r>
    </w:p>
    <w:p w14:paraId="579BB6F9" w14:textId="77777777" w:rsidR="00492CA7" w:rsidRDefault="00000000">
      <w:pPr>
        <w:numPr>
          <w:ilvl w:val="0"/>
          <w:numId w:val="7"/>
        </w:numPr>
      </w:pPr>
      <w:r>
        <w:rPr>
          <w:rFonts w:eastAsia="Georgia" w:hAnsi="Georgia" w:cs="Georgia"/>
        </w:rPr>
        <w:t>(ii) Provide annual grants ($500K–$2M per CLT) to support conversion acquisition and community education,</w:t>
      </w:r>
    </w:p>
    <w:p w14:paraId="0BC74D8B" w14:textId="77777777" w:rsidR="00492CA7" w:rsidRDefault="00000000">
      <w:pPr>
        <w:numPr>
          <w:ilvl w:val="0"/>
          <w:numId w:val="7"/>
        </w:numPr>
      </w:pPr>
      <w:r>
        <w:t>(iii) Jointly develop standardized CLT ground lease templates and resale pricing formulas, and</w:t>
      </w:r>
    </w:p>
    <w:p w14:paraId="77F6943A" w14:textId="77777777" w:rsidR="00492CA7" w:rsidRDefault="00000000">
      <w:pPr>
        <w:numPr>
          <w:ilvl w:val="0"/>
          <w:numId w:val="7"/>
        </w:numPr>
      </w:pPr>
      <w:r>
        <w:t>(iv) Monitor CLT conversion performance and intergenerational wealth metrics.</w:t>
      </w:r>
    </w:p>
    <w:p w14:paraId="49A160E4" w14:textId="77777777" w:rsidR="00492CA7" w:rsidRDefault="00000000">
      <w:pPr>
        <w:spacing w:after="210"/>
      </w:pPr>
      <w:r>
        <w:t xml:space="preserve">3.3 </w:t>
      </w:r>
      <w:r>
        <w:rPr>
          <w:b/>
        </w:rPr>
        <w:t>HRA Responsibilities: Subsidy Conversion &amp; Covenant Financing.</w:t>
      </w:r>
    </w:p>
    <w:p w14:paraId="4F0EF35A" w14:textId="77777777" w:rsidR="00492CA7" w:rsidRDefault="00000000">
      <w:pPr>
        <w:spacing w:after="210"/>
      </w:pPr>
      <w:r>
        <w:rPr>
          <w:rFonts w:eastAsia="Georgia" w:hAnsi="Georgia" w:cs="Georgia"/>
        </w:rPr>
        <w:t xml:space="preserve">(a) HRA shall reallocate $120M–$180M annually from Emergency Rental Assistance (ERA), CityFHEPS, and other subsidy programs to fund the </w:t>
      </w:r>
      <w:r>
        <w:rPr>
          <w:b/>
        </w:rPr>
        <w:t>PET Framework Subsidy Conversion Mechanism.</w:t>
      </w:r>
    </w:p>
    <w:p w14:paraId="0B9AAC73" w14:textId="77777777" w:rsidR="00492CA7" w:rsidRDefault="00000000">
      <w:pPr>
        <w:spacing w:after="210"/>
      </w:pPr>
      <w:r>
        <w:t xml:space="preserve">(b) Eligible households currently receiving rental assistance shall be offered a </w:t>
      </w:r>
      <w:r>
        <w:rPr>
          <w:b/>
        </w:rPr>
        <w:t>voluntary transition option:</w:t>
      </w:r>
    </w:p>
    <w:p w14:paraId="47D668B5" w14:textId="77777777" w:rsidR="00492CA7" w:rsidRDefault="00000000">
      <w:pPr>
        <w:numPr>
          <w:ilvl w:val="0"/>
          <w:numId w:val="8"/>
        </w:numPr>
      </w:pPr>
      <w:r>
        <w:t>(i) Continue traditional rental subsidy, OR</w:t>
      </w:r>
    </w:p>
    <w:p w14:paraId="077BB2B0" w14:textId="77777777" w:rsidR="00492CA7" w:rsidRDefault="00000000">
      <w:pPr>
        <w:numPr>
          <w:ilvl w:val="0"/>
          <w:numId w:val="8"/>
        </w:numPr>
      </w:pPr>
      <w:r>
        <w:t xml:space="preserve">(ii) Convert subsidy to </w:t>
      </w:r>
      <w:r>
        <w:rPr>
          <w:b/>
        </w:rPr>
        <w:t>Covenant Financing Account</w:t>
      </w:r>
      <w:r>
        <w:rPr>
          <w:rFonts w:eastAsia="Georgia" w:hAnsi="Georgia" w:cs="Georgia"/>
        </w:rPr>
        <w:t xml:space="preserve"> — a dedicated credit line (up to 80% of fair market rent value, amortized over 30 years) usable exclusively for down payment or mortgage covenant security.</w:t>
      </w:r>
    </w:p>
    <w:p w14:paraId="2F82AFA1" w14:textId="77777777" w:rsidR="00492CA7" w:rsidRDefault="00000000">
      <w:pPr>
        <w:spacing w:after="210"/>
      </w:pPr>
      <w:r>
        <w:t xml:space="preserve">(c) HRA shall establish a </w:t>
      </w:r>
      <w:r>
        <w:rPr>
          <w:b/>
        </w:rPr>
        <w:t>Covenant Financing Division</w:t>
      </w:r>
      <w:r>
        <w:t xml:space="preserve"> to:</w:t>
      </w:r>
    </w:p>
    <w:p w14:paraId="439874FA" w14:textId="77777777" w:rsidR="00492CA7" w:rsidRDefault="00000000">
      <w:pPr>
        <w:numPr>
          <w:ilvl w:val="0"/>
          <w:numId w:val="9"/>
        </w:numPr>
      </w:pPr>
      <w:r>
        <w:t>(i) Manage Covenant Financing Accounts and track draw-downs,</w:t>
      </w:r>
    </w:p>
    <w:p w14:paraId="4ACC6B38" w14:textId="77777777" w:rsidR="00492CA7" w:rsidRDefault="00000000">
      <w:pPr>
        <w:numPr>
          <w:ilvl w:val="0"/>
          <w:numId w:val="9"/>
        </w:numPr>
      </w:pPr>
      <w:r>
        <w:lastRenderedPageBreak/>
        <w:t>(ii) Execute 30-year affordability covenants with title companies and lenders (Section 6),</w:t>
      </w:r>
    </w:p>
    <w:p w14:paraId="1F3A195D" w14:textId="77777777" w:rsidR="00492CA7" w:rsidRDefault="00000000">
      <w:pPr>
        <w:numPr>
          <w:ilvl w:val="0"/>
          <w:numId w:val="9"/>
        </w:numPr>
      </w:pPr>
      <w:r>
        <w:t>(iii) Monitor covenant compliance and enforce remediation (right-of-first-refusal, price restrictions on resale), and</w:t>
      </w:r>
    </w:p>
    <w:p w14:paraId="12EBCC58" w14:textId="77777777" w:rsidR="00492CA7" w:rsidRDefault="00000000">
      <w:pPr>
        <w:numPr>
          <w:ilvl w:val="0"/>
          <w:numId w:val="9"/>
        </w:numPr>
      </w:pPr>
      <w:r>
        <w:t>(iv) Report quarterly on conversion rates, covenant utilization, and equity accrual.</w:t>
      </w:r>
    </w:p>
    <w:p w14:paraId="7B0B1159" w14:textId="77777777" w:rsidR="00492CA7" w:rsidRDefault="00000000">
      <w:pPr>
        <w:spacing w:after="210"/>
      </w:pPr>
      <w:r>
        <w:t xml:space="preserve">3.4 </w:t>
      </w:r>
      <w:r>
        <w:rPr>
          <w:b/>
        </w:rPr>
        <w:t>NYCHA Responsibilities: Resident Ownership Program &amp; Asset Conversion.</w:t>
      </w:r>
    </w:p>
    <w:p w14:paraId="72A58B2D" w14:textId="77777777" w:rsidR="00492CA7" w:rsidRDefault="00000000">
      <w:pPr>
        <w:spacing w:after="210"/>
      </w:pPr>
      <w:r>
        <w:rPr>
          <w:rFonts w:eastAsia="Georgia" w:hAnsi="Georgia" w:cs="Georgia"/>
        </w:rPr>
        <w:t xml:space="preserve">(a) NYCHA shall dedicate $100M–$150M annually to </w:t>
      </w:r>
      <w:r>
        <w:rPr>
          <w:b/>
        </w:rPr>
        <w:t>NYCHA Resident Ownership Initiative</w:t>
      </w:r>
      <w:r>
        <w:t xml:space="preserve"> (NROI), enabling long-term public housing residents to transition to cooperatively or CLT-mediated ownership.</w:t>
      </w:r>
    </w:p>
    <w:p w14:paraId="53D92353" w14:textId="77777777" w:rsidR="00492CA7" w:rsidRDefault="00000000">
      <w:pPr>
        <w:spacing w:after="210"/>
      </w:pPr>
      <w:r>
        <w:t>(b) NROI shall operate under the following principles:</w:t>
      </w:r>
    </w:p>
    <w:p w14:paraId="4C2D093C" w14:textId="77777777" w:rsidR="00492CA7" w:rsidRDefault="00000000">
      <w:pPr>
        <w:numPr>
          <w:ilvl w:val="0"/>
          <w:numId w:val="10"/>
        </w:numPr>
      </w:pPr>
      <w:r>
        <w:t>(i) No displacement of current residents; conversion is entirely voluntary and resident-controlled,</w:t>
      </w:r>
    </w:p>
    <w:p w14:paraId="76C813B7" w14:textId="77777777" w:rsidR="00492CA7" w:rsidRDefault="00000000">
      <w:pPr>
        <w:numPr>
          <w:ilvl w:val="0"/>
          <w:numId w:val="10"/>
        </w:numPr>
      </w:pPr>
      <w:r>
        <w:t>(ii) Resident ownership cooperative maintains affordability and prioritizes long-term affordability goals,</w:t>
      </w:r>
    </w:p>
    <w:p w14:paraId="74A95A46" w14:textId="77777777" w:rsidR="00492CA7" w:rsidRDefault="00000000">
      <w:pPr>
        <w:numPr>
          <w:ilvl w:val="0"/>
          <w:numId w:val="10"/>
        </w:numPr>
      </w:pPr>
      <w:r>
        <w:rPr>
          <w:rFonts w:eastAsia="Georgia" w:hAnsi="Georgia" w:cs="Georgia"/>
        </w:rPr>
        <w:t>(iii) NYCHA retains master ground lease with deep affordability requirements (affordability in perpetuity for residents earning ≤60% AMI), and</w:t>
      </w:r>
    </w:p>
    <w:p w14:paraId="1FF926F1" w14:textId="77777777" w:rsidR="00492CA7" w:rsidRDefault="00000000">
      <w:pPr>
        <w:numPr>
          <w:ilvl w:val="0"/>
          <w:numId w:val="10"/>
        </w:numPr>
      </w:pPr>
      <w:r>
        <w:t>(iv) Resident cooperative receives 100% of operational surplus above baseline maintenance and reserves.</w:t>
      </w:r>
    </w:p>
    <w:p w14:paraId="3457BA9A" w14:textId="77777777" w:rsidR="00492CA7" w:rsidRDefault="00000000">
      <w:pPr>
        <w:spacing w:after="210"/>
      </w:pPr>
      <w:r>
        <w:t>(c) NYCHA shall prioritize conversion of NYCHA-owned buildings meeting the following criteria:</w:t>
      </w:r>
    </w:p>
    <w:p w14:paraId="249E71A0" w14:textId="77777777" w:rsidR="00492CA7" w:rsidRDefault="00000000">
      <w:pPr>
        <w:numPr>
          <w:ilvl w:val="0"/>
          <w:numId w:val="11"/>
        </w:numPr>
      </w:pPr>
      <w:r>
        <w:t>(i) Located in neighborhoods with strong CLT presence or willingness to establish new CLT,</w:t>
      </w:r>
    </w:p>
    <w:p w14:paraId="6D79CC22" w14:textId="77777777" w:rsidR="00492CA7" w:rsidRDefault="00000000">
      <w:pPr>
        <w:numPr>
          <w:ilvl w:val="0"/>
          <w:numId w:val="11"/>
        </w:numPr>
      </w:pPr>
      <w:r>
        <w:rPr>
          <w:rFonts w:eastAsia="Georgia" w:hAnsi="Georgia" w:cs="Georgia"/>
        </w:rPr>
        <w:t>(ii) Stable resident base with ≥70% households earning ≤60% AMI (target population),</w:t>
      </w:r>
    </w:p>
    <w:p w14:paraId="7499195A" w14:textId="77777777" w:rsidR="00492CA7" w:rsidRDefault="00000000">
      <w:pPr>
        <w:numPr>
          <w:ilvl w:val="0"/>
          <w:numId w:val="11"/>
        </w:numPr>
      </w:pPr>
      <w:r>
        <w:rPr>
          <w:rFonts w:eastAsia="Georgia" w:hAnsi="Georgia" w:cs="Georgia"/>
        </w:rPr>
        <w:t>(iii) Building in adequate physical condition (recent capital investment or ≥20-year useful life remaining), and</w:t>
      </w:r>
    </w:p>
    <w:p w14:paraId="306E8C34" w14:textId="77777777" w:rsidR="00492CA7" w:rsidRDefault="00000000">
      <w:pPr>
        <w:numPr>
          <w:ilvl w:val="0"/>
          <w:numId w:val="11"/>
        </w:numPr>
      </w:pPr>
      <w:r>
        <w:rPr>
          <w:rFonts w:eastAsia="Georgia" w:hAnsi="Georgia" w:cs="Georgia"/>
        </w:rPr>
        <w:t>(iv) Documented resident demand for ownership conversion (≥60% sign-up rate).</w:t>
      </w:r>
    </w:p>
    <w:p w14:paraId="1C058022" w14:textId="77777777" w:rsidR="00492CA7" w:rsidRDefault="00BB14A2">
      <w:r>
        <w:rPr>
          <w:noProof/>
        </w:rPr>
        <w:pict w14:anchorId="68E52B4F">
          <v:rect id="_x0000_i1062" alt="" style="width:434.5pt;height:.05pt;mso-width-percent:0;mso-height-percent:0;mso-width-percent:0;mso-height-percent:0" o:hralign="center" o:hrstd="t" o:hr="t"/>
        </w:pict>
      </w:r>
    </w:p>
    <w:p w14:paraId="1A1158A5" w14:textId="77777777" w:rsidR="00492CA7" w:rsidRDefault="00000000">
      <w:pPr>
        <w:spacing w:before="240" w:line="271" w:lineRule="auto"/>
      </w:pPr>
      <w:bookmarkStart w:id="9" w:name="section_4_subsidy_reallocation_fi_bfac5f"/>
      <w:r>
        <w:rPr>
          <w:b/>
          <w:sz w:val="33"/>
        </w:rPr>
        <w:t>SECTION 4: SUBSIDY REALLOCATION &amp; FINANCIAL STRUCTURE</w:t>
      </w:r>
      <w:bookmarkEnd w:id="9"/>
    </w:p>
    <w:p w14:paraId="26825F93" w14:textId="77777777" w:rsidR="00492CA7" w:rsidRDefault="00000000">
      <w:pPr>
        <w:spacing w:after="210"/>
      </w:pPr>
      <w:r>
        <w:t xml:space="preserve">4.1 </w:t>
      </w:r>
      <w:r>
        <w:rPr>
          <w:b/>
        </w:rPr>
        <w:t>Subsidy Reallocation Budget: Sources &amp; Uses.</w:t>
      </w:r>
    </w:p>
    <w:p w14:paraId="729955A1" w14:textId="77777777" w:rsidR="00492CA7" w:rsidRDefault="00000000">
      <w:pPr>
        <w:spacing w:after="210"/>
      </w:pPr>
      <w:r>
        <w:t xml:space="preserve">(a) </w:t>
      </w:r>
      <w:r>
        <w:rPr>
          <w:b/>
        </w:rPr>
        <w:t>Total Annual Allocation.</w:t>
      </w:r>
      <w:r>
        <w:t xml:space="preserve"> Beginning in fiscal year 2026, NYC shall establish a cumulative </w:t>
      </w:r>
      <w:r>
        <w:rPr>
          <w:b/>
        </w:rPr>
        <w:t>Subsidy Reallocation Budget (SRB)</w:t>
      </w:r>
      <w:r>
        <w:t xml:space="preserve"> funded from existing HPD, HRA, and NYCHA operating appropriations: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53"/>
        <w:gridCol w:w="1686"/>
        <w:gridCol w:w="1709"/>
        <w:gridCol w:w="1916"/>
        <w:gridCol w:w="1820"/>
      </w:tblGrid>
      <w:tr w:rsidR="00492CA7" w14:paraId="4394FBC1" w14:textId="77777777">
        <w:trPr>
          <w:cantSplit/>
          <w:tblCellSpacing w:w="0" w:type="dxa"/>
          <w:jc w:val="center"/>
        </w:trPr>
        <w:tc>
          <w:tcPr>
            <w:tcW w:w="0" w:type="auto"/>
            <w:tcBorders>
              <w:top w:val="single" w:sz="1" w:space="0" w:color="000000"/>
              <w:bottom w:val="single" w:sz="1" w:space="0" w:color="000000"/>
            </w:tcBorders>
          </w:tcPr>
          <w:p w14:paraId="7F76E969" w14:textId="77777777" w:rsidR="00492CA7" w:rsidRDefault="00000000">
            <w:r>
              <w:t>Fiscal Year</w:t>
            </w:r>
          </w:p>
        </w:tc>
        <w:tc>
          <w:tcPr>
            <w:tcW w:w="0" w:type="auto"/>
            <w:tcBorders>
              <w:top w:val="single" w:sz="1" w:space="0" w:color="000000"/>
              <w:left w:val="single" w:sz="1" w:space="0" w:color="000000"/>
              <w:bottom w:val="single" w:sz="1" w:space="0" w:color="000000"/>
            </w:tcBorders>
          </w:tcPr>
          <w:p w14:paraId="0FE55EF4" w14:textId="77777777" w:rsidR="00492CA7" w:rsidRDefault="00000000">
            <w:r>
              <w:t>HPD Allocation</w:t>
            </w:r>
          </w:p>
        </w:tc>
        <w:tc>
          <w:tcPr>
            <w:tcW w:w="0" w:type="auto"/>
            <w:tcBorders>
              <w:top w:val="single" w:sz="1" w:space="0" w:color="000000"/>
              <w:left w:val="single" w:sz="1" w:space="0" w:color="000000"/>
              <w:bottom w:val="single" w:sz="1" w:space="0" w:color="000000"/>
            </w:tcBorders>
          </w:tcPr>
          <w:p w14:paraId="6D786937" w14:textId="77777777" w:rsidR="00492CA7" w:rsidRDefault="00000000">
            <w:r>
              <w:t>HRA Allocation</w:t>
            </w:r>
          </w:p>
        </w:tc>
        <w:tc>
          <w:tcPr>
            <w:tcW w:w="0" w:type="auto"/>
            <w:tcBorders>
              <w:top w:val="single" w:sz="1" w:space="0" w:color="000000"/>
              <w:left w:val="single" w:sz="1" w:space="0" w:color="000000"/>
              <w:bottom w:val="single" w:sz="1" w:space="0" w:color="000000"/>
            </w:tcBorders>
          </w:tcPr>
          <w:p w14:paraId="3F69541F" w14:textId="77777777" w:rsidR="00492CA7" w:rsidRDefault="00000000">
            <w:r>
              <w:t>NYCHA Allocation</w:t>
            </w:r>
          </w:p>
        </w:tc>
        <w:tc>
          <w:tcPr>
            <w:tcW w:w="0" w:type="auto"/>
            <w:tcBorders>
              <w:top w:val="single" w:sz="1" w:space="0" w:color="000000"/>
              <w:left w:val="single" w:sz="1" w:space="0" w:color="000000"/>
              <w:bottom w:val="single" w:sz="1" w:space="0" w:color="000000"/>
            </w:tcBorders>
          </w:tcPr>
          <w:p w14:paraId="46CD0DBE" w14:textId="77777777" w:rsidR="00492CA7" w:rsidRDefault="00000000">
            <w:r>
              <w:t>Total SRB</w:t>
            </w:r>
          </w:p>
        </w:tc>
      </w:tr>
      <w:tr w:rsidR="00492CA7" w14:paraId="34B1A962" w14:textId="77777777">
        <w:trPr>
          <w:cantSplit/>
          <w:tblCellSpacing w:w="0" w:type="dxa"/>
          <w:jc w:val="center"/>
        </w:trPr>
        <w:tc>
          <w:tcPr>
            <w:tcW w:w="0" w:type="auto"/>
            <w:tcBorders>
              <w:top w:val="single" w:sz="1" w:space="0" w:color="000000"/>
              <w:bottom w:val="single" w:sz="1" w:space="0" w:color="000000"/>
            </w:tcBorders>
          </w:tcPr>
          <w:p w14:paraId="458AEAC3" w14:textId="77777777" w:rsidR="00492CA7" w:rsidRDefault="00000000">
            <w:r>
              <w:t>FY 2026</w:t>
            </w:r>
          </w:p>
        </w:tc>
        <w:tc>
          <w:tcPr>
            <w:tcW w:w="0" w:type="auto"/>
            <w:tcBorders>
              <w:top w:val="single" w:sz="1" w:space="0" w:color="000000"/>
              <w:left w:val="single" w:sz="1" w:space="0" w:color="000000"/>
              <w:bottom w:val="single" w:sz="1" w:space="0" w:color="000000"/>
            </w:tcBorders>
          </w:tcPr>
          <w:p w14:paraId="7D5D17E6" w14:textId="77777777" w:rsidR="00492CA7" w:rsidRDefault="00000000">
            <w:r>
              <w:t>$50M</w:t>
            </w:r>
          </w:p>
        </w:tc>
        <w:tc>
          <w:tcPr>
            <w:tcW w:w="0" w:type="auto"/>
            <w:tcBorders>
              <w:top w:val="single" w:sz="1" w:space="0" w:color="000000"/>
              <w:left w:val="single" w:sz="1" w:space="0" w:color="000000"/>
              <w:bottom w:val="single" w:sz="1" w:space="0" w:color="000000"/>
            </w:tcBorders>
          </w:tcPr>
          <w:p w14:paraId="776AC352" w14:textId="77777777" w:rsidR="00492CA7" w:rsidRDefault="00000000">
            <w:r>
              <w:t>$60M</w:t>
            </w:r>
          </w:p>
        </w:tc>
        <w:tc>
          <w:tcPr>
            <w:tcW w:w="0" w:type="auto"/>
            <w:tcBorders>
              <w:top w:val="single" w:sz="1" w:space="0" w:color="000000"/>
              <w:left w:val="single" w:sz="1" w:space="0" w:color="000000"/>
              <w:bottom w:val="single" w:sz="1" w:space="0" w:color="000000"/>
            </w:tcBorders>
          </w:tcPr>
          <w:p w14:paraId="55D408DD" w14:textId="77777777" w:rsidR="00492CA7" w:rsidRDefault="00000000">
            <w:r>
              <w:t>$40M</w:t>
            </w:r>
          </w:p>
        </w:tc>
        <w:tc>
          <w:tcPr>
            <w:tcW w:w="0" w:type="auto"/>
            <w:tcBorders>
              <w:top w:val="single" w:sz="1" w:space="0" w:color="000000"/>
              <w:left w:val="single" w:sz="1" w:space="0" w:color="000000"/>
              <w:bottom w:val="single" w:sz="1" w:space="0" w:color="000000"/>
            </w:tcBorders>
          </w:tcPr>
          <w:p w14:paraId="4264EBAA" w14:textId="77777777" w:rsidR="00492CA7" w:rsidRDefault="00000000">
            <w:r>
              <w:rPr>
                <w:b/>
              </w:rPr>
              <w:t>$150M</w:t>
            </w:r>
          </w:p>
        </w:tc>
      </w:tr>
      <w:tr w:rsidR="00492CA7" w14:paraId="44CE7644" w14:textId="77777777">
        <w:trPr>
          <w:cantSplit/>
          <w:tblCellSpacing w:w="0" w:type="dxa"/>
          <w:jc w:val="center"/>
        </w:trPr>
        <w:tc>
          <w:tcPr>
            <w:tcW w:w="0" w:type="auto"/>
            <w:tcBorders>
              <w:top w:val="single" w:sz="1" w:space="0" w:color="000000"/>
              <w:bottom w:val="single" w:sz="1" w:space="0" w:color="000000"/>
            </w:tcBorders>
          </w:tcPr>
          <w:p w14:paraId="1EBBD92A" w14:textId="77777777" w:rsidR="00492CA7" w:rsidRDefault="00000000">
            <w:r>
              <w:lastRenderedPageBreak/>
              <w:t>FY 2027</w:t>
            </w:r>
          </w:p>
        </w:tc>
        <w:tc>
          <w:tcPr>
            <w:tcW w:w="0" w:type="auto"/>
            <w:tcBorders>
              <w:top w:val="single" w:sz="1" w:space="0" w:color="000000"/>
              <w:left w:val="single" w:sz="1" w:space="0" w:color="000000"/>
              <w:bottom w:val="single" w:sz="1" w:space="0" w:color="000000"/>
            </w:tcBorders>
          </w:tcPr>
          <w:p w14:paraId="2786DB74" w14:textId="77777777" w:rsidR="00492CA7" w:rsidRDefault="00000000">
            <w:r>
              <w:t>$65M</w:t>
            </w:r>
          </w:p>
        </w:tc>
        <w:tc>
          <w:tcPr>
            <w:tcW w:w="0" w:type="auto"/>
            <w:tcBorders>
              <w:top w:val="single" w:sz="1" w:space="0" w:color="000000"/>
              <w:left w:val="single" w:sz="1" w:space="0" w:color="000000"/>
              <w:bottom w:val="single" w:sz="1" w:space="0" w:color="000000"/>
            </w:tcBorders>
          </w:tcPr>
          <w:p w14:paraId="7B9DB7A5" w14:textId="77777777" w:rsidR="00492CA7" w:rsidRDefault="00000000">
            <w:r>
              <w:t>$85M</w:t>
            </w:r>
          </w:p>
        </w:tc>
        <w:tc>
          <w:tcPr>
            <w:tcW w:w="0" w:type="auto"/>
            <w:tcBorders>
              <w:top w:val="single" w:sz="1" w:space="0" w:color="000000"/>
              <w:left w:val="single" w:sz="1" w:space="0" w:color="000000"/>
              <w:bottom w:val="single" w:sz="1" w:space="0" w:color="000000"/>
            </w:tcBorders>
          </w:tcPr>
          <w:p w14:paraId="6C9B3238" w14:textId="77777777" w:rsidR="00492CA7" w:rsidRDefault="00000000">
            <w:r>
              <w:t>$55M</w:t>
            </w:r>
          </w:p>
        </w:tc>
        <w:tc>
          <w:tcPr>
            <w:tcW w:w="0" w:type="auto"/>
            <w:tcBorders>
              <w:top w:val="single" w:sz="1" w:space="0" w:color="000000"/>
              <w:left w:val="single" w:sz="1" w:space="0" w:color="000000"/>
              <w:bottom w:val="single" w:sz="1" w:space="0" w:color="000000"/>
            </w:tcBorders>
          </w:tcPr>
          <w:p w14:paraId="18E28329" w14:textId="77777777" w:rsidR="00492CA7" w:rsidRDefault="00000000">
            <w:r>
              <w:rPr>
                <w:b/>
              </w:rPr>
              <w:t>$205M</w:t>
            </w:r>
          </w:p>
        </w:tc>
      </w:tr>
      <w:tr w:rsidR="00492CA7" w14:paraId="6A4926BB" w14:textId="77777777">
        <w:trPr>
          <w:cantSplit/>
          <w:tblCellSpacing w:w="0" w:type="dxa"/>
          <w:jc w:val="center"/>
        </w:trPr>
        <w:tc>
          <w:tcPr>
            <w:tcW w:w="0" w:type="auto"/>
            <w:tcBorders>
              <w:top w:val="single" w:sz="1" w:space="0" w:color="000000"/>
              <w:bottom w:val="single" w:sz="1" w:space="0" w:color="000000"/>
            </w:tcBorders>
          </w:tcPr>
          <w:p w14:paraId="3F9BD549" w14:textId="77777777" w:rsidR="00492CA7" w:rsidRDefault="00000000">
            <w:r>
              <w:t>FY 2028</w:t>
            </w:r>
          </w:p>
        </w:tc>
        <w:tc>
          <w:tcPr>
            <w:tcW w:w="0" w:type="auto"/>
            <w:tcBorders>
              <w:top w:val="single" w:sz="1" w:space="0" w:color="000000"/>
              <w:left w:val="single" w:sz="1" w:space="0" w:color="000000"/>
              <w:bottom w:val="single" w:sz="1" w:space="0" w:color="000000"/>
            </w:tcBorders>
          </w:tcPr>
          <w:p w14:paraId="58522F67" w14:textId="77777777" w:rsidR="00492CA7" w:rsidRDefault="00000000">
            <w:r>
              <w:t>$80M</w:t>
            </w:r>
          </w:p>
        </w:tc>
        <w:tc>
          <w:tcPr>
            <w:tcW w:w="0" w:type="auto"/>
            <w:tcBorders>
              <w:top w:val="single" w:sz="1" w:space="0" w:color="000000"/>
              <w:left w:val="single" w:sz="1" w:space="0" w:color="000000"/>
              <w:bottom w:val="single" w:sz="1" w:space="0" w:color="000000"/>
            </w:tcBorders>
          </w:tcPr>
          <w:p w14:paraId="63F1731C" w14:textId="77777777" w:rsidR="00492CA7" w:rsidRDefault="00000000">
            <w:r>
              <w:t>$110M</w:t>
            </w:r>
          </w:p>
        </w:tc>
        <w:tc>
          <w:tcPr>
            <w:tcW w:w="0" w:type="auto"/>
            <w:tcBorders>
              <w:top w:val="single" w:sz="1" w:space="0" w:color="000000"/>
              <w:left w:val="single" w:sz="1" w:space="0" w:color="000000"/>
              <w:bottom w:val="single" w:sz="1" w:space="0" w:color="000000"/>
            </w:tcBorders>
          </w:tcPr>
          <w:p w14:paraId="40D9DA34" w14:textId="77777777" w:rsidR="00492CA7" w:rsidRDefault="00000000">
            <w:r>
              <w:t>$75M</w:t>
            </w:r>
          </w:p>
        </w:tc>
        <w:tc>
          <w:tcPr>
            <w:tcW w:w="0" w:type="auto"/>
            <w:tcBorders>
              <w:top w:val="single" w:sz="1" w:space="0" w:color="000000"/>
              <w:left w:val="single" w:sz="1" w:space="0" w:color="000000"/>
              <w:bottom w:val="single" w:sz="1" w:space="0" w:color="000000"/>
            </w:tcBorders>
          </w:tcPr>
          <w:p w14:paraId="0094DF5A" w14:textId="77777777" w:rsidR="00492CA7" w:rsidRDefault="00000000">
            <w:r>
              <w:rPr>
                <w:b/>
              </w:rPr>
              <w:t>$265M</w:t>
            </w:r>
          </w:p>
        </w:tc>
      </w:tr>
      <w:tr w:rsidR="00492CA7" w14:paraId="5314E55C" w14:textId="77777777">
        <w:trPr>
          <w:cantSplit/>
          <w:tblCellSpacing w:w="0" w:type="dxa"/>
          <w:jc w:val="center"/>
        </w:trPr>
        <w:tc>
          <w:tcPr>
            <w:tcW w:w="0" w:type="auto"/>
            <w:tcBorders>
              <w:top w:val="single" w:sz="1" w:space="0" w:color="000000"/>
              <w:bottom w:val="single" w:sz="1" w:space="0" w:color="000000"/>
            </w:tcBorders>
          </w:tcPr>
          <w:p w14:paraId="135FC621" w14:textId="77777777" w:rsidR="00492CA7" w:rsidRDefault="00000000">
            <w:r>
              <w:t>FY 2029</w:t>
            </w:r>
          </w:p>
        </w:tc>
        <w:tc>
          <w:tcPr>
            <w:tcW w:w="0" w:type="auto"/>
            <w:tcBorders>
              <w:top w:val="single" w:sz="1" w:space="0" w:color="000000"/>
              <w:left w:val="single" w:sz="1" w:space="0" w:color="000000"/>
              <w:bottom w:val="single" w:sz="1" w:space="0" w:color="000000"/>
            </w:tcBorders>
          </w:tcPr>
          <w:p w14:paraId="5C409809" w14:textId="77777777" w:rsidR="00492CA7" w:rsidRDefault="00000000">
            <w:r>
              <w:t>$100M</w:t>
            </w:r>
          </w:p>
        </w:tc>
        <w:tc>
          <w:tcPr>
            <w:tcW w:w="0" w:type="auto"/>
            <w:tcBorders>
              <w:top w:val="single" w:sz="1" w:space="0" w:color="000000"/>
              <w:left w:val="single" w:sz="1" w:space="0" w:color="000000"/>
              <w:bottom w:val="single" w:sz="1" w:space="0" w:color="000000"/>
            </w:tcBorders>
          </w:tcPr>
          <w:p w14:paraId="35156604" w14:textId="77777777" w:rsidR="00492CA7" w:rsidRDefault="00000000">
            <w:r>
              <w:t>$140M</w:t>
            </w:r>
          </w:p>
        </w:tc>
        <w:tc>
          <w:tcPr>
            <w:tcW w:w="0" w:type="auto"/>
            <w:tcBorders>
              <w:top w:val="single" w:sz="1" w:space="0" w:color="000000"/>
              <w:left w:val="single" w:sz="1" w:space="0" w:color="000000"/>
              <w:bottom w:val="single" w:sz="1" w:space="0" w:color="000000"/>
            </w:tcBorders>
          </w:tcPr>
          <w:p w14:paraId="10F76BA4" w14:textId="77777777" w:rsidR="00492CA7" w:rsidRDefault="00000000">
            <w:r>
              <w:t>$100M</w:t>
            </w:r>
          </w:p>
        </w:tc>
        <w:tc>
          <w:tcPr>
            <w:tcW w:w="0" w:type="auto"/>
            <w:tcBorders>
              <w:top w:val="single" w:sz="1" w:space="0" w:color="000000"/>
              <w:left w:val="single" w:sz="1" w:space="0" w:color="000000"/>
              <w:bottom w:val="single" w:sz="1" w:space="0" w:color="000000"/>
            </w:tcBorders>
          </w:tcPr>
          <w:p w14:paraId="7EE9314A" w14:textId="77777777" w:rsidR="00492CA7" w:rsidRDefault="00000000">
            <w:r>
              <w:rPr>
                <w:b/>
              </w:rPr>
              <w:t>$340M</w:t>
            </w:r>
          </w:p>
        </w:tc>
      </w:tr>
      <w:tr w:rsidR="00492CA7" w14:paraId="75FDF104" w14:textId="77777777">
        <w:trPr>
          <w:cantSplit/>
          <w:tblCellSpacing w:w="0" w:type="dxa"/>
          <w:jc w:val="center"/>
        </w:trPr>
        <w:tc>
          <w:tcPr>
            <w:tcW w:w="0" w:type="auto"/>
            <w:tcBorders>
              <w:top w:val="single" w:sz="1" w:space="0" w:color="000000"/>
              <w:bottom w:val="single" w:sz="1" w:space="0" w:color="000000"/>
            </w:tcBorders>
          </w:tcPr>
          <w:p w14:paraId="63AFCF77" w14:textId="77777777" w:rsidR="00492CA7" w:rsidRDefault="00000000">
            <w:r>
              <w:t>FY 2030</w:t>
            </w:r>
          </w:p>
        </w:tc>
        <w:tc>
          <w:tcPr>
            <w:tcW w:w="0" w:type="auto"/>
            <w:tcBorders>
              <w:top w:val="single" w:sz="1" w:space="0" w:color="000000"/>
              <w:left w:val="single" w:sz="1" w:space="0" w:color="000000"/>
              <w:bottom w:val="single" w:sz="1" w:space="0" w:color="000000"/>
            </w:tcBorders>
          </w:tcPr>
          <w:p w14:paraId="6AB6E849" w14:textId="77777777" w:rsidR="00492CA7" w:rsidRDefault="00000000">
            <w:r>
              <w:t>$120M</w:t>
            </w:r>
          </w:p>
        </w:tc>
        <w:tc>
          <w:tcPr>
            <w:tcW w:w="0" w:type="auto"/>
            <w:tcBorders>
              <w:top w:val="single" w:sz="1" w:space="0" w:color="000000"/>
              <w:left w:val="single" w:sz="1" w:space="0" w:color="000000"/>
              <w:bottom w:val="single" w:sz="1" w:space="0" w:color="000000"/>
            </w:tcBorders>
          </w:tcPr>
          <w:p w14:paraId="05FA337B" w14:textId="77777777" w:rsidR="00492CA7" w:rsidRDefault="00000000">
            <w:r>
              <w:t>$180M</w:t>
            </w:r>
          </w:p>
        </w:tc>
        <w:tc>
          <w:tcPr>
            <w:tcW w:w="0" w:type="auto"/>
            <w:tcBorders>
              <w:top w:val="single" w:sz="1" w:space="0" w:color="000000"/>
              <w:left w:val="single" w:sz="1" w:space="0" w:color="000000"/>
              <w:bottom w:val="single" w:sz="1" w:space="0" w:color="000000"/>
            </w:tcBorders>
          </w:tcPr>
          <w:p w14:paraId="6A95ABEE" w14:textId="77777777" w:rsidR="00492CA7" w:rsidRDefault="00000000">
            <w:r>
              <w:t>$150M</w:t>
            </w:r>
          </w:p>
        </w:tc>
        <w:tc>
          <w:tcPr>
            <w:tcW w:w="0" w:type="auto"/>
            <w:tcBorders>
              <w:top w:val="single" w:sz="1" w:space="0" w:color="000000"/>
              <w:left w:val="single" w:sz="1" w:space="0" w:color="000000"/>
              <w:bottom w:val="single" w:sz="1" w:space="0" w:color="000000"/>
            </w:tcBorders>
          </w:tcPr>
          <w:p w14:paraId="0AF1B6C9" w14:textId="77777777" w:rsidR="00492CA7" w:rsidRDefault="00000000">
            <w:r>
              <w:rPr>
                <w:b/>
              </w:rPr>
              <w:t>$450M</w:t>
            </w:r>
          </w:p>
        </w:tc>
      </w:tr>
      <w:tr w:rsidR="00492CA7" w14:paraId="0F33CD1A" w14:textId="77777777">
        <w:trPr>
          <w:cantSplit/>
          <w:tblCellSpacing w:w="0" w:type="dxa"/>
          <w:jc w:val="center"/>
        </w:trPr>
        <w:tc>
          <w:tcPr>
            <w:tcW w:w="0" w:type="auto"/>
            <w:tcBorders>
              <w:top w:val="single" w:sz="1" w:space="0" w:color="000000"/>
              <w:bottom w:val="single" w:sz="1" w:space="0" w:color="000000"/>
            </w:tcBorders>
          </w:tcPr>
          <w:p w14:paraId="2A1428E8" w14:textId="77777777" w:rsidR="00492CA7" w:rsidRDefault="00000000">
            <w:r>
              <w:rPr>
                <w:rFonts w:eastAsia="Georgia" w:hAnsi="Georgia" w:cs="Georgia"/>
              </w:rPr>
              <w:t>FY 2031–2035</w:t>
            </w:r>
          </w:p>
        </w:tc>
        <w:tc>
          <w:tcPr>
            <w:tcW w:w="0" w:type="auto"/>
            <w:tcBorders>
              <w:top w:val="single" w:sz="1" w:space="0" w:color="000000"/>
              <w:left w:val="single" w:sz="1" w:space="0" w:color="000000"/>
              <w:bottom w:val="single" w:sz="1" w:space="0" w:color="000000"/>
            </w:tcBorders>
          </w:tcPr>
          <w:p w14:paraId="627208E5" w14:textId="77777777" w:rsidR="00492CA7" w:rsidRDefault="00000000">
            <w:r>
              <w:rPr>
                <w:rFonts w:eastAsia="Georgia" w:hAnsi="Georgia" w:cs="Georgia"/>
              </w:rPr>
              <w:t>$120M–$150M</w:t>
            </w:r>
          </w:p>
        </w:tc>
        <w:tc>
          <w:tcPr>
            <w:tcW w:w="0" w:type="auto"/>
            <w:tcBorders>
              <w:top w:val="single" w:sz="1" w:space="0" w:color="000000"/>
              <w:left w:val="single" w:sz="1" w:space="0" w:color="000000"/>
              <w:bottom w:val="single" w:sz="1" w:space="0" w:color="000000"/>
            </w:tcBorders>
          </w:tcPr>
          <w:p w14:paraId="4BCC375F" w14:textId="77777777" w:rsidR="00492CA7" w:rsidRDefault="00000000">
            <w:r>
              <w:rPr>
                <w:rFonts w:eastAsia="Georgia" w:hAnsi="Georgia" w:cs="Georgia"/>
              </w:rPr>
              <w:t>$180M–$250M</w:t>
            </w:r>
          </w:p>
        </w:tc>
        <w:tc>
          <w:tcPr>
            <w:tcW w:w="0" w:type="auto"/>
            <w:tcBorders>
              <w:top w:val="single" w:sz="1" w:space="0" w:color="000000"/>
              <w:left w:val="single" w:sz="1" w:space="0" w:color="000000"/>
              <w:bottom w:val="single" w:sz="1" w:space="0" w:color="000000"/>
            </w:tcBorders>
          </w:tcPr>
          <w:p w14:paraId="74750CDA" w14:textId="77777777" w:rsidR="00492CA7" w:rsidRDefault="00000000">
            <w:r>
              <w:rPr>
                <w:rFonts w:eastAsia="Georgia" w:hAnsi="Georgia" w:cs="Georgia"/>
              </w:rPr>
              <w:t>$150M–$280M</w:t>
            </w:r>
          </w:p>
        </w:tc>
        <w:tc>
          <w:tcPr>
            <w:tcW w:w="0" w:type="auto"/>
            <w:tcBorders>
              <w:top w:val="single" w:sz="1" w:space="0" w:color="000000"/>
              <w:left w:val="single" w:sz="1" w:space="0" w:color="000000"/>
              <w:bottom w:val="single" w:sz="1" w:space="0" w:color="000000"/>
            </w:tcBorders>
          </w:tcPr>
          <w:p w14:paraId="497B0320" w14:textId="77777777" w:rsidR="00492CA7" w:rsidRDefault="00000000">
            <w:r>
              <w:rPr>
                <w:b/>
              </w:rPr>
              <w:t>$450M</w:t>
            </w:r>
            <w:r>
              <w:rPr>
                <w:b/>
              </w:rPr>
              <w:t>–</w:t>
            </w:r>
            <w:r>
              <w:rPr>
                <w:b/>
              </w:rPr>
              <w:t>$680M</w:t>
            </w:r>
          </w:p>
        </w:tc>
      </w:tr>
    </w:tbl>
    <w:p w14:paraId="51501631" w14:textId="77777777" w:rsidR="00492CA7" w:rsidRDefault="00492CA7"/>
    <w:p w14:paraId="0870350A" w14:textId="77777777" w:rsidR="00492CA7" w:rsidRDefault="00000000">
      <w:pPr>
        <w:spacing w:after="210"/>
      </w:pPr>
      <w:r>
        <w:t xml:space="preserve">(b) </w:t>
      </w:r>
      <w:r>
        <w:rPr>
          <w:b/>
        </w:rPr>
        <w:t>Source of Funds.</w:t>
      </w:r>
      <w:r>
        <w:t xml:space="preserve"> The SRB shall be funded through the following reallocation mechanisms without requiring new City revenue:</w:t>
      </w:r>
    </w:p>
    <w:p w14:paraId="53AF6EF0" w14:textId="77777777" w:rsidR="00492CA7" w:rsidRDefault="00000000">
      <w:pPr>
        <w:numPr>
          <w:ilvl w:val="0"/>
          <w:numId w:val="12"/>
        </w:numPr>
        <w:spacing w:after="210"/>
      </w:pPr>
      <w:r>
        <w:t xml:space="preserve">(i) </w:t>
      </w:r>
      <w:r>
        <w:rPr>
          <w:b/>
        </w:rPr>
        <w:t>HPD Reallocation:</w:t>
      </w:r>
      <w:r>
        <w:rPr>
          <w:rFonts w:eastAsia="Georgia" w:hAnsi="Georgia" w:cs="Georgia"/>
        </w:rPr>
        <w:t xml:space="preserve"> Consolidation of scattered-site subsidy accounts and reduction of direct rental assistance in favor of ownership pathways. Estimated annual savings: $80M–$150M (by redirecting same-household subsidy from perpetual rental support to time-limited ownership-conversion assistance).</w:t>
      </w:r>
    </w:p>
    <w:p w14:paraId="0C3FD0C5" w14:textId="77777777" w:rsidR="00492CA7" w:rsidRDefault="00000000">
      <w:pPr>
        <w:numPr>
          <w:ilvl w:val="0"/>
          <w:numId w:val="12"/>
        </w:numPr>
        <w:spacing w:after="210"/>
      </w:pPr>
      <w:r>
        <w:t xml:space="preserve">(ii) </w:t>
      </w:r>
      <w:r>
        <w:rPr>
          <w:b/>
        </w:rPr>
        <w:t>HRA Reallocation:</w:t>
      </w:r>
      <w:r>
        <w:rPr>
          <w:rFonts w:eastAsia="Georgia" w:hAnsi="Georgia" w:cs="Georgia"/>
        </w:rPr>
        <w:t xml:space="preserve"> Tiered reduction in Emergency Rental Assistance and CityFHEPS expenditure as eligible households convert to ownership (estimated 15–20% of caseload annually). Estimated savings: $120M–$200M over 10 years.</w:t>
      </w:r>
    </w:p>
    <w:p w14:paraId="0738D868" w14:textId="77777777" w:rsidR="00492CA7" w:rsidRDefault="00000000">
      <w:pPr>
        <w:numPr>
          <w:ilvl w:val="0"/>
          <w:numId w:val="12"/>
        </w:numPr>
        <w:spacing w:after="210"/>
      </w:pPr>
      <w:r>
        <w:t xml:space="preserve">(iii) </w:t>
      </w:r>
      <w:r>
        <w:rPr>
          <w:b/>
        </w:rPr>
        <w:t>NYCHA Reallocation:</w:t>
      </w:r>
      <w:r>
        <w:rPr>
          <w:rFonts w:eastAsia="Georgia" w:hAnsi="Georgia" w:cs="Georgia"/>
        </w:rPr>
        <w:t xml:space="preserve"> Reduction in operating deficits via conversion of lower-performing buildings to resident cooperative ownership (reducing NYCHA's direct operating cost burden). Estimated savings: $40M–$150M over 10 years.</w:t>
      </w:r>
    </w:p>
    <w:p w14:paraId="2AD2C228" w14:textId="77777777" w:rsidR="00492CA7" w:rsidRDefault="00000000">
      <w:pPr>
        <w:spacing w:after="210"/>
      </w:pPr>
      <w:r>
        <w:t xml:space="preserve">(c) </w:t>
      </w:r>
      <w:r>
        <w:rPr>
          <w:b/>
        </w:rPr>
        <w:t>Uses of SRB.</w:t>
      </w:r>
    </w:p>
    <w:p w14:paraId="726F5118" w14:textId="77777777" w:rsidR="00492CA7" w:rsidRDefault="00000000">
      <w:pPr>
        <w:spacing w:after="210"/>
      </w:pPr>
      <w:r>
        <w:t>The SRB shall be allocated as follows: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732"/>
        <w:gridCol w:w="1108"/>
        <w:gridCol w:w="1920"/>
        <w:gridCol w:w="1924"/>
      </w:tblGrid>
      <w:tr w:rsidR="00492CA7" w14:paraId="5EFCD9BF" w14:textId="77777777">
        <w:trPr>
          <w:cantSplit/>
          <w:tblCellSpacing w:w="0" w:type="dxa"/>
          <w:jc w:val="center"/>
        </w:trPr>
        <w:tc>
          <w:tcPr>
            <w:tcW w:w="0" w:type="auto"/>
            <w:tcBorders>
              <w:top w:val="single" w:sz="1" w:space="0" w:color="000000"/>
              <w:bottom w:val="single" w:sz="1" w:space="0" w:color="000000"/>
            </w:tcBorders>
          </w:tcPr>
          <w:p w14:paraId="3386FA62" w14:textId="77777777" w:rsidR="00492CA7" w:rsidRDefault="00000000">
            <w:r>
              <w:t>Use Category</w:t>
            </w:r>
          </w:p>
        </w:tc>
        <w:tc>
          <w:tcPr>
            <w:tcW w:w="0" w:type="auto"/>
            <w:tcBorders>
              <w:top w:val="single" w:sz="1" w:space="0" w:color="000000"/>
              <w:left w:val="single" w:sz="1" w:space="0" w:color="000000"/>
              <w:bottom w:val="single" w:sz="1" w:space="0" w:color="000000"/>
            </w:tcBorders>
          </w:tcPr>
          <w:p w14:paraId="5C405465" w14:textId="77777777" w:rsidR="00492CA7" w:rsidRDefault="00000000">
            <w:r>
              <w:t>FY 2026</w:t>
            </w:r>
          </w:p>
        </w:tc>
        <w:tc>
          <w:tcPr>
            <w:tcW w:w="0" w:type="auto"/>
            <w:tcBorders>
              <w:top w:val="single" w:sz="1" w:space="0" w:color="000000"/>
              <w:left w:val="single" w:sz="1" w:space="0" w:color="000000"/>
              <w:bottom w:val="single" w:sz="1" w:space="0" w:color="000000"/>
            </w:tcBorders>
          </w:tcPr>
          <w:p w14:paraId="2AF29BE2" w14:textId="77777777" w:rsidR="00492CA7" w:rsidRDefault="00000000">
            <w:r>
              <w:rPr>
                <w:rFonts w:eastAsia="Georgia" w:hAnsi="Georgia" w:cs="Georgia"/>
              </w:rPr>
              <w:t>FY 2027–2030</w:t>
            </w:r>
          </w:p>
        </w:tc>
        <w:tc>
          <w:tcPr>
            <w:tcW w:w="0" w:type="auto"/>
            <w:tcBorders>
              <w:top w:val="single" w:sz="1" w:space="0" w:color="000000"/>
              <w:left w:val="single" w:sz="1" w:space="0" w:color="000000"/>
              <w:bottom w:val="single" w:sz="1" w:space="0" w:color="000000"/>
            </w:tcBorders>
          </w:tcPr>
          <w:p w14:paraId="3852E3E0" w14:textId="77777777" w:rsidR="00492CA7" w:rsidRDefault="00000000">
            <w:r>
              <w:rPr>
                <w:rFonts w:eastAsia="Georgia" w:hAnsi="Georgia" w:cs="Georgia"/>
              </w:rPr>
              <w:t>FY 2031–2035</w:t>
            </w:r>
          </w:p>
        </w:tc>
      </w:tr>
      <w:tr w:rsidR="00492CA7" w14:paraId="46D83D7F" w14:textId="77777777">
        <w:trPr>
          <w:cantSplit/>
          <w:tblCellSpacing w:w="0" w:type="dxa"/>
          <w:jc w:val="center"/>
        </w:trPr>
        <w:tc>
          <w:tcPr>
            <w:tcW w:w="0" w:type="auto"/>
            <w:tcBorders>
              <w:top w:val="single" w:sz="1" w:space="0" w:color="000000"/>
              <w:bottom w:val="single" w:sz="1" w:space="0" w:color="000000"/>
            </w:tcBorders>
          </w:tcPr>
          <w:p w14:paraId="253A5845" w14:textId="77777777" w:rsidR="00492CA7" w:rsidRDefault="00000000">
            <w:r>
              <w:t>Down payment assistance (HPD)</w:t>
            </w:r>
          </w:p>
        </w:tc>
        <w:tc>
          <w:tcPr>
            <w:tcW w:w="0" w:type="auto"/>
            <w:tcBorders>
              <w:top w:val="single" w:sz="1" w:space="0" w:color="000000"/>
              <w:left w:val="single" w:sz="1" w:space="0" w:color="000000"/>
              <w:bottom w:val="single" w:sz="1" w:space="0" w:color="000000"/>
            </w:tcBorders>
          </w:tcPr>
          <w:p w14:paraId="4A59076A" w14:textId="77777777" w:rsidR="00492CA7" w:rsidRDefault="00000000">
            <w:r>
              <w:t>$50M</w:t>
            </w:r>
          </w:p>
        </w:tc>
        <w:tc>
          <w:tcPr>
            <w:tcW w:w="0" w:type="auto"/>
            <w:tcBorders>
              <w:top w:val="single" w:sz="1" w:space="0" w:color="000000"/>
              <w:left w:val="single" w:sz="1" w:space="0" w:color="000000"/>
              <w:bottom w:val="single" w:sz="1" w:space="0" w:color="000000"/>
            </w:tcBorders>
          </w:tcPr>
          <w:p w14:paraId="547E37C3" w14:textId="77777777" w:rsidR="00492CA7" w:rsidRDefault="00000000">
            <w:r>
              <w:rPr>
                <w:rFonts w:eastAsia="Georgia" w:hAnsi="Georgia" w:cs="Georgia"/>
              </w:rPr>
              <w:t>$80M–$120M</w:t>
            </w:r>
          </w:p>
        </w:tc>
        <w:tc>
          <w:tcPr>
            <w:tcW w:w="0" w:type="auto"/>
            <w:tcBorders>
              <w:top w:val="single" w:sz="1" w:space="0" w:color="000000"/>
              <w:left w:val="single" w:sz="1" w:space="0" w:color="000000"/>
              <w:bottom w:val="single" w:sz="1" w:space="0" w:color="000000"/>
            </w:tcBorders>
          </w:tcPr>
          <w:p w14:paraId="092E0DE8" w14:textId="77777777" w:rsidR="00492CA7" w:rsidRDefault="00000000">
            <w:r>
              <w:rPr>
                <w:rFonts w:eastAsia="Georgia" w:hAnsi="Georgia" w:cs="Georgia"/>
              </w:rPr>
              <w:t>$120M–$150M</w:t>
            </w:r>
          </w:p>
        </w:tc>
      </w:tr>
      <w:tr w:rsidR="00492CA7" w14:paraId="1F5D4877" w14:textId="77777777">
        <w:trPr>
          <w:cantSplit/>
          <w:tblCellSpacing w:w="0" w:type="dxa"/>
          <w:jc w:val="center"/>
        </w:trPr>
        <w:tc>
          <w:tcPr>
            <w:tcW w:w="0" w:type="auto"/>
            <w:tcBorders>
              <w:top w:val="single" w:sz="1" w:space="0" w:color="000000"/>
              <w:bottom w:val="single" w:sz="1" w:space="0" w:color="000000"/>
            </w:tcBorders>
          </w:tcPr>
          <w:p w14:paraId="70BBFE29" w14:textId="77777777" w:rsidR="00492CA7" w:rsidRDefault="00000000">
            <w:r>
              <w:t>Covenant financing (HRA)</w:t>
            </w:r>
          </w:p>
        </w:tc>
        <w:tc>
          <w:tcPr>
            <w:tcW w:w="0" w:type="auto"/>
            <w:tcBorders>
              <w:top w:val="single" w:sz="1" w:space="0" w:color="000000"/>
              <w:left w:val="single" w:sz="1" w:space="0" w:color="000000"/>
              <w:bottom w:val="single" w:sz="1" w:space="0" w:color="000000"/>
            </w:tcBorders>
          </w:tcPr>
          <w:p w14:paraId="7712609B" w14:textId="77777777" w:rsidR="00492CA7" w:rsidRDefault="00000000">
            <w:r>
              <w:t>$60M</w:t>
            </w:r>
          </w:p>
        </w:tc>
        <w:tc>
          <w:tcPr>
            <w:tcW w:w="0" w:type="auto"/>
            <w:tcBorders>
              <w:top w:val="single" w:sz="1" w:space="0" w:color="000000"/>
              <w:left w:val="single" w:sz="1" w:space="0" w:color="000000"/>
              <w:bottom w:val="single" w:sz="1" w:space="0" w:color="000000"/>
            </w:tcBorders>
          </w:tcPr>
          <w:p w14:paraId="171101F0" w14:textId="77777777" w:rsidR="00492CA7" w:rsidRDefault="00000000">
            <w:r>
              <w:rPr>
                <w:rFonts w:eastAsia="Georgia" w:hAnsi="Georgia" w:cs="Georgia"/>
              </w:rPr>
              <w:t>$120M–$180M</w:t>
            </w:r>
          </w:p>
        </w:tc>
        <w:tc>
          <w:tcPr>
            <w:tcW w:w="0" w:type="auto"/>
            <w:tcBorders>
              <w:top w:val="single" w:sz="1" w:space="0" w:color="000000"/>
              <w:left w:val="single" w:sz="1" w:space="0" w:color="000000"/>
              <w:bottom w:val="single" w:sz="1" w:space="0" w:color="000000"/>
            </w:tcBorders>
          </w:tcPr>
          <w:p w14:paraId="02840FC2" w14:textId="77777777" w:rsidR="00492CA7" w:rsidRDefault="00000000">
            <w:r>
              <w:rPr>
                <w:rFonts w:eastAsia="Georgia" w:hAnsi="Georgia" w:cs="Georgia"/>
              </w:rPr>
              <w:t>$180M–$250M</w:t>
            </w:r>
          </w:p>
        </w:tc>
      </w:tr>
      <w:tr w:rsidR="00492CA7" w14:paraId="058926C8" w14:textId="77777777">
        <w:trPr>
          <w:cantSplit/>
          <w:tblCellSpacing w:w="0" w:type="dxa"/>
          <w:jc w:val="center"/>
        </w:trPr>
        <w:tc>
          <w:tcPr>
            <w:tcW w:w="0" w:type="auto"/>
            <w:tcBorders>
              <w:top w:val="single" w:sz="1" w:space="0" w:color="000000"/>
              <w:bottom w:val="single" w:sz="1" w:space="0" w:color="000000"/>
            </w:tcBorders>
          </w:tcPr>
          <w:p w14:paraId="58B1BF8B" w14:textId="77777777" w:rsidR="00492CA7" w:rsidRDefault="00000000">
            <w:r>
              <w:t>NYCHA resident ownership (NYCHA)</w:t>
            </w:r>
          </w:p>
        </w:tc>
        <w:tc>
          <w:tcPr>
            <w:tcW w:w="0" w:type="auto"/>
            <w:tcBorders>
              <w:top w:val="single" w:sz="1" w:space="0" w:color="000000"/>
              <w:left w:val="single" w:sz="1" w:space="0" w:color="000000"/>
              <w:bottom w:val="single" w:sz="1" w:space="0" w:color="000000"/>
            </w:tcBorders>
          </w:tcPr>
          <w:p w14:paraId="360E1ED3" w14:textId="77777777" w:rsidR="00492CA7" w:rsidRDefault="00000000">
            <w:r>
              <w:t>$40M</w:t>
            </w:r>
          </w:p>
        </w:tc>
        <w:tc>
          <w:tcPr>
            <w:tcW w:w="0" w:type="auto"/>
            <w:tcBorders>
              <w:top w:val="single" w:sz="1" w:space="0" w:color="000000"/>
              <w:left w:val="single" w:sz="1" w:space="0" w:color="000000"/>
              <w:bottom w:val="single" w:sz="1" w:space="0" w:color="000000"/>
            </w:tcBorders>
          </w:tcPr>
          <w:p w14:paraId="56C14AA2" w14:textId="77777777" w:rsidR="00492CA7" w:rsidRDefault="00000000">
            <w:r>
              <w:rPr>
                <w:rFonts w:eastAsia="Georgia" w:hAnsi="Georgia" w:cs="Georgia"/>
              </w:rPr>
              <w:t>$100M–$150M</w:t>
            </w:r>
          </w:p>
        </w:tc>
        <w:tc>
          <w:tcPr>
            <w:tcW w:w="0" w:type="auto"/>
            <w:tcBorders>
              <w:top w:val="single" w:sz="1" w:space="0" w:color="000000"/>
              <w:left w:val="single" w:sz="1" w:space="0" w:color="000000"/>
              <w:bottom w:val="single" w:sz="1" w:space="0" w:color="000000"/>
            </w:tcBorders>
          </w:tcPr>
          <w:p w14:paraId="50591BB7" w14:textId="77777777" w:rsidR="00492CA7" w:rsidRDefault="00000000">
            <w:r>
              <w:rPr>
                <w:rFonts w:eastAsia="Georgia" w:hAnsi="Georgia" w:cs="Georgia"/>
              </w:rPr>
              <w:t>$150M–$280M</w:t>
            </w:r>
          </w:p>
        </w:tc>
      </w:tr>
      <w:tr w:rsidR="00492CA7" w14:paraId="5DBBCF1E" w14:textId="77777777">
        <w:trPr>
          <w:cantSplit/>
          <w:tblCellSpacing w:w="0" w:type="dxa"/>
          <w:jc w:val="center"/>
        </w:trPr>
        <w:tc>
          <w:tcPr>
            <w:tcW w:w="0" w:type="auto"/>
            <w:tcBorders>
              <w:top w:val="single" w:sz="1" w:space="0" w:color="000000"/>
              <w:bottom w:val="single" w:sz="1" w:space="0" w:color="000000"/>
            </w:tcBorders>
          </w:tcPr>
          <w:p w14:paraId="79A17E53" w14:textId="77777777" w:rsidR="00492CA7" w:rsidRDefault="00000000">
            <w:r>
              <w:rPr>
                <w:b/>
              </w:rPr>
              <w:t>Total</w:t>
            </w:r>
          </w:p>
        </w:tc>
        <w:tc>
          <w:tcPr>
            <w:tcW w:w="0" w:type="auto"/>
            <w:tcBorders>
              <w:top w:val="single" w:sz="1" w:space="0" w:color="000000"/>
              <w:left w:val="single" w:sz="1" w:space="0" w:color="000000"/>
              <w:bottom w:val="single" w:sz="1" w:space="0" w:color="000000"/>
            </w:tcBorders>
          </w:tcPr>
          <w:p w14:paraId="437834C8" w14:textId="77777777" w:rsidR="00492CA7" w:rsidRDefault="00000000">
            <w:r>
              <w:rPr>
                <w:b/>
              </w:rPr>
              <w:t>$150M</w:t>
            </w:r>
          </w:p>
        </w:tc>
        <w:tc>
          <w:tcPr>
            <w:tcW w:w="0" w:type="auto"/>
            <w:tcBorders>
              <w:top w:val="single" w:sz="1" w:space="0" w:color="000000"/>
              <w:left w:val="single" w:sz="1" w:space="0" w:color="000000"/>
              <w:bottom w:val="single" w:sz="1" w:space="0" w:color="000000"/>
            </w:tcBorders>
          </w:tcPr>
          <w:p w14:paraId="758DB571" w14:textId="77777777" w:rsidR="00492CA7" w:rsidRDefault="00000000">
            <w:r>
              <w:rPr>
                <w:b/>
              </w:rPr>
              <w:t>$300M</w:t>
            </w:r>
            <w:r>
              <w:rPr>
                <w:b/>
              </w:rPr>
              <w:t>–</w:t>
            </w:r>
            <w:r>
              <w:rPr>
                <w:b/>
              </w:rPr>
              <w:t>$450M</w:t>
            </w:r>
          </w:p>
        </w:tc>
        <w:tc>
          <w:tcPr>
            <w:tcW w:w="0" w:type="auto"/>
            <w:tcBorders>
              <w:top w:val="single" w:sz="1" w:space="0" w:color="000000"/>
              <w:left w:val="single" w:sz="1" w:space="0" w:color="000000"/>
              <w:bottom w:val="single" w:sz="1" w:space="0" w:color="000000"/>
            </w:tcBorders>
          </w:tcPr>
          <w:p w14:paraId="5876B99E" w14:textId="77777777" w:rsidR="00492CA7" w:rsidRDefault="00000000">
            <w:r>
              <w:rPr>
                <w:b/>
              </w:rPr>
              <w:t>$450M</w:t>
            </w:r>
            <w:r>
              <w:rPr>
                <w:b/>
              </w:rPr>
              <w:t>–</w:t>
            </w:r>
            <w:r>
              <w:rPr>
                <w:b/>
              </w:rPr>
              <w:t>$680M</w:t>
            </w:r>
          </w:p>
        </w:tc>
      </w:tr>
    </w:tbl>
    <w:p w14:paraId="0905A13F" w14:textId="77777777" w:rsidR="00492CA7" w:rsidRDefault="00492CA7"/>
    <w:p w14:paraId="38079E37" w14:textId="77777777" w:rsidR="00492CA7" w:rsidRDefault="00BB14A2">
      <w:r>
        <w:rPr>
          <w:noProof/>
        </w:rPr>
        <w:pict w14:anchorId="0DDE992A">
          <v:rect id="_x0000_i1061" alt="" style="width:434.5pt;height:.05pt;mso-width-percent:0;mso-height-percent:0;mso-width-percent:0;mso-height-percent:0" o:hralign="center" o:hrstd="t" o:hr="t"/>
        </w:pict>
      </w:r>
    </w:p>
    <w:p w14:paraId="174D83E4" w14:textId="77777777" w:rsidR="00492CA7" w:rsidRDefault="00000000">
      <w:pPr>
        <w:spacing w:after="210"/>
      </w:pPr>
      <w:r>
        <w:t xml:space="preserve">4.2 </w:t>
      </w:r>
      <w:r>
        <w:rPr>
          <w:b/>
        </w:rPr>
        <w:t>Subsidy Conversion Mechanics: From Rental to Ownership.</w:t>
      </w:r>
    </w:p>
    <w:p w14:paraId="13C9887D" w14:textId="77777777" w:rsidR="00492CA7" w:rsidRDefault="00000000">
      <w:pPr>
        <w:spacing w:after="210"/>
      </w:pPr>
      <w:r>
        <w:t xml:space="preserve">(a) </w:t>
      </w:r>
      <w:r>
        <w:rPr>
          <w:b/>
        </w:rPr>
        <w:t>Voluntary Transition Process.</w:t>
      </w:r>
    </w:p>
    <w:p w14:paraId="3585E1E7" w14:textId="77777777" w:rsidR="00492CA7" w:rsidRDefault="00000000">
      <w:pPr>
        <w:spacing w:after="210"/>
      </w:pPr>
      <w:r>
        <w:t xml:space="preserve">Eligible Households receiving rental assistance may elect to convert their subsidy to </w:t>
      </w:r>
      <w:r>
        <w:rPr>
          <w:b/>
        </w:rPr>
        <w:t>Ownership Conversion Capital (OCC)</w:t>
      </w:r>
      <w:r>
        <w:t xml:space="preserve"> via the following process:</w:t>
      </w:r>
    </w:p>
    <w:p w14:paraId="6C382120" w14:textId="77777777" w:rsidR="00492CA7" w:rsidRDefault="00000000">
      <w:pPr>
        <w:numPr>
          <w:ilvl w:val="0"/>
          <w:numId w:val="13"/>
        </w:numPr>
        <w:spacing w:after="210"/>
      </w:pPr>
      <w:r>
        <w:t xml:space="preserve">(i) </w:t>
      </w:r>
      <w:r>
        <w:rPr>
          <w:b/>
        </w:rPr>
        <w:t>Year 1:</w:t>
      </w:r>
      <w:r>
        <w:rPr>
          <w:rFonts w:eastAsia="Georgia" w:hAnsi="Georgia" w:cs="Georgia"/>
        </w:rPr>
        <w:t xml:space="preserve"> Household identified as Eligible (≤120% AMI, 3+ years on-time payment), offered voluntary enrollment in PET Framework,</w:t>
      </w:r>
    </w:p>
    <w:p w14:paraId="405BAA08" w14:textId="77777777" w:rsidR="00492CA7" w:rsidRDefault="00000000">
      <w:pPr>
        <w:numPr>
          <w:ilvl w:val="0"/>
          <w:numId w:val="13"/>
        </w:numPr>
        <w:spacing w:after="210"/>
      </w:pPr>
      <w:r>
        <w:lastRenderedPageBreak/>
        <w:t xml:space="preserve">(ii) </w:t>
      </w:r>
      <w:r>
        <w:rPr>
          <w:b/>
        </w:rPr>
        <w:t>Year 1</w:t>
      </w:r>
      <w:r>
        <w:rPr>
          <w:b/>
        </w:rPr>
        <w:t>–</w:t>
      </w:r>
      <w:r>
        <w:rPr>
          <w:b/>
        </w:rPr>
        <w:t>2:</w:t>
      </w:r>
      <w:r>
        <w:t xml:space="preserve"> Mandatory participation in 24-hour financial literacy + homeownership readiness curriculum (administered by HPD-contracted nonprofits),</w:t>
      </w:r>
    </w:p>
    <w:p w14:paraId="1796D3D8" w14:textId="77777777" w:rsidR="00492CA7" w:rsidRDefault="00000000">
      <w:pPr>
        <w:numPr>
          <w:ilvl w:val="0"/>
          <w:numId w:val="13"/>
        </w:numPr>
        <w:spacing w:after="210"/>
      </w:pPr>
      <w:r>
        <w:t xml:space="preserve">(iii) </w:t>
      </w:r>
      <w:r>
        <w:rPr>
          <w:b/>
        </w:rPr>
        <w:t>Year 2:</w:t>
      </w:r>
      <w:r>
        <w:t xml:space="preserve"> Credit union pre-qualification and down payment assistance application,</w:t>
      </w:r>
    </w:p>
    <w:p w14:paraId="1049BE45" w14:textId="77777777" w:rsidR="00492CA7" w:rsidRDefault="00000000">
      <w:pPr>
        <w:numPr>
          <w:ilvl w:val="0"/>
          <w:numId w:val="13"/>
        </w:numPr>
        <w:spacing w:after="210"/>
      </w:pPr>
      <w:r>
        <w:t xml:space="preserve">(iv) </w:t>
      </w:r>
      <w:r>
        <w:rPr>
          <w:b/>
        </w:rPr>
        <w:t>Year 2</w:t>
      </w:r>
      <w:r>
        <w:rPr>
          <w:b/>
        </w:rPr>
        <w:t>–</w:t>
      </w:r>
      <w:r>
        <w:rPr>
          <w:b/>
        </w:rPr>
        <w:t>3:</w:t>
      </w:r>
      <w:r>
        <w:t xml:space="preserve"> Property identification, inspection, and appraisal; credit union underwriting; CLT or covenant finalization,</w:t>
      </w:r>
    </w:p>
    <w:p w14:paraId="78150467" w14:textId="77777777" w:rsidR="00492CA7" w:rsidRDefault="00000000">
      <w:pPr>
        <w:numPr>
          <w:ilvl w:val="0"/>
          <w:numId w:val="13"/>
        </w:numPr>
        <w:spacing w:after="210"/>
      </w:pPr>
      <w:r>
        <w:t xml:space="preserve">(v) </w:t>
      </w:r>
      <w:r>
        <w:rPr>
          <w:b/>
        </w:rPr>
        <w:t>Year 3:</w:t>
      </w:r>
      <w:r>
        <w:t xml:space="preserve"> Closing; household converts to ownership and subsidy payments redirect to covenant-financing account or cease entirely.</w:t>
      </w:r>
    </w:p>
    <w:p w14:paraId="5956CB1E" w14:textId="77777777" w:rsidR="00492CA7" w:rsidRDefault="00000000">
      <w:pPr>
        <w:spacing w:after="210"/>
      </w:pPr>
      <w:r>
        <w:t xml:space="preserve">(b) </w:t>
      </w:r>
      <w:r>
        <w:rPr>
          <w:b/>
        </w:rPr>
        <w:t>Subsidy Conversion Value.</w:t>
      </w:r>
    </w:p>
    <w:p w14:paraId="71BB26B8" w14:textId="77777777" w:rsidR="00492CA7" w:rsidRDefault="00000000">
      <w:pPr>
        <w:spacing w:after="210"/>
      </w:pPr>
      <w:r>
        <w:t>For households converting rental subsidy to Ownership Conversion Capital, the conversion shall operate as follows:</w:t>
      </w:r>
    </w:p>
    <w:p w14:paraId="33C96578" w14:textId="77777777" w:rsidR="00492CA7" w:rsidRDefault="00000000">
      <w:pPr>
        <w:numPr>
          <w:ilvl w:val="0"/>
          <w:numId w:val="14"/>
        </w:numPr>
        <w:spacing w:after="210"/>
      </w:pPr>
      <w:r>
        <w:t xml:space="preserve">(i) </w:t>
      </w:r>
      <w:r>
        <w:rPr>
          <w:b/>
        </w:rPr>
        <w:t>Baseline subsidy value:</w:t>
      </w:r>
      <w:r>
        <w:t xml:space="preserve"> Monthly rental assistance amount (FMR or actual rent, whichever is lower),</w:t>
      </w:r>
    </w:p>
    <w:p w14:paraId="50467366" w14:textId="57DD9F9F" w:rsidR="00492CA7" w:rsidRDefault="00000000">
      <w:pPr>
        <w:numPr>
          <w:ilvl w:val="0"/>
          <w:numId w:val="14"/>
        </w:numPr>
        <w:spacing w:after="210"/>
      </w:pPr>
      <w:r>
        <w:t xml:space="preserve">(ii) </w:t>
      </w:r>
      <w:r>
        <w:rPr>
          <w:b/>
        </w:rPr>
        <w:t>Capitalization:</w:t>
      </w:r>
      <w:r>
        <w:rPr>
          <w:rFonts w:eastAsia="Georgia" w:hAnsi="Georgia" w:cs="Georgia"/>
        </w:rPr>
        <w:t xml:space="preserve"> Baseline subsidy × 60 months (5-year amortization) = </w:t>
      </w:r>
      <w:r w:rsidR="007F5B4B">
        <w:rPr>
          <w:rFonts w:eastAsia="Georgia" w:hAnsi="Georgia" w:cs="Georgia"/>
        </w:rPr>
        <w:t>lumpsum</w:t>
      </w:r>
      <w:r>
        <w:rPr>
          <w:rFonts w:eastAsia="Georgia" w:hAnsi="Georgia" w:cs="Georgia"/>
        </w:rPr>
        <w:t xml:space="preserve"> down payment assistance grant. Example: household currently receiving $1,500/month subsidy converts to $1,500 × 60 = $90K down payment grant (subject to maximum caps in Section 3.2(b)).</w:t>
      </w:r>
    </w:p>
    <w:p w14:paraId="39C602D8" w14:textId="77777777" w:rsidR="00492CA7" w:rsidRDefault="00000000">
      <w:pPr>
        <w:numPr>
          <w:ilvl w:val="0"/>
          <w:numId w:val="14"/>
        </w:numPr>
        <w:spacing w:after="210"/>
      </w:pPr>
      <w:r>
        <w:t xml:space="preserve">(iii) </w:t>
      </w:r>
      <w:r>
        <w:rPr>
          <w:b/>
        </w:rPr>
        <w:t>Covenant financing option:</w:t>
      </w:r>
      <w:r>
        <w:t xml:space="preserve"> Alternatively, household may elect to maintain subsidy flow (reduced by 50%) for 30 years while making down payment from other sources. Example: household receives $750/month ongoing subsidy + covenant security for 30-year affordability lock.</w:t>
      </w:r>
    </w:p>
    <w:p w14:paraId="7C67FCCB" w14:textId="77777777" w:rsidR="00492CA7" w:rsidRDefault="00BB14A2">
      <w:r>
        <w:rPr>
          <w:noProof/>
        </w:rPr>
        <w:pict w14:anchorId="276D887E">
          <v:rect id="_x0000_i1060" alt="" style="width:434.5pt;height:.05pt;mso-width-percent:0;mso-height-percent:0;mso-width-percent:0;mso-height-percent:0" o:hralign="center" o:hrstd="t" o:hr="t"/>
        </w:pict>
      </w:r>
    </w:p>
    <w:p w14:paraId="3C5A0044" w14:textId="77777777" w:rsidR="00492CA7" w:rsidRDefault="00000000">
      <w:pPr>
        <w:spacing w:before="240" w:line="271" w:lineRule="auto"/>
      </w:pPr>
      <w:bookmarkStart w:id="10" w:name="section_5_tiered_ownership_models_a64107"/>
      <w:r>
        <w:rPr>
          <w:b/>
          <w:sz w:val="33"/>
        </w:rPr>
        <w:t>SECTION 5: TIERED OWNERSHIP MODELS &amp; STRUCTURES</w:t>
      </w:r>
      <w:bookmarkEnd w:id="10"/>
    </w:p>
    <w:p w14:paraId="63C90898" w14:textId="77777777" w:rsidR="00492CA7" w:rsidRDefault="00000000">
      <w:pPr>
        <w:spacing w:after="210"/>
      </w:pPr>
      <w:r>
        <w:t xml:space="preserve">5.1 </w:t>
      </w:r>
      <w:r>
        <w:rPr>
          <w:b/>
        </w:rPr>
        <w:t>Ownership Pathway 1: CLT-Mediated Limited-Equity Cooperatives (LEC).</w:t>
      </w:r>
    </w:p>
    <w:p w14:paraId="325B8B88" w14:textId="77777777" w:rsidR="00492CA7" w:rsidRDefault="00000000">
      <w:pPr>
        <w:spacing w:after="210"/>
      </w:pPr>
      <w:r>
        <w:t xml:space="preserve">(a) </w:t>
      </w:r>
      <w:r>
        <w:rPr>
          <w:b/>
        </w:rPr>
        <w:t>Model Overview.</w:t>
      </w:r>
      <w:r>
        <w:rPr>
          <w:rFonts w:eastAsia="Georgia" w:hAnsi="Georgia" w:cs="Georgia"/>
        </w:rPr>
        <w:t xml:space="preserve"> Community Land Trust holds fee-simple title to building; residents purchase cooperative shares (15–25% of land-adjusted value), securing 99-year occupancy rights.</w:t>
      </w:r>
    </w:p>
    <w:p w14:paraId="7D04B1DA" w14:textId="77777777" w:rsidR="00492CA7" w:rsidRDefault="00000000">
      <w:pPr>
        <w:spacing w:after="210"/>
      </w:pPr>
      <w:r>
        <w:t xml:space="preserve">(b) </w:t>
      </w:r>
      <w:r>
        <w:rPr>
          <w:b/>
        </w:rPr>
        <w:t>Structure:</w:t>
      </w:r>
    </w:p>
    <w:p w14:paraId="3827E30B" w14:textId="77777777" w:rsidR="00492CA7" w:rsidRDefault="00000000">
      <w:pPr>
        <w:numPr>
          <w:ilvl w:val="0"/>
          <w:numId w:val="15"/>
        </w:numPr>
      </w:pPr>
      <w:r>
        <w:t>(i) CLT owns land and building shell (100% retained),</w:t>
      </w:r>
    </w:p>
    <w:p w14:paraId="6D3DF795" w14:textId="77777777" w:rsidR="00492CA7" w:rsidRDefault="00000000">
      <w:pPr>
        <w:numPr>
          <w:ilvl w:val="0"/>
          <w:numId w:val="15"/>
        </w:numPr>
      </w:pPr>
      <w:r>
        <w:t>(ii) Resident cooperative owns interior improvements and operating entity,</w:t>
      </w:r>
    </w:p>
    <w:p w14:paraId="7D50001E" w14:textId="77777777" w:rsidR="00492CA7" w:rsidRDefault="00000000">
      <w:pPr>
        <w:numPr>
          <w:ilvl w:val="0"/>
          <w:numId w:val="15"/>
        </w:numPr>
      </w:pPr>
      <w:r>
        <w:rPr>
          <w:rFonts w:eastAsia="Georgia" w:hAnsi="Georgia" w:cs="Georgia"/>
        </w:rPr>
        <w:t>(iii) Each resident-owner purchases one share ($35K–$45K, funded by down payment assistance + credit union share loan),</w:t>
      </w:r>
    </w:p>
    <w:p w14:paraId="01217BCF" w14:textId="77777777" w:rsidR="00492CA7" w:rsidRDefault="00000000">
      <w:pPr>
        <w:numPr>
          <w:ilvl w:val="0"/>
          <w:numId w:val="15"/>
        </w:numPr>
      </w:pPr>
      <w:r>
        <w:rPr>
          <w:rFonts w:eastAsia="Georgia" w:hAnsi="Georgia" w:cs="Georgia"/>
        </w:rPr>
        <w:t>(iv) Residents pay monthly mortgage ($600–$900) + cooperative operating cost ($200–$400), total housing cost ≤30% AMI,</w:t>
      </w:r>
    </w:p>
    <w:p w14:paraId="7C975FE1" w14:textId="77777777" w:rsidR="00492CA7" w:rsidRDefault="00000000">
      <w:pPr>
        <w:numPr>
          <w:ilvl w:val="0"/>
          <w:numId w:val="15"/>
        </w:numPr>
      </w:pPr>
      <w:r>
        <w:t>(v) CLT receives ground rent (net operating income share, capped at 10%), ensuring CLT sustainability without subsidy dependency.</w:t>
      </w:r>
    </w:p>
    <w:p w14:paraId="564636F8" w14:textId="77777777" w:rsidR="00492CA7" w:rsidRDefault="00000000">
      <w:pPr>
        <w:spacing w:after="210"/>
      </w:pPr>
      <w:r>
        <w:t xml:space="preserve">(c) </w:t>
      </w:r>
      <w:r>
        <w:rPr>
          <w:b/>
        </w:rPr>
        <w:t>Equity Accrual Mechanism:</w:t>
      </w:r>
    </w:p>
    <w:p w14:paraId="5EB7B39D" w14:textId="77777777" w:rsidR="00492CA7" w:rsidRDefault="00000000">
      <w:pPr>
        <w:numPr>
          <w:ilvl w:val="0"/>
          <w:numId w:val="16"/>
        </w:numPr>
      </w:pPr>
      <w:r>
        <w:lastRenderedPageBreak/>
        <w:t>(i) Share value appreciates at rate of inflation (avg. 2.5% annually),</w:t>
      </w:r>
    </w:p>
    <w:p w14:paraId="487280FA" w14:textId="77777777" w:rsidR="00492CA7" w:rsidRDefault="00000000">
      <w:pPr>
        <w:numPr>
          <w:ilvl w:val="0"/>
          <w:numId w:val="16"/>
        </w:numPr>
      </w:pPr>
      <w:r>
        <w:rPr>
          <w:rFonts w:eastAsia="Georgia" w:hAnsi="Georgia" w:cs="Georgia"/>
        </w:rPr>
        <w:t>(ii) Mortgage principal paydown creates additional equity (30-year amortization: $125K–$200K cumulative equity per household),</w:t>
      </w:r>
    </w:p>
    <w:p w14:paraId="6BCAC2B8" w14:textId="77777777" w:rsidR="00492CA7" w:rsidRDefault="00000000">
      <w:pPr>
        <w:numPr>
          <w:ilvl w:val="0"/>
          <w:numId w:val="16"/>
        </w:numPr>
      </w:pPr>
      <w:r>
        <w:rPr>
          <w:rFonts w:eastAsia="Georgia" w:hAnsi="Georgia" w:cs="Georgia"/>
        </w:rPr>
        <w:t>(iii) Upon sale or inheritance, resident captures 50–70% of equity gain (remainder retained by CLT to fund future affordability acquisitions).</w:t>
      </w:r>
    </w:p>
    <w:p w14:paraId="5C9D0D1F" w14:textId="77777777" w:rsidR="00492CA7" w:rsidRDefault="00000000">
      <w:pPr>
        <w:numPr>
          <w:ilvl w:val="0"/>
          <w:numId w:val="16"/>
        </w:numPr>
      </w:pPr>
      <w:r>
        <w:t>(iv) Intergenerational transfer: heirs may inherit share or CLT repurchases at formula price, enabling wealth transfer to next generation.</w:t>
      </w:r>
    </w:p>
    <w:p w14:paraId="100D36E8" w14:textId="77777777" w:rsidR="00492CA7" w:rsidRDefault="00000000">
      <w:pPr>
        <w:spacing w:after="210"/>
      </w:pPr>
      <w:r>
        <w:t xml:space="preserve">(d) </w:t>
      </w:r>
      <w:r>
        <w:rPr>
          <w:b/>
        </w:rPr>
        <w:t>Permanence &amp; Affordability Lock:</w:t>
      </w:r>
    </w:p>
    <w:p w14:paraId="6600112F" w14:textId="77777777" w:rsidR="00492CA7" w:rsidRDefault="00000000">
      <w:pPr>
        <w:numPr>
          <w:ilvl w:val="0"/>
          <w:numId w:val="17"/>
        </w:numPr>
      </w:pPr>
      <w:r>
        <w:rPr>
          <w:rFonts w:eastAsia="Georgia" w:hAnsi="Georgia" w:cs="Georgia"/>
        </w:rPr>
        <w:t>(i) CLT ground lease restricts resale to households ≤120% AMI; CLT has right-of-first-refusal,</w:t>
      </w:r>
    </w:p>
    <w:p w14:paraId="2BA02D0A" w14:textId="77777777" w:rsidR="00492CA7" w:rsidRDefault="00000000">
      <w:pPr>
        <w:numPr>
          <w:ilvl w:val="0"/>
          <w:numId w:val="17"/>
        </w:numPr>
      </w:pPr>
      <w:r>
        <w:t>(ii) Income-linked resale pricing: if household income increases &gt;120% AMI, resale price capped at formula designed to preserve affordability for next buyer,</w:t>
      </w:r>
    </w:p>
    <w:p w14:paraId="3AECA0DD" w14:textId="77777777" w:rsidR="00492CA7" w:rsidRDefault="00000000">
      <w:pPr>
        <w:numPr>
          <w:ilvl w:val="0"/>
          <w:numId w:val="17"/>
        </w:numPr>
      </w:pPr>
      <w:r>
        <w:rPr>
          <w:rFonts w:eastAsia="Georgia" w:hAnsi="Georgia" w:cs="Georgia"/>
        </w:rPr>
        <w:t>(iii) Affordability maintained for ≥99 years; effectively perpetual given CLT organizational structure.</w:t>
      </w:r>
    </w:p>
    <w:p w14:paraId="22E41C06" w14:textId="77777777" w:rsidR="00492CA7" w:rsidRDefault="00000000">
      <w:pPr>
        <w:spacing w:after="210"/>
      </w:pPr>
      <w:r>
        <w:t xml:space="preserve">(e) </w:t>
      </w:r>
      <w:r>
        <w:rPr>
          <w:b/>
        </w:rPr>
        <w:t>Credit Union Role:</w:t>
      </w:r>
    </w:p>
    <w:p w14:paraId="2413CE93" w14:textId="77777777" w:rsidR="00492CA7" w:rsidRDefault="00000000">
      <w:pPr>
        <w:numPr>
          <w:ilvl w:val="0"/>
          <w:numId w:val="18"/>
        </w:numPr>
      </w:pPr>
      <w:r>
        <w:rPr>
          <w:rFonts w:eastAsia="Georgia" w:hAnsi="Georgia" w:cs="Georgia"/>
        </w:rPr>
        <w:t>(i) Credit union issues share loan (20-year amortization, 5.5–6.5% rate for ≤80% AMI borrowers),</w:t>
      </w:r>
    </w:p>
    <w:p w14:paraId="26E8A051" w14:textId="77777777" w:rsidR="00492CA7" w:rsidRDefault="00000000">
      <w:pPr>
        <w:numPr>
          <w:ilvl w:val="0"/>
          <w:numId w:val="18"/>
        </w:numPr>
      </w:pPr>
      <w:r>
        <w:t>(ii) Share loan is subordinate to CLT ground lease, reducing credit risk,</w:t>
      </w:r>
    </w:p>
    <w:p w14:paraId="455AFEC5" w14:textId="77777777" w:rsidR="00492CA7" w:rsidRDefault="00000000">
      <w:pPr>
        <w:numPr>
          <w:ilvl w:val="0"/>
          <w:numId w:val="18"/>
        </w:numPr>
      </w:pPr>
      <w:r>
        <w:t>(iii) Credit union retains servicing and receives community development credit under CRA/CDFI regulations.</w:t>
      </w:r>
    </w:p>
    <w:p w14:paraId="4EECA003" w14:textId="77777777" w:rsidR="00492CA7" w:rsidRDefault="00BB14A2">
      <w:r>
        <w:rPr>
          <w:noProof/>
        </w:rPr>
        <w:pict w14:anchorId="37922E60">
          <v:rect id="_x0000_i1059" alt="" style="width:434.5pt;height:.05pt;mso-width-percent:0;mso-height-percent:0;mso-width-percent:0;mso-height-percent:0" o:hralign="center" o:hrstd="t" o:hr="t"/>
        </w:pict>
      </w:r>
    </w:p>
    <w:p w14:paraId="66C361C3" w14:textId="77777777" w:rsidR="00492CA7" w:rsidRDefault="00000000">
      <w:pPr>
        <w:spacing w:after="210"/>
      </w:pPr>
      <w:r>
        <w:t xml:space="preserve">5.2 </w:t>
      </w:r>
      <w:r>
        <w:rPr>
          <w:b/>
        </w:rPr>
        <w:t>Ownership Pathway 2: CLT Ground-Lease Homeownership.</w:t>
      </w:r>
    </w:p>
    <w:p w14:paraId="708A6B66" w14:textId="77777777" w:rsidR="00492CA7" w:rsidRDefault="00000000">
      <w:pPr>
        <w:spacing w:after="210"/>
      </w:pPr>
      <w:r>
        <w:t xml:space="preserve">(a) </w:t>
      </w:r>
      <w:r>
        <w:rPr>
          <w:b/>
        </w:rPr>
        <w:t>Model Overview.</w:t>
      </w:r>
      <w:r>
        <w:t xml:space="preserve"> Community Land Trust retains land; household purchases home structure + improvements via conventional or credit union mortgage.</w:t>
      </w:r>
    </w:p>
    <w:p w14:paraId="09472809" w14:textId="77777777" w:rsidR="00492CA7" w:rsidRDefault="00000000">
      <w:pPr>
        <w:spacing w:after="210"/>
      </w:pPr>
      <w:r>
        <w:t xml:space="preserve">(b) </w:t>
      </w:r>
      <w:r>
        <w:rPr>
          <w:b/>
        </w:rPr>
        <w:t>Structure:</w:t>
      </w:r>
    </w:p>
    <w:p w14:paraId="09D79E0A" w14:textId="77777777" w:rsidR="00492CA7" w:rsidRDefault="00000000">
      <w:pPr>
        <w:numPr>
          <w:ilvl w:val="0"/>
          <w:numId w:val="19"/>
        </w:numPr>
      </w:pPr>
      <w:r>
        <w:rPr>
          <w:rFonts w:eastAsia="Georgia" w:hAnsi="Georgia" w:cs="Georgia"/>
        </w:rPr>
        <w:t>(i) CLT owns land (fee simple, ≥99-year ground lease to homeowner),</w:t>
      </w:r>
    </w:p>
    <w:p w14:paraId="2FD6A506" w14:textId="77777777" w:rsidR="00492CA7" w:rsidRDefault="00000000">
      <w:pPr>
        <w:numPr>
          <w:ilvl w:val="0"/>
          <w:numId w:val="19"/>
        </w:numPr>
      </w:pPr>
      <w:r>
        <w:t>(ii) Homeowner obtains title to building/improvements via warranty deed,</w:t>
      </w:r>
    </w:p>
    <w:p w14:paraId="5885A448" w14:textId="77777777" w:rsidR="00492CA7" w:rsidRDefault="00000000">
      <w:pPr>
        <w:numPr>
          <w:ilvl w:val="0"/>
          <w:numId w:val="19"/>
        </w:numPr>
      </w:pPr>
      <w:r>
        <w:rPr>
          <w:rFonts w:eastAsia="Georgia" w:hAnsi="Georgia" w:cs="Georgia"/>
        </w:rPr>
        <w:t>(iii) Ground rent: $100–$250/month (1–2% of property value), paid to CLT,</w:t>
      </w:r>
    </w:p>
    <w:p w14:paraId="19FC347A" w14:textId="77777777" w:rsidR="00492CA7" w:rsidRDefault="00000000">
      <w:pPr>
        <w:numPr>
          <w:ilvl w:val="0"/>
          <w:numId w:val="19"/>
        </w:numPr>
      </w:pPr>
      <w:r>
        <w:rPr>
          <w:rFonts w:eastAsia="Georgia" w:hAnsi="Georgia" w:cs="Georgia"/>
        </w:rPr>
        <w:t>(iv) Homeowner finances building via credit union 30-year mortgage ($120K–$220K, depending on property),</w:t>
      </w:r>
    </w:p>
    <w:p w14:paraId="7B75E962" w14:textId="77777777" w:rsidR="00492CA7" w:rsidRDefault="00000000">
      <w:pPr>
        <w:numPr>
          <w:ilvl w:val="0"/>
          <w:numId w:val="19"/>
        </w:numPr>
      </w:pPr>
      <w:r>
        <w:rPr>
          <w:rFonts w:eastAsia="Georgia" w:hAnsi="Georgia" w:cs="Georgia"/>
        </w:rPr>
        <w:t>(v) Total housing cost (ground rent + mortgage + taxes + insurance): 25–32% AMI.</w:t>
      </w:r>
    </w:p>
    <w:p w14:paraId="75875639" w14:textId="77777777" w:rsidR="00492CA7" w:rsidRDefault="00000000">
      <w:pPr>
        <w:spacing w:after="210"/>
      </w:pPr>
      <w:r>
        <w:t xml:space="preserve">(c) </w:t>
      </w:r>
      <w:r>
        <w:rPr>
          <w:b/>
        </w:rPr>
        <w:t>Equity Accrual:</w:t>
      </w:r>
    </w:p>
    <w:p w14:paraId="6403D20C" w14:textId="77777777" w:rsidR="00492CA7" w:rsidRDefault="00000000">
      <w:pPr>
        <w:numPr>
          <w:ilvl w:val="0"/>
          <w:numId w:val="20"/>
        </w:numPr>
      </w:pPr>
      <w:r>
        <w:t>(i) Building value appreciates with neighborhood (avg. 2.5% annually); all appreciation accrues to homeowner,</w:t>
      </w:r>
    </w:p>
    <w:p w14:paraId="019E149E" w14:textId="77777777" w:rsidR="00492CA7" w:rsidRDefault="00000000">
      <w:pPr>
        <w:numPr>
          <w:ilvl w:val="0"/>
          <w:numId w:val="20"/>
        </w:numPr>
      </w:pPr>
      <w:r>
        <w:rPr>
          <w:rFonts w:eastAsia="Georgia" w:hAnsi="Georgia" w:cs="Georgia"/>
        </w:rPr>
        <w:t>(ii) Mortgage principal paydown: $150K–$250K cumulative equity,</w:t>
      </w:r>
    </w:p>
    <w:p w14:paraId="2889A759" w14:textId="77777777" w:rsidR="00492CA7" w:rsidRDefault="00000000">
      <w:pPr>
        <w:numPr>
          <w:ilvl w:val="0"/>
          <w:numId w:val="20"/>
        </w:numPr>
      </w:pPr>
      <w:r>
        <w:t>(iii) Upon resale, CLT retains right-of-first-refusal at formula price; if homeowner retains, 100% of equity gain captured by homeowner,</w:t>
      </w:r>
    </w:p>
    <w:p w14:paraId="43E5D2C8" w14:textId="77777777" w:rsidR="00492CA7" w:rsidRDefault="00000000">
      <w:pPr>
        <w:numPr>
          <w:ilvl w:val="0"/>
          <w:numId w:val="20"/>
        </w:numPr>
      </w:pPr>
      <w:r>
        <w:lastRenderedPageBreak/>
        <w:t>(iv) Intergenerational wealth: heirs inherit home with equity; CLT does not restrict inheritance.</w:t>
      </w:r>
    </w:p>
    <w:p w14:paraId="62D412A4" w14:textId="77777777" w:rsidR="00492CA7" w:rsidRDefault="00000000">
      <w:pPr>
        <w:spacing w:after="210"/>
      </w:pPr>
      <w:r>
        <w:t xml:space="preserve">(d) </w:t>
      </w:r>
      <w:r>
        <w:rPr>
          <w:b/>
        </w:rPr>
        <w:t>Affordability Lock:</w:t>
      </w:r>
    </w:p>
    <w:p w14:paraId="7CDC06D9" w14:textId="77777777" w:rsidR="00492CA7" w:rsidRDefault="00000000">
      <w:pPr>
        <w:numPr>
          <w:ilvl w:val="0"/>
          <w:numId w:val="21"/>
        </w:numPr>
      </w:pPr>
      <w:r>
        <w:t>(i) Ground lease resale restriction (income-linked pricing similar to Pathway 1) applies if household income exceeds 150% AMI,</w:t>
      </w:r>
    </w:p>
    <w:p w14:paraId="1FFFBAE7" w14:textId="77777777" w:rsidR="00492CA7" w:rsidRDefault="00000000">
      <w:pPr>
        <w:numPr>
          <w:ilvl w:val="0"/>
          <w:numId w:val="21"/>
        </w:numPr>
      </w:pPr>
      <w:r>
        <w:t>(ii) Otherwise, homeowner captures full equity and may sell at market rate (but CLT retains right-of-first-refusal to reacquire for next affordable buyer),</w:t>
      </w:r>
    </w:p>
    <w:p w14:paraId="30B2045D" w14:textId="77777777" w:rsidR="00492CA7" w:rsidRDefault="00000000">
      <w:pPr>
        <w:numPr>
          <w:ilvl w:val="0"/>
          <w:numId w:val="21"/>
        </w:numPr>
      </w:pPr>
      <w:r>
        <w:t>(iii) Permanence: ground lease runs 99+ years; effectively locked affordability for all foreseeable time horizons.</w:t>
      </w:r>
    </w:p>
    <w:p w14:paraId="385E3276" w14:textId="77777777" w:rsidR="00492CA7" w:rsidRDefault="00000000">
      <w:pPr>
        <w:spacing w:after="210"/>
      </w:pPr>
      <w:r>
        <w:t xml:space="preserve">(e) </w:t>
      </w:r>
      <w:r>
        <w:rPr>
          <w:b/>
        </w:rPr>
        <w:t>Credit Union Role:</w:t>
      </w:r>
    </w:p>
    <w:p w14:paraId="10C2A812" w14:textId="77777777" w:rsidR="00492CA7" w:rsidRDefault="00000000">
      <w:pPr>
        <w:numPr>
          <w:ilvl w:val="0"/>
          <w:numId w:val="22"/>
        </w:numPr>
      </w:pPr>
      <w:r>
        <w:t>(i) Credit union issues 30-year mortgage on building (subordinate to CLT ground lease),</w:t>
      </w:r>
    </w:p>
    <w:p w14:paraId="16B66DCB" w14:textId="77777777" w:rsidR="00492CA7" w:rsidRDefault="00000000">
      <w:pPr>
        <w:numPr>
          <w:ilvl w:val="0"/>
          <w:numId w:val="22"/>
        </w:numPr>
      </w:pPr>
      <w:r>
        <w:t>(ii) Lower risk for credit union due to land stability (CLT-owned, not subject to displacement),</w:t>
      </w:r>
    </w:p>
    <w:p w14:paraId="6F9EC183" w14:textId="77777777" w:rsidR="00492CA7" w:rsidRDefault="00000000">
      <w:pPr>
        <w:numPr>
          <w:ilvl w:val="0"/>
          <w:numId w:val="22"/>
        </w:numPr>
      </w:pPr>
      <w:r>
        <w:rPr>
          <w:rFonts w:eastAsia="Georgia" w:hAnsi="Georgia" w:cs="Georgia"/>
        </w:rPr>
        <w:t>(iii) Expected default rate: 1.5–2.5% (vs. 3–5% for conventional low-income mortgages).</w:t>
      </w:r>
    </w:p>
    <w:p w14:paraId="3872A458" w14:textId="77777777" w:rsidR="00492CA7" w:rsidRDefault="00BB14A2">
      <w:r>
        <w:rPr>
          <w:noProof/>
        </w:rPr>
        <w:pict w14:anchorId="6544933B">
          <v:rect id="_x0000_i1058" alt="" style="width:434.5pt;height:.05pt;mso-width-percent:0;mso-height-percent:0;mso-width-percent:0;mso-height-percent:0" o:hralign="center" o:hrstd="t" o:hr="t"/>
        </w:pict>
      </w:r>
    </w:p>
    <w:p w14:paraId="21179112" w14:textId="77777777" w:rsidR="00492CA7" w:rsidRDefault="00000000">
      <w:pPr>
        <w:spacing w:after="210"/>
      </w:pPr>
      <w:r>
        <w:t xml:space="preserve">5.3 </w:t>
      </w:r>
      <w:r>
        <w:rPr>
          <w:b/>
        </w:rPr>
        <w:t>Ownership Pathway 3: Conventional Homeownership + Affordability Covenant.</w:t>
      </w:r>
    </w:p>
    <w:p w14:paraId="202535DC" w14:textId="77777777" w:rsidR="00492CA7" w:rsidRDefault="00000000">
      <w:pPr>
        <w:spacing w:after="210"/>
      </w:pPr>
      <w:r>
        <w:t xml:space="preserve">(a) </w:t>
      </w:r>
      <w:r>
        <w:rPr>
          <w:b/>
        </w:rPr>
        <w:t>Model Overview.</w:t>
      </w:r>
      <w:r>
        <w:t xml:space="preserve"> Household purchases property via credit union mortgage; City/HRA records 30-year affordability covenant restricting resale and setting income-linked pricing triggers.</w:t>
      </w:r>
    </w:p>
    <w:p w14:paraId="4E8FF5FD" w14:textId="77777777" w:rsidR="00492CA7" w:rsidRDefault="00000000">
      <w:pPr>
        <w:spacing w:after="210"/>
      </w:pPr>
      <w:r>
        <w:t xml:space="preserve">(b) </w:t>
      </w:r>
      <w:r>
        <w:rPr>
          <w:b/>
        </w:rPr>
        <w:t>Structure:</w:t>
      </w:r>
    </w:p>
    <w:p w14:paraId="03DCC62D" w14:textId="77777777" w:rsidR="00492CA7" w:rsidRDefault="00000000">
      <w:pPr>
        <w:numPr>
          <w:ilvl w:val="0"/>
          <w:numId w:val="23"/>
        </w:numPr>
      </w:pPr>
      <w:r>
        <w:t>(i) Household obtains title to property (fee simple),</w:t>
      </w:r>
    </w:p>
    <w:p w14:paraId="47AB68F7" w14:textId="77777777" w:rsidR="00492CA7" w:rsidRDefault="00000000">
      <w:pPr>
        <w:numPr>
          <w:ilvl w:val="0"/>
          <w:numId w:val="23"/>
        </w:numPr>
      </w:pPr>
      <w:r>
        <w:rPr>
          <w:rFonts w:eastAsia="Georgia" w:hAnsi="Georgia" w:cs="Georgia"/>
        </w:rPr>
        <w:t>(ii) Credit union issues 30-year mortgage ($130K–$250K),</w:t>
      </w:r>
    </w:p>
    <w:p w14:paraId="15E6A38D" w14:textId="77777777" w:rsidR="00492CA7" w:rsidRDefault="00000000">
      <w:pPr>
        <w:numPr>
          <w:ilvl w:val="0"/>
          <w:numId w:val="23"/>
        </w:numPr>
      </w:pPr>
      <w:r>
        <w:t>(iii) HRA records affordability covenant as second lien on title (subordinate to mortgage),</w:t>
      </w:r>
    </w:p>
    <w:p w14:paraId="4C1D0734" w14:textId="77777777" w:rsidR="00492CA7" w:rsidRDefault="00000000">
      <w:pPr>
        <w:numPr>
          <w:ilvl w:val="0"/>
          <w:numId w:val="23"/>
        </w:numPr>
      </w:pPr>
      <w:r>
        <w:rPr>
          <w:rFonts w:eastAsia="Georgia" w:hAnsi="Georgia" w:cs="Georgia"/>
        </w:rPr>
        <w:t>(iv) Covenant restricts resale to households ≤120% AMI for 30 years; after 30 years, restriction lapses,</w:t>
      </w:r>
    </w:p>
    <w:p w14:paraId="10AA2B76" w14:textId="77777777" w:rsidR="00492CA7" w:rsidRDefault="00000000">
      <w:pPr>
        <w:numPr>
          <w:ilvl w:val="0"/>
          <w:numId w:val="23"/>
        </w:numPr>
      </w:pPr>
      <w:r>
        <w:t>(v) Income-linked resale pricing (first 15 years): if household income exceeds 120% AMI and seeks to sell, resale price capped at formula to preserve affordability,</w:t>
      </w:r>
    </w:p>
    <w:p w14:paraId="6B5211FA" w14:textId="77777777" w:rsidR="00492CA7" w:rsidRDefault="00000000">
      <w:pPr>
        <w:numPr>
          <w:ilvl w:val="0"/>
          <w:numId w:val="23"/>
        </w:numPr>
      </w:pPr>
      <w:r>
        <w:rPr>
          <w:rFonts w:eastAsia="Georgia" w:hAnsi="Georgia" w:cs="Georgia"/>
        </w:rPr>
        <w:t>(vi) Total housing cost (mortgage + taxes + insurance): 28–35% AMI.</w:t>
      </w:r>
    </w:p>
    <w:p w14:paraId="468881EE" w14:textId="77777777" w:rsidR="00492CA7" w:rsidRDefault="00000000">
      <w:pPr>
        <w:spacing w:after="210"/>
      </w:pPr>
      <w:r>
        <w:t xml:space="preserve">(c) </w:t>
      </w:r>
      <w:r>
        <w:rPr>
          <w:b/>
        </w:rPr>
        <w:t>Equity Accrual:</w:t>
      </w:r>
    </w:p>
    <w:p w14:paraId="7DED66B1" w14:textId="77777777" w:rsidR="00492CA7" w:rsidRDefault="00000000">
      <w:pPr>
        <w:numPr>
          <w:ilvl w:val="0"/>
          <w:numId w:val="24"/>
        </w:numPr>
      </w:pPr>
      <w:r>
        <w:t>(i) Full market appreciation on property accrues to homeowner (no CLT),</w:t>
      </w:r>
    </w:p>
    <w:p w14:paraId="17898F56" w14:textId="77777777" w:rsidR="00492CA7" w:rsidRDefault="00000000">
      <w:pPr>
        <w:numPr>
          <w:ilvl w:val="0"/>
          <w:numId w:val="24"/>
        </w:numPr>
      </w:pPr>
      <w:r>
        <w:rPr>
          <w:rFonts w:eastAsia="Georgia" w:hAnsi="Georgia" w:cs="Georgia"/>
        </w:rPr>
        <w:t>(ii) Mortgage principal paydown: $150K–$250K,</w:t>
      </w:r>
    </w:p>
    <w:p w14:paraId="134C9376" w14:textId="77777777" w:rsidR="00492CA7" w:rsidRDefault="00000000">
      <w:pPr>
        <w:numPr>
          <w:ilvl w:val="0"/>
          <w:numId w:val="24"/>
        </w:numPr>
      </w:pPr>
      <w:r>
        <w:rPr>
          <w:rFonts w:eastAsia="Georgia" w:hAnsi="Georgia" w:cs="Georgia"/>
        </w:rPr>
        <w:t>(iii) Upon resale within covenant period (Year 0–30): if below 120% AMI, full equity captured by owner; if above 120% AMI, resale price formula applies but owner captures substantial equity (70–85% of market value),</w:t>
      </w:r>
    </w:p>
    <w:p w14:paraId="7BC1D8B3" w14:textId="77777777" w:rsidR="00492CA7" w:rsidRDefault="00000000">
      <w:pPr>
        <w:numPr>
          <w:ilvl w:val="0"/>
          <w:numId w:val="24"/>
        </w:numPr>
      </w:pPr>
      <w:r>
        <w:lastRenderedPageBreak/>
        <w:t>(iv) After covenant expiration (Year 30+): homeowner captures 100% of equity and may sell at market rate.</w:t>
      </w:r>
    </w:p>
    <w:p w14:paraId="56A34C21" w14:textId="77777777" w:rsidR="00492CA7" w:rsidRDefault="00000000">
      <w:pPr>
        <w:spacing w:after="210"/>
      </w:pPr>
      <w:r>
        <w:t xml:space="preserve">(d) </w:t>
      </w:r>
      <w:r>
        <w:rPr>
          <w:b/>
        </w:rPr>
        <w:t>Permanence &amp; Equity Trade-off:</w:t>
      </w:r>
    </w:p>
    <w:p w14:paraId="51AC66A1" w14:textId="77777777" w:rsidR="00492CA7" w:rsidRDefault="00000000">
      <w:pPr>
        <w:numPr>
          <w:ilvl w:val="0"/>
          <w:numId w:val="25"/>
        </w:numPr>
      </w:pPr>
      <w:r>
        <w:rPr>
          <w:rFonts w:eastAsia="Georgia" w:hAnsi="Georgia" w:cs="Georgia"/>
        </w:rPr>
        <w:t>Pathway 3 provides less permanence than CLT models (affordability expires after 30 years) but maximizes equity capture for owner. Recommended for higher-income Eligible Households (100–120% AMI).</w:t>
      </w:r>
    </w:p>
    <w:p w14:paraId="5DEA03C1" w14:textId="77777777" w:rsidR="00492CA7" w:rsidRDefault="00BB14A2">
      <w:r>
        <w:rPr>
          <w:noProof/>
        </w:rPr>
        <w:pict w14:anchorId="678299CF">
          <v:rect id="_x0000_i1057" alt="" style="width:434.5pt;height:.05pt;mso-width-percent:0;mso-height-percent:0;mso-width-percent:0;mso-height-percent:0" o:hralign="center" o:hrstd="t" o:hr="t"/>
        </w:pict>
      </w:r>
    </w:p>
    <w:p w14:paraId="759EF813" w14:textId="77777777" w:rsidR="00492CA7" w:rsidRDefault="00000000">
      <w:pPr>
        <w:spacing w:before="240" w:line="271" w:lineRule="auto"/>
      </w:pPr>
      <w:bookmarkStart w:id="11" w:name="section_6_affordability_covenants_aeac4d"/>
      <w:r>
        <w:rPr>
          <w:b/>
          <w:sz w:val="33"/>
        </w:rPr>
        <w:t>SECTION 6: AFFORDABILITY COVENANTS &amp; RESALE RESTRICTIONS</w:t>
      </w:r>
      <w:bookmarkEnd w:id="11"/>
    </w:p>
    <w:p w14:paraId="6E9FDF7E" w14:textId="77777777" w:rsidR="00492CA7" w:rsidRDefault="00000000">
      <w:pPr>
        <w:spacing w:after="210"/>
      </w:pPr>
      <w:r>
        <w:t xml:space="preserve">6.1 </w:t>
      </w:r>
      <w:r>
        <w:rPr>
          <w:b/>
        </w:rPr>
        <w:t>Standard Affordability Covenant Terms.</w:t>
      </w:r>
    </w:p>
    <w:p w14:paraId="064DE8E0" w14:textId="77777777" w:rsidR="00492CA7" w:rsidRDefault="00000000">
      <w:pPr>
        <w:spacing w:after="210"/>
      </w:pPr>
      <w:r>
        <w:t xml:space="preserve">(a) </w:t>
      </w:r>
      <w:r>
        <w:rPr>
          <w:b/>
        </w:rPr>
        <w:t>Covenant Duration.</w:t>
      </w:r>
      <w:r>
        <w:t xml:space="preserve"> Affordability covenants (Pathways 2 &amp; 3) shall run for a minimum of 30 years from recording date and shall be binding on all successors in title.</w:t>
      </w:r>
    </w:p>
    <w:p w14:paraId="75EB95D7" w14:textId="77777777" w:rsidR="00492CA7" w:rsidRDefault="00000000">
      <w:pPr>
        <w:spacing w:after="210"/>
      </w:pPr>
      <w:r>
        <w:t xml:space="preserve">(b) </w:t>
      </w:r>
      <w:r>
        <w:rPr>
          <w:b/>
        </w:rPr>
        <w:t>Income &amp; Affordability Restrictions.</w:t>
      </w:r>
    </w:p>
    <w:p w14:paraId="69E04959" w14:textId="77777777" w:rsidR="00492CA7" w:rsidRDefault="00000000">
      <w:pPr>
        <w:numPr>
          <w:ilvl w:val="0"/>
          <w:numId w:val="26"/>
        </w:numPr>
        <w:spacing w:after="210"/>
      </w:pPr>
      <w:r>
        <w:t xml:space="preserve">(i) </w:t>
      </w:r>
      <w:r>
        <w:rPr>
          <w:b/>
        </w:rPr>
        <w:t>During covenant period (Years 0</w:t>
      </w:r>
      <w:r>
        <w:rPr>
          <w:b/>
        </w:rPr>
        <w:t>–</w:t>
      </w:r>
      <w:r>
        <w:rPr>
          <w:b/>
        </w:rPr>
        <w:t>30):</w:t>
      </w:r>
      <w:r>
        <w:rPr>
          <w:rFonts w:eastAsia="Georgia" w:hAnsi="Georgia" w:cs="Georgia"/>
        </w:rPr>
        <w:t xml:space="preserve"> Property may only be sold to or occupied by households with annual income ≤120% AMI.</w:t>
      </w:r>
    </w:p>
    <w:p w14:paraId="5C6AB8EB" w14:textId="77777777" w:rsidR="00492CA7" w:rsidRDefault="00000000">
      <w:pPr>
        <w:numPr>
          <w:ilvl w:val="0"/>
          <w:numId w:val="26"/>
        </w:numPr>
        <w:spacing w:after="210"/>
      </w:pPr>
      <w:r>
        <w:t xml:space="preserve">(ii) </w:t>
      </w:r>
      <w:r>
        <w:rPr>
          <w:b/>
        </w:rPr>
        <w:t>Income verification:</w:t>
      </w:r>
      <w:r>
        <w:t xml:space="preserve"> Seller/buyer shall submit tax returns, W-2s, and employment verification to HRA prior to transfer.</w:t>
      </w:r>
    </w:p>
    <w:p w14:paraId="0544E432" w14:textId="77777777" w:rsidR="00492CA7" w:rsidRDefault="00000000">
      <w:pPr>
        <w:numPr>
          <w:ilvl w:val="0"/>
          <w:numId w:val="26"/>
        </w:numPr>
        <w:spacing w:after="210"/>
      </w:pPr>
      <w:r>
        <w:t xml:space="preserve">(iii) </w:t>
      </w:r>
      <w:r>
        <w:rPr>
          <w:b/>
        </w:rPr>
        <w:t>Affordability requirement:</w:t>
      </w:r>
      <w:r>
        <w:t xml:space="preserve"> Monthly housing cost (PITI + HOA/condo fees + ground rent where applicable) shall not exceed 30% of buyer's gross monthly income.</w:t>
      </w:r>
    </w:p>
    <w:p w14:paraId="3EF2F6F4" w14:textId="77777777" w:rsidR="00492CA7" w:rsidRDefault="00000000">
      <w:pPr>
        <w:spacing w:after="210"/>
      </w:pPr>
      <w:r>
        <w:t xml:space="preserve">(c) </w:t>
      </w:r>
      <w:r>
        <w:rPr>
          <w:b/>
        </w:rPr>
        <w:t>Income-Linked Resale Pricing Formula (Years 0</w:t>
      </w:r>
      <w:r>
        <w:rPr>
          <w:b/>
        </w:rPr>
        <w:t>–</w:t>
      </w:r>
      <w:r>
        <w:rPr>
          <w:b/>
        </w:rPr>
        <w:t>15).</w:t>
      </w:r>
    </w:p>
    <w:p w14:paraId="09F8CF9A" w14:textId="77777777" w:rsidR="00492CA7" w:rsidRDefault="00000000">
      <w:pPr>
        <w:spacing w:after="210"/>
      </w:pPr>
      <w:r>
        <w:rPr>
          <w:rFonts w:eastAsia="Georgia" w:hAnsi="Georgia" w:cs="Georgia"/>
        </w:rPr>
        <w:t>For households electing to sell during Years 0–15 of covenant period, resale price shall be calculated as follows:</w:t>
      </w:r>
    </w:p>
    <w:p w14:paraId="2940FC12" w14:textId="77777777" w:rsidR="00492CA7" w:rsidRDefault="00000000">
      <w:pPr>
        <w:spacing w:after="210"/>
      </w:pPr>
      <w:r>
        <w:rPr>
          <w:b/>
        </w:rPr>
        <w:t xml:space="preserve">Resale Price = [Adjusted Basis + (Inflation Adjustment </w:t>
      </w:r>
      <w:r>
        <w:rPr>
          <w:b/>
        </w:rPr>
        <w:t>×</w:t>
      </w:r>
      <w:r>
        <w:rPr>
          <w:b/>
        </w:rPr>
        <w:t xml:space="preserve"> Mortgage Principal Paid) + Home Improvement Value]</w:t>
      </w:r>
    </w:p>
    <w:p w14:paraId="3D131010" w14:textId="77777777" w:rsidR="00492CA7" w:rsidRDefault="00000000">
      <w:pPr>
        <w:spacing w:after="210"/>
      </w:pPr>
      <w:r>
        <w:t>Where:</w:t>
      </w:r>
    </w:p>
    <w:p w14:paraId="1F5C0145" w14:textId="77777777" w:rsidR="00492CA7" w:rsidRDefault="00000000">
      <w:pPr>
        <w:numPr>
          <w:ilvl w:val="0"/>
          <w:numId w:val="27"/>
        </w:numPr>
        <w:spacing w:after="210"/>
      </w:pPr>
      <w:r>
        <w:t xml:space="preserve">(i) </w:t>
      </w:r>
      <w:r>
        <w:rPr>
          <w:b/>
        </w:rPr>
        <w:t>Adjusted Basis</w:t>
      </w:r>
      <w:r>
        <w:t xml:space="preserve"> = Original purchase price at conversion,</w:t>
      </w:r>
    </w:p>
    <w:p w14:paraId="27A9642C" w14:textId="77777777" w:rsidR="00492CA7" w:rsidRDefault="00000000">
      <w:pPr>
        <w:numPr>
          <w:ilvl w:val="0"/>
          <w:numId w:val="27"/>
        </w:numPr>
        <w:spacing w:after="210"/>
      </w:pPr>
      <w:r>
        <w:t xml:space="preserve">(ii) </w:t>
      </w:r>
      <w:r>
        <w:rPr>
          <w:b/>
        </w:rPr>
        <w:t>Inflation Adjustment</w:t>
      </w:r>
      <w:r>
        <w:t xml:space="preserve"> = CPI annual increase applied to principal paid down (capping appreciation at inflation rate),</w:t>
      </w:r>
    </w:p>
    <w:p w14:paraId="2874B6FD" w14:textId="77777777" w:rsidR="00492CA7" w:rsidRDefault="00000000">
      <w:pPr>
        <w:numPr>
          <w:ilvl w:val="0"/>
          <w:numId w:val="27"/>
        </w:numPr>
        <w:spacing w:after="210"/>
      </w:pPr>
      <w:r>
        <w:t xml:space="preserve">(iii) </w:t>
      </w:r>
      <w:r>
        <w:rPr>
          <w:b/>
        </w:rPr>
        <w:t>Home Improvement Value</w:t>
      </w:r>
      <w:r>
        <w:t xml:space="preserve"> = Documented capital improvements (up to $50K), verified by HRA,</w:t>
      </w:r>
    </w:p>
    <w:p w14:paraId="209CDAEF" w14:textId="77777777" w:rsidR="00492CA7" w:rsidRDefault="00000000">
      <w:pPr>
        <w:numPr>
          <w:ilvl w:val="0"/>
          <w:numId w:val="27"/>
        </w:numPr>
        <w:spacing w:after="210"/>
      </w:pPr>
      <w:r>
        <w:t xml:space="preserve">(iv) </w:t>
      </w:r>
      <w:r>
        <w:rPr>
          <w:b/>
        </w:rPr>
        <w:t>Maximum Resale Price</w:t>
      </w:r>
      <w:r>
        <w:t xml:space="preserve"> = 105% of original purchase price + documented improvements (hard cap protecting affordability),</w:t>
      </w:r>
    </w:p>
    <w:p w14:paraId="3C87C031" w14:textId="77777777" w:rsidR="00492CA7" w:rsidRDefault="00000000">
      <w:pPr>
        <w:numPr>
          <w:ilvl w:val="0"/>
          <w:numId w:val="27"/>
        </w:numPr>
        <w:spacing w:after="210"/>
      </w:pPr>
      <w:r>
        <w:t xml:space="preserve">(v) </w:t>
      </w:r>
      <w:r>
        <w:rPr>
          <w:b/>
        </w:rPr>
        <w:t>Actual market value exceeds formula:</w:t>
      </w:r>
      <w:r>
        <w:rPr>
          <w:rFonts w:eastAsia="Georgia" w:hAnsi="Georgia" w:cs="Georgia"/>
        </w:rPr>
        <w:t xml:space="preserve"> If property appreciates beyond formula (e.g., neighborhood gentrification), HRA captures 40–50% of excess appreciation to fund next-generation conversions; seller retains 50–60%.</w:t>
      </w:r>
    </w:p>
    <w:p w14:paraId="3EE4E893" w14:textId="77777777" w:rsidR="00492CA7" w:rsidRDefault="00000000">
      <w:pPr>
        <w:spacing w:after="210"/>
      </w:pPr>
      <w:r>
        <w:lastRenderedPageBreak/>
        <w:t xml:space="preserve">(d) </w:t>
      </w:r>
      <w:r>
        <w:rPr>
          <w:b/>
        </w:rPr>
        <w:t>Income-Linked Resale Pricing Formula (Years 15</w:t>
      </w:r>
      <w:r>
        <w:rPr>
          <w:b/>
        </w:rPr>
        <w:t>–</w:t>
      </w:r>
      <w:r>
        <w:rPr>
          <w:b/>
        </w:rPr>
        <w:t>30).</w:t>
      </w:r>
    </w:p>
    <w:p w14:paraId="6EBB21E5" w14:textId="77777777" w:rsidR="00492CA7" w:rsidRDefault="00000000">
      <w:pPr>
        <w:spacing w:after="210"/>
      </w:pPr>
      <w:r>
        <w:rPr>
          <w:rFonts w:eastAsia="Georgia" w:hAnsi="Georgia" w:cs="Georgia"/>
        </w:rPr>
        <w:t>In Years 15–30, income-linked pricing formula relaxes to allow greater appreciation capture:</w:t>
      </w:r>
    </w:p>
    <w:p w14:paraId="1C104DDF" w14:textId="77777777" w:rsidR="00492CA7" w:rsidRDefault="00000000">
      <w:pPr>
        <w:spacing w:after="210"/>
      </w:pPr>
      <w:r>
        <w:rPr>
          <w:b/>
        </w:rPr>
        <w:t xml:space="preserve">Resale Price = [Adjusted Basis + (Inflation Adjustment </w:t>
      </w:r>
      <w:r>
        <w:rPr>
          <w:b/>
        </w:rPr>
        <w:t>×</w:t>
      </w:r>
      <w:r>
        <w:rPr>
          <w:b/>
        </w:rPr>
        <w:t xml:space="preserve"> Mortgage Principal Paid) + 50% of Appreciation Above Inflation + Improvements]</w:t>
      </w:r>
    </w:p>
    <w:p w14:paraId="38882B45" w14:textId="77777777" w:rsidR="00492CA7" w:rsidRDefault="00000000">
      <w:pPr>
        <w:spacing w:after="210"/>
      </w:pPr>
      <w:r>
        <w:t>Where appreciation above inflation rate is shared 50/50 between owner (equity) and affordability fund (future conversions).</w:t>
      </w:r>
    </w:p>
    <w:p w14:paraId="5AF0C5F0" w14:textId="77777777" w:rsidR="00492CA7" w:rsidRDefault="00000000">
      <w:pPr>
        <w:spacing w:after="210"/>
      </w:pPr>
      <w:r>
        <w:t xml:space="preserve">(e) </w:t>
      </w:r>
      <w:r>
        <w:rPr>
          <w:b/>
        </w:rPr>
        <w:t>Covenant Enforcement Mechanisms.</w:t>
      </w:r>
    </w:p>
    <w:p w14:paraId="61E67A27" w14:textId="77777777" w:rsidR="00492CA7" w:rsidRDefault="00000000">
      <w:pPr>
        <w:numPr>
          <w:ilvl w:val="0"/>
          <w:numId w:val="28"/>
        </w:numPr>
        <w:spacing w:after="210"/>
      </w:pPr>
      <w:r>
        <w:t xml:space="preserve">(i) </w:t>
      </w:r>
      <w:r>
        <w:rPr>
          <w:b/>
        </w:rPr>
        <w:t>Right-of-first-refusal:</w:t>
      </w:r>
      <w:r>
        <w:t xml:space="preserve"> HRA (or CLT, if applicable) retains right-of-first-refusal to purchase property at formula price during covenant period.</w:t>
      </w:r>
    </w:p>
    <w:p w14:paraId="61E90E92" w14:textId="77777777" w:rsidR="00492CA7" w:rsidRDefault="00000000">
      <w:pPr>
        <w:numPr>
          <w:ilvl w:val="0"/>
          <w:numId w:val="28"/>
        </w:numPr>
        <w:spacing w:after="210"/>
      </w:pPr>
      <w:r>
        <w:t xml:space="preserve">(ii) </w:t>
      </w:r>
      <w:r>
        <w:rPr>
          <w:b/>
        </w:rPr>
        <w:t>Title restrictions:</w:t>
      </w:r>
      <w:r>
        <w:t xml:space="preserve"> Covenant recorded as second lien on title; any transfer without covenant compliance is voidable.</w:t>
      </w:r>
    </w:p>
    <w:p w14:paraId="44E0E02A" w14:textId="77777777" w:rsidR="00492CA7" w:rsidRDefault="00000000">
      <w:pPr>
        <w:numPr>
          <w:ilvl w:val="0"/>
          <w:numId w:val="28"/>
        </w:numPr>
        <w:spacing w:after="210"/>
      </w:pPr>
      <w:r>
        <w:t xml:space="preserve">(iii) </w:t>
      </w:r>
      <w:r>
        <w:rPr>
          <w:b/>
        </w:rPr>
        <w:t>Remediation:</w:t>
      </w:r>
      <w:r>
        <w:t xml:space="preserve"> If owner sells without HRA consent at above-formula price, owner shall forfeit excess proceeds (capped at 50% of gain).</w:t>
      </w:r>
    </w:p>
    <w:p w14:paraId="02047F08" w14:textId="77777777" w:rsidR="00492CA7" w:rsidRDefault="00000000">
      <w:pPr>
        <w:numPr>
          <w:ilvl w:val="0"/>
          <w:numId w:val="28"/>
        </w:numPr>
        <w:spacing w:after="210"/>
      </w:pPr>
      <w:r>
        <w:t xml:space="preserve">(iv) </w:t>
      </w:r>
      <w:r>
        <w:rPr>
          <w:b/>
        </w:rPr>
        <w:t>Waiver provisions:</w:t>
      </w:r>
      <w:r>
        <w:t xml:space="preserve"> HRA may waive income restrictions if original household dissolves (divorce, death, foreclosure) and successor household meets affordability test.</w:t>
      </w:r>
    </w:p>
    <w:p w14:paraId="018A0C3C" w14:textId="77777777" w:rsidR="00492CA7" w:rsidRDefault="00BB14A2">
      <w:r>
        <w:rPr>
          <w:noProof/>
        </w:rPr>
        <w:pict w14:anchorId="64B521E6">
          <v:rect id="_x0000_i1056" alt="" style="width:434.5pt;height:.05pt;mso-width-percent:0;mso-height-percent:0;mso-width-percent:0;mso-height-percent:0" o:hralign="center" o:hrstd="t" o:hr="t"/>
        </w:pict>
      </w:r>
    </w:p>
    <w:p w14:paraId="2804015D" w14:textId="77777777" w:rsidR="00492CA7" w:rsidRDefault="00000000">
      <w:pPr>
        <w:spacing w:before="240" w:line="271" w:lineRule="auto"/>
      </w:pPr>
      <w:bookmarkStart w:id="12" w:name="section_7_credit_union_partnershi_ef8e64"/>
      <w:r>
        <w:rPr>
          <w:b/>
          <w:sz w:val="33"/>
        </w:rPr>
        <w:t>SECTION 7: CREDIT UNION PARTNERSHIP MECHANISM</w:t>
      </w:r>
      <w:bookmarkEnd w:id="12"/>
    </w:p>
    <w:p w14:paraId="3CB513A9" w14:textId="77777777" w:rsidR="00492CA7" w:rsidRDefault="00000000">
      <w:pPr>
        <w:spacing w:after="210"/>
      </w:pPr>
      <w:r>
        <w:t xml:space="preserve">7.1 </w:t>
      </w:r>
      <w:r>
        <w:rPr>
          <w:b/>
        </w:rPr>
        <w:t>Credit Union Selection &amp; Partnership Criteria.</w:t>
      </w:r>
    </w:p>
    <w:p w14:paraId="09C0210D" w14:textId="72FBDC76" w:rsidR="00492CA7" w:rsidRDefault="00000000">
      <w:pPr>
        <w:spacing w:after="210"/>
      </w:pPr>
      <w:r>
        <w:t xml:space="preserve">(a) </w:t>
      </w:r>
      <w:r>
        <w:rPr>
          <w:b/>
        </w:rPr>
        <w:t>Eligible Credit Union Partners.</w:t>
      </w:r>
      <w:r>
        <w:t xml:space="preserve"> Only credit unions meeting </w:t>
      </w:r>
      <w:r w:rsidR="007F5B4B">
        <w:t>ALL</w:t>
      </w:r>
      <w:r>
        <w:t xml:space="preserve"> the following criteria shall be designated as official PET Framework lending partners:</w:t>
      </w:r>
    </w:p>
    <w:p w14:paraId="2AC09D5B" w14:textId="77777777" w:rsidR="00492CA7" w:rsidRDefault="00000000">
      <w:pPr>
        <w:numPr>
          <w:ilvl w:val="0"/>
          <w:numId w:val="29"/>
        </w:numPr>
      </w:pPr>
      <w:r>
        <w:t xml:space="preserve">(i) </w:t>
      </w:r>
      <w:r>
        <w:rPr>
          <w:b/>
        </w:rPr>
        <w:t>Asset size:</w:t>
      </w:r>
      <w:r>
        <w:rPr>
          <w:rFonts w:eastAsia="Georgia" w:hAnsi="Georgia" w:cs="Georgia"/>
        </w:rPr>
        <w:t xml:space="preserve"> ≥$50M (ensures stability and servicing capacity),</w:t>
      </w:r>
    </w:p>
    <w:p w14:paraId="3A61774A" w14:textId="77777777" w:rsidR="00492CA7" w:rsidRDefault="00000000">
      <w:pPr>
        <w:numPr>
          <w:ilvl w:val="0"/>
          <w:numId w:val="29"/>
        </w:numPr>
      </w:pPr>
      <w:r>
        <w:t xml:space="preserve">(ii) </w:t>
      </w:r>
      <w:r>
        <w:rPr>
          <w:b/>
        </w:rPr>
        <w:t>Community focus:</w:t>
      </w:r>
      <w:r>
        <w:rPr>
          <w:rFonts w:eastAsia="Georgia" w:hAnsi="Georgia" w:cs="Georgia"/>
        </w:rPr>
        <w:t xml:space="preserve"> CDFI certification, Federal Reserve CRA rating of "Outstanding" or equivalent, or documented ≥50% of lending portfolio to households ≤100% AMI,</w:t>
      </w:r>
    </w:p>
    <w:p w14:paraId="482A1372" w14:textId="77777777" w:rsidR="00492CA7" w:rsidRDefault="00000000">
      <w:pPr>
        <w:numPr>
          <w:ilvl w:val="0"/>
          <w:numId w:val="29"/>
        </w:numPr>
      </w:pPr>
      <w:r>
        <w:t xml:space="preserve">(iii) </w:t>
      </w:r>
      <w:r>
        <w:rPr>
          <w:b/>
        </w:rPr>
        <w:t>Affordable housing experience:</w:t>
      </w:r>
      <w:r>
        <w:rPr>
          <w:rFonts w:eastAsia="Georgia" w:hAnsi="Georgia" w:cs="Georgia"/>
        </w:rPr>
        <w:t xml:space="preserve"> ≥$25M in historical lending to affordable housing projects; ≥3-year history of low-income mortgage originations,</w:t>
      </w:r>
    </w:p>
    <w:p w14:paraId="1138D3C9" w14:textId="77777777" w:rsidR="00492CA7" w:rsidRDefault="00000000">
      <w:pPr>
        <w:numPr>
          <w:ilvl w:val="0"/>
          <w:numId w:val="29"/>
        </w:numPr>
      </w:pPr>
      <w:r>
        <w:t xml:space="preserve">(iv) </w:t>
      </w:r>
      <w:r>
        <w:rPr>
          <w:b/>
        </w:rPr>
        <w:t>Underwriting flexibility:</w:t>
      </w:r>
      <w:r>
        <w:t xml:space="preserve"> Willingness to accept alternative credit documentation (rent history, utility payment history, bank account data) in lieu of traditional credit scores,</w:t>
      </w:r>
    </w:p>
    <w:p w14:paraId="4C21718D" w14:textId="77777777" w:rsidR="00492CA7" w:rsidRDefault="00000000">
      <w:pPr>
        <w:numPr>
          <w:ilvl w:val="0"/>
          <w:numId w:val="29"/>
        </w:numPr>
      </w:pPr>
      <w:r>
        <w:t xml:space="preserve">(v) </w:t>
      </w:r>
      <w:r>
        <w:rPr>
          <w:b/>
        </w:rPr>
        <w:t>Servicing capacity:</w:t>
      </w:r>
      <w:r>
        <w:t xml:space="preserve"> Demonstrated ability to service 100+ mortgages annually with dedicated affordable housing staff,</w:t>
      </w:r>
    </w:p>
    <w:p w14:paraId="3A0E1C85" w14:textId="77777777" w:rsidR="00492CA7" w:rsidRDefault="00000000">
      <w:pPr>
        <w:numPr>
          <w:ilvl w:val="0"/>
          <w:numId w:val="29"/>
        </w:numPr>
      </w:pPr>
      <w:r>
        <w:t xml:space="preserve">(vi) </w:t>
      </w:r>
      <w:r>
        <w:rPr>
          <w:b/>
        </w:rPr>
        <w:t>Rate &amp; term commitment:</w:t>
      </w:r>
      <w:r>
        <w:rPr>
          <w:rFonts w:eastAsia="Georgia" w:hAnsi="Georgia" w:cs="Georgia"/>
        </w:rPr>
        <w:t xml:space="preserve"> Agreement to offer discounted rates (5.5–6.5% for 20–30 year terms) to ≤80% AMI borrowers,</w:t>
      </w:r>
    </w:p>
    <w:p w14:paraId="4A68DC2E" w14:textId="77777777" w:rsidR="00492CA7" w:rsidRDefault="00000000">
      <w:pPr>
        <w:numPr>
          <w:ilvl w:val="0"/>
          <w:numId w:val="29"/>
        </w:numPr>
      </w:pPr>
      <w:r>
        <w:t xml:space="preserve">(vii) </w:t>
      </w:r>
      <w:r>
        <w:rPr>
          <w:b/>
        </w:rPr>
        <w:t>Community reinvestment:</w:t>
      </w:r>
      <w:r>
        <w:rPr>
          <w:rFonts w:eastAsia="Georgia" w:hAnsi="Georgia" w:cs="Georgia"/>
        </w:rPr>
        <w:t xml:space="preserve"> Annual reinvestment of ≥10% of profits to community development initiatives or charitable purposes.</w:t>
      </w:r>
    </w:p>
    <w:p w14:paraId="33D39D97" w14:textId="77777777" w:rsidR="00492CA7" w:rsidRDefault="00000000">
      <w:pPr>
        <w:spacing w:after="210"/>
      </w:pPr>
      <w:r>
        <w:lastRenderedPageBreak/>
        <w:t xml:space="preserve">(b) </w:t>
      </w:r>
      <w:r>
        <w:rPr>
          <w:b/>
        </w:rPr>
        <w:t>Lead Credit Union Partners.</w:t>
      </w:r>
      <w:r>
        <w:rPr>
          <w:rFonts w:eastAsia="Georgia" w:hAnsi="Georgia" w:cs="Georgia"/>
        </w:rPr>
        <w:t xml:space="preserve"> The City shall establish formal partnerships with a minimum of 3–5 credit unions meeting criteria in 7.1(a):</w:t>
      </w:r>
    </w:p>
    <w:p w14:paraId="58516B44" w14:textId="77777777" w:rsidR="00492CA7" w:rsidRDefault="00000000">
      <w:pPr>
        <w:spacing w:after="210"/>
      </w:pPr>
      <w:r>
        <w:t>Prospective partners (NYC-based, by asset size):</w:t>
      </w:r>
    </w:p>
    <w:p w14:paraId="468CFF7F" w14:textId="77777777" w:rsidR="00492CA7" w:rsidRDefault="00000000">
      <w:pPr>
        <w:numPr>
          <w:ilvl w:val="0"/>
          <w:numId w:val="30"/>
        </w:numPr>
      </w:pPr>
      <w:r>
        <w:rPr>
          <w:b/>
        </w:rPr>
        <w:t>Dime Community Credit Union</w:t>
      </w:r>
      <w:r>
        <w:t xml:space="preserve"> ($2.8B assets, CDFI-certified, strong low-income mortgage portfolio),</w:t>
      </w:r>
    </w:p>
    <w:p w14:paraId="2A328547" w14:textId="77777777" w:rsidR="00492CA7" w:rsidRDefault="00000000">
      <w:pPr>
        <w:numPr>
          <w:ilvl w:val="0"/>
          <w:numId w:val="30"/>
        </w:numPr>
      </w:pPr>
      <w:r>
        <w:rPr>
          <w:b/>
        </w:rPr>
        <w:t>LendingClub Corp./Members Credit Union</w:t>
      </w:r>
      <w:r>
        <w:t xml:space="preserve"> ($12.5B, emerging CDFI focus),</w:t>
      </w:r>
    </w:p>
    <w:p w14:paraId="6F2FBBF9" w14:textId="77777777" w:rsidR="00492CA7" w:rsidRDefault="00000000">
      <w:pPr>
        <w:numPr>
          <w:ilvl w:val="0"/>
          <w:numId w:val="30"/>
        </w:numPr>
      </w:pPr>
      <w:r>
        <w:rPr>
          <w:b/>
        </w:rPr>
        <w:t>Bethex Federal Credit Union</w:t>
      </w:r>
      <w:r>
        <w:t xml:space="preserve"> ($800M, Bronx-focused, 80%+ lending to &lt;80% AMI),</w:t>
      </w:r>
    </w:p>
    <w:p w14:paraId="154B2EBA" w14:textId="77777777" w:rsidR="00492CA7" w:rsidRDefault="00000000">
      <w:pPr>
        <w:numPr>
          <w:ilvl w:val="0"/>
          <w:numId w:val="30"/>
        </w:numPr>
      </w:pPr>
      <w:r>
        <w:rPr>
          <w:b/>
        </w:rPr>
        <w:t>Ridgewood Savings Bank / Community Banks System</w:t>
      </w:r>
      <w:r>
        <w:t xml:space="preserve"> ($25B+, regional CDFI commitment).</w:t>
      </w:r>
    </w:p>
    <w:p w14:paraId="004C6560" w14:textId="77777777" w:rsidR="00492CA7" w:rsidRDefault="00000000">
      <w:pPr>
        <w:spacing w:after="210"/>
      </w:pPr>
      <w:r>
        <w:t xml:space="preserve">(c) </w:t>
      </w:r>
      <w:r>
        <w:rPr>
          <w:b/>
        </w:rPr>
        <w:t>Partnership Agreements.</w:t>
      </w:r>
      <w:r>
        <w:rPr>
          <w:rFonts w:eastAsia="Georgia" w:hAnsi="Georgia" w:cs="Georgia"/>
        </w:rPr>
        <w:t xml:space="preserve"> Each designated credit union shall execute a multi-year (5–7 year) partnership agreement with NYC specifying:</w:t>
      </w:r>
    </w:p>
    <w:p w14:paraId="0DD9B226" w14:textId="77777777" w:rsidR="00492CA7" w:rsidRDefault="00000000">
      <w:pPr>
        <w:numPr>
          <w:ilvl w:val="0"/>
          <w:numId w:val="31"/>
        </w:numPr>
      </w:pPr>
      <w:r>
        <w:rPr>
          <w:rFonts w:eastAsia="Georgia" w:hAnsi="Georgia" w:cs="Georgia"/>
        </w:rPr>
        <w:t>(i) Minimum annual origination volume (200–400 loans per partner),</w:t>
      </w:r>
    </w:p>
    <w:p w14:paraId="73941DF7" w14:textId="77777777" w:rsidR="00492CA7" w:rsidRDefault="00000000">
      <w:pPr>
        <w:numPr>
          <w:ilvl w:val="0"/>
          <w:numId w:val="31"/>
        </w:numPr>
      </w:pPr>
      <w:r>
        <w:rPr>
          <w:rFonts w:eastAsia="Georgia" w:hAnsi="Georgia" w:cs="Georgia"/>
        </w:rPr>
        <w:t>(ii) Target pricing (5.5–6.5% for ≤80% AMI; 6.0–6.8% for 80–120% AMI),</w:t>
      </w:r>
    </w:p>
    <w:p w14:paraId="144E83DA" w14:textId="77777777" w:rsidR="00492CA7" w:rsidRDefault="00000000">
      <w:pPr>
        <w:numPr>
          <w:ilvl w:val="0"/>
          <w:numId w:val="31"/>
        </w:numPr>
      </w:pPr>
      <w:r>
        <w:t>(iii) Underwriting standards emphasizing rent/payment history over credit scores,</w:t>
      </w:r>
    </w:p>
    <w:p w14:paraId="2324F61F" w14:textId="77777777" w:rsidR="00492CA7" w:rsidRDefault="00000000">
      <w:pPr>
        <w:numPr>
          <w:ilvl w:val="0"/>
          <w:numId w:val="31"/>
        </w:numPr>
      </w:pPr>
      <w:r>
        <w:t>(iv) Servicing standards (150-day maximum delinquency before forbearance; 12-month loss-mitigation review before foreclosure),</w:t>
      </w:r>
    </w:p>
    <w:p w14:paraId="5C02D861" w14:textId="77777777" w:rsidR="00492CA7" w:rsidRDefault="00000000">
      <w:pPr>
        <w:numPr>
          <w:ilvl w:val="0"/>
          <w:numId w:val="31"/>
        </w:numPr>
      </w:pPr>
      <w:r>
        <w:t>(v) Data reporting (quarterly loan performance, demographics, default/prepayment rates, CLT performance by loan),</w:t>
      </w:r>
    </w:p>
    <w:p w14:paraId="7433E843" w14:textId="77777777" w:rsidR="00492CA7" w:rsidRDefault="00000000">
      <w:pPr>
        <w:numPr>
          <w:ilvl w:val="0"/>
          <w:numId w:val="31"/>
        </w:numPr>
      </w:pPr>
      <w:r>
        <w:t>(vi) Community development commitments (financial literacy, down payment coaching, post-purchase support).</w:t>
      </w:r>
    </w:p>
    <w:p w14:paraId="0662492E" w14:textId="77777777" w:rsidR="00492CA7" w:rsidRDefault="00BB14A2">
      <w:r>
        <w:rPr>
          <w:noProof/>
        </w:rPr>
        <w:pict w14:anchorId="1F4F9FEB">
          <v:rect id="_x0000_i1055" alt="" style="width:434.5pt;height:.05pt;mso-width-percent:0;mso-height-percent:0;mso-width-percent:0;mso-height-percent:0" o:hralign="center" o:hrstd="t" o:hr="t"/>
        </w:pict>
      </w:r>
    </w:p>
    <w:p w14:paraId="039E2056" w14:textId="77777777" w:rsidR="00492CA7" w:rsidRDefault="00000000">
      <w:pPr>
        <w:spacing w:after="210"/>
      </w:pPr>
      <w:r>
        <w:t xml:space="preserve">7.2 </w:t>
      </w:r>
      <w:r>
        <w:rPr>
          <w:b/>
        </w:rPr>
        <w:t>Credit Union Loan Products &amp; Terms.</w:t>
      </w:r>
    </w:p>
    <w:p w14:paraId="644B46AD" w14:textId="77777777" w:rsidR="00492CA7" w:rsidRDefault="00000000">
      <w:pPr>
        <w:spacing w:after="210"/>
      </w:pPr>
      <w:r>
        <w:t xml:space="preserve">(a) </w:t>
      </w:r>
      <w:r>
        <w:rPr>
          <w:b/>
        </w:rPr>
        <w:t>30-Year Fixed-Rate Mortgage (Pathway 2 &amp; 3).</w:t>
      </w:r>
    </w:p>
    <w:p w14:paraId="36E346F8" w14:textId="77777777" w:rsidR="00492CA7" w:rsidRDefault="00000000">
      <w:pPr>
        <w:numPr>
          <w:ilvl w:val="0"/>
          <w:numId w:val="32"/>
        </w:numPr>
      </w:pPr>
      <w:r>
        <w:rPr>
          <w:b/>
        </w:rPr>
        <w:t>Term:</w:t>
      </w:r>
      <w:r>
        <w:t xml:space="preserve"> 360 months (30 years)</w:t>
      </w:r>
    </w:p>
    <w:p w14:paraId="4826760E" w14:textId="77777777" w:rsidR="00492CA7" w:rsidRDefault="00000000">
      <w:pPr>
        <w:numPr>
          <w:ilvl w:val="0"/>
          <w:numId w:val="32"/>
        </w:numPr>
      </w:pPr>
      <w:r>
        <w:rPr>
          <w:b/>
        </w:rPr>
        <w:t>Rate:</w:t>
      </w:r>
      <w:r>
        <w:rPr>
          <w:rFonts w:eastAsia="Georgia" w:hAnsi="Georgia" w:cs="Georgia"/>
        </w:rPr>
        <w:t xml:space="preserve"> 5.5–6.8% depending on credit profile and AMI band</w:t>
      </w:r>
    </w:p>
    <w:p w14:paraId="068BC863" w14:textId="77777777" w:rsidR="00492CA7" w:rsidRDefault="00000000">
      <w:pPr>
        <w:numPr>
          <w:ilvl w:val="0"/>
          <w:numId w:val="32"/>
        </w:numPr>
      </w:pPr>
      <w:r>
        <w:rPr>
          <w:b/>
        </w:rPr>
        <w:t>LTV:</w:t>
      </w:r>
      <w:r>
        <w:t xml:space="preserve"> 80% (20% down payment provided by HPD down payment assistance)</w:t>
      </w:r>
    </w:p>
    <w:p w14:paraId="3B933483" w14:textId="77777777" w:rsidR="00492CA7" w:rsidRDefault="00000000">
      <w:pPr>
        <w:numPr>
          <w:ilvl w:val="0"/>
          <w:numId w:val="32"/>
        </w:numPr>
      </w:pPr>
      <w:r>
        <w:rPr>
          <w:b/>
        </w:rPr>
        <w:t>Payment:</w:t>
      </w:r>
      <w:r>
        <w:t xml:space="preserve"> Examples (assumes $150K mortgage, 6.2% rate): $925/month P&amp;I</w:t>
      </w:r>
    </w:p>
    <w:p w14:paraId="1952686C" w14:textId="77777777" w:rsidR="00492CA7" w:rsidRDefault="00000000">
      <w:pPr>
        <w:numPr>
          <w:ilvl w:val="0"/>
          <w:numId w:val="32"/>
        </w:numPr>
      </w:pPr>
      <w:r>
        <w:rPr>
          <w:b/>
        </w:rPr>
        <w:t>Underwriting:</w:t>
      </w:r>
      <w:r>
        <w:t xml:space="preserve"> Rent history weighted 40%, W-2 employment history 30%, bank account history 20%, credit score 10% (alternative underwriting)</w:t>
      </w:r>
    </w:p>
    <w:p w14:paraId="097CC11E" w14:textId="77777777" w:rsidR="00492CA7" w:rsidRDefault="00000000">
      <w:pPr>
        <w:numPr>
          <w:ilvl w:val="0"/>
          <w:numId w:val="32"/>
        </w:numPr>
      </w:pPr>
      <w:r>
        <w:rPr>
          <w:b/>
        </w:rPr>
        <w:t>Servicing:</w:t>
      </w:r>
      <w:r>
        <w:t xml:space="preserve"> Credit union retains servicing; loss mitigation available after 30-day delinquency</w:t>
      </w:r>
    </w:p>
    <w:p w14:paraId="12095320" w14:textId="77777777" w:rsidR="00492CA7" w:rsidRDefault="00000000">
      <w:pPr>
        <w:spacing w:after="210"/>
      </w:pPr>
      <w:r>
        <w:t xml:space="preserve">(b) </w:t>
      </w:r>
      <w:r>
        <w:rPr>
          <w:b/>
        </w:rPr>
        <w:t xml:space="preserve">20-Year Fixed-Rate Share Loan (Pathway 1 </w:t>
      </w:r>
      <w:r>
        <w:rPr>
          <w:b/>
        </w:rPr>
        <w:t>–</w:t>
      </w:r>
      <w:r>
        <w:rPr>
          <w:b/>
        </w:rPr>
        <w:t xml:space="preserve"> CLT-LEC).</w:t>
      </w:r>
    </w:p>
    <w:p w14:paraId="0AC6A116" w14:textId="77777777" w:rsidR="00492CA7" w:rsidRDefault="00000000">
      <w:pPr>
        <w:numPr>
          <w:ilvl w:val="0"/>
          <w:numId w:val="33"/>
        </w:numPr>
      </w:pPr>
      <w:r>
        <w:rPr>
          <w:b/>
        </w:rPr>
        <w:t>Term:</w:t>
      </w:r>
      <w:r>
        <w:t xml:space="preserve"> 240 months (20 years)</w:t>
      </w:r>
    </w:p>
    <w:p w14:paraId="011E6DC9" w14:textId="77777777" w:rsidR="00492CA7" w:rsidRDefault="00000000">
      <w:pPr>
        <w:numPr>
          <w:ilvl w:val="0"/>
          <w:numId w:val="33"/>
        </w:numPr>
      </w:pPr>
      <w:r>
        <w:rPr>
          <w:b/>
        </w:rPr>
        <w:t>Rate:</w:t>
      </w:r>
      <w:r>
        <w:rPr>
          <w:rFonts w:eastAsia="Georgia" w:hAnsi="Georgia" w:cs="Georgia"/>
        </w:rPr>
        <w:t xml:space="preserve"> 5.5–6.5% (lower rate due to CLT-secured subordination)</w:t>
      </w:r>
    </w:p>
    <w:p w14:paraId="0766729E" w14:textId="77777777" w:rsidR="00492CA7" w:rsidRDefault="00000000">
      <w:pPr>
        <w:numPr>
          <w:ilvl w:val="0"/>
          <w:numId w:val="33"/>
        </w:numPr>
      </w:pPr>
      <w:r>
        <w:rPr>
          <w:b/>
        </w:rPr>
        <w:t>LTV:</w:t>
      </w:r>
      <w:r>
        <w:t xml:space="preserve"> 90% of cooperative share value (10% down payment required)</w:t>
      </w:r>
    </w:p>
    <w:p w14:paraId="0047CC87" w14:textId="77777777" w:rsidR="00492CA7" w:rsidRDefault="00000000">
      <w:pPr>
        <w:numPr>
          <w:ilvl w:val="0"/>
          <w:numId w:val="33"/>
        </w:numPr>
      </w:pPr>
      <w:r>
        <w:rPr>
          <w:b/>
        </w:rPr>
        <w:t>Payment:</w:t>
      </w:r>
      <w:r>
        <w:t xml:space="preserve"> Examples (assumes $40K share loan, 6.0% rate): $243/month P&amp;I</w:t>
      </w:r>
    </w:p>
    <w:p w14:paraId="5D7E0DB4" w14:textId="77777777" w:rsidR="00492CA7" w:rsidRDefault="00000000">
      <w:pPr>
        <w:numPr>
          <w:ilvl w:val="0"/>
          <w:numId w:val="33"/>
        </w:numPr>
      </w:pPr>
      <w:r>
        <w:rPr>
          <w:b/>
        </w:rPr>
        <w:lastRenderedPageBreak/>
        <w:t>Underwriting:</w:t>
      </w:r>
      <w:r>
        <w:t xml:space="preserve"> Same alternative standards as 7.2(a)</w:t>
      </w:r>
    </w:p>
    <w:p w14:paraId="47E08C7E" w14:textId="77777777" w:rsidR="00492CA7" w:rsidRDefault="00000000">
      <w:pPr>
        <w:numPr>
          <w:ilvl w:val="0"/>
          <w:numId w:val="33"/>
        </w:numPr>
      </w:pPr>
      <w:r>
        <w:rPr>
          <w:b/>
        </w:rPr>
        <w:t>Servicing:</w:t>
      </w:r>
      <w:r>
        <w:t xml:space="preserve"> Credit union retains servicing; CLT co-signs for default mitigation</w:t>
      </w:r>
    </w:p>
    <w:p w14:paraId="0C7AA301" w14:textId="77777777" w:rsidR="00492CA7" w:rsidRDefault="00000000">
      <w:pPr>
        <w:spacing w:after="210"/>
      </w:pPr>
      <w:r>
        <w:t xml:space="preserve">(c) </w:t>
      </w:r>
      <w:r>
        <w:rPr>
          <w:b/>
        </w:rPr>
        <w:t>Interest Rate Subsidy (Optional).</w:t>
      </w:r>
    </w:p>
    <w:p w14:paraId="57CC200C" w14:textId="77777777" w:rsidR="00492CA7" w:rsidRDefault="00000000">
      <w:pPr>
        <w:spacing w:after="210"/>
      </w:pPr>
      <w:r>
        <w:rPr>
          <w:rFonts w:eastAsia="Georgia" w:hAnsi="Georgia" w:cs="Georgia"/>
        </w:rPr>
        <w:t>HRA may provide interest-rate subsidy (0.5–1.0% buy-down) for households ≤60% AMI, reducing effective borrower rate to 4.5–5.5%. Subsidy paid annually to credit union via PET Framework budget.</w:t>
      </w:r>
    </w:p>
    <w:p w14:paraId="4CF65F86" w14:textId="77777777" w:rsidR="00492CA7" w:rsidRDefault="00BB14A2">
      <w:r>
        <w:rPr>
          <w:noProof/>
        </w:rPr>
        <w:pict w14:anchorId="5D0B591C">
          <v:rect id="_x0000_i1054" alt="" style="width:434.5pt;height:.05pt;mso-width-percent:0;mso-height-percent:0;mso-width-percent:0;mso-height-percent:0" o:hralign="center" o:hrstd="t" o:hr="t"/>
        </w:pict>
      </w:r>
    </w:p>
    <w:p w14:paraId="22BB787D" w14:textId="77777777" w:rsidR="00492CA7" w:rsidRDefault="00000000">
      <w:pPr>
        <w:spacing w:after="210"/>
      </w:pPr>
      <w:r>
        <w:t xml:space="preserve">7.3 </w:t>
      </w:r>
      <w:r>
        <w:rPr>
          <w:b/>
        </w:rPr>
        <w:t>Credit Union Default &amp; Loss-Mitigation Framework.</w:t>
      </w:r>
    </w:p>
    <w:p w14:paraId="0D0A20F7" w14:textId="77777777" w:rsidR="00492CA7" w:rsidRDefault="00000000">
      <w:pPr>
        <w:spacing w:after="210"/>
      </w:pPr>
      <w:r>
        <w:t xml:space="preserve">(a) </w:t>
      </w:r>
      <w:r>
        <w:rPr>
          <w:b/>
        </w:rPr>
        <w:t>Default Definition &amp; Triggers.</w:t>
      </w:r>
    </w:p>
    <w:p w14:paraId="589F5721" w14:textId="77777777" w:rsidR="00492CA7" w:rsidRDefault="00000000">
      <w:pPr>
        <w:numPr>
          <w:ilvl w:val="0"/>
          <w:numId w:val="34"/>
        </w:numPr>
      </w:pPr>
      <w:r>
        <w:t xml:space="preserve">(i) </w:t>
      </w:r>
      <w:r>
        <w:rPr>
          <w:b/>
        </w:rPr>
        <w:t>30-day delinquency:</w:t>
      </w:r>
      <w:r>
        <w:t xml:space="preserve"> First trigger; credit union initiates loss-mitigation contact,</w:t>
      </w:r>
    </w:p>
    <w:p w14:paraId="73DE7E0D" w14:textId="77777777" w:rsidR="00492CA7" w:rsidRDefault="00000000">
      <w:pPr>
        <w:numPr>
          <w:ilvl w:val="0"/>
          <w:numId w:val="34"/>
        </w:numPr>
      </w:pPr>
      <w:r>
        <w:t xml:space="preserve">(ii) </w:t>
      </w:r>
      <w:r>
        <w:rPr>
          <w:b/>
        </w:rPr>
        <w:t>60-day delinquency:</w:t>
      </w:r>
      <w:r>
        <w:t xml:space="preserve"> Second trigger; formal forbearance offer made,</w:t>
      </w:r>
    </w:p>
    <w:p w14:paraId="3996BC99" w14:textId="77777777" w:rsidR="00492CA7" w:rsidRDefault="00000000">
      <w:pPr>
        <w:numPr>
          <w:ilvl w:val="0"/>
          <w:numId w:val="34"/>
        </w:numPr>
      </w:pPr>
      <w:r>
        <w:t xml:space="preserve">(iii) </w:t>
      </w:r>
      <w:r>
        <w:rPr>
          <w:b/>
        </w:rPr>
        <w:t>120-day delinquency:</w:t>
      </w:r>
      <w:r>
        <w:t xml:space="preserve"> Third trigger; modified loan terms considered,</w:t>
      </w:r>
    </w:p>
    <w:p w14:paraId="66CE076E" w14:textId="77777777" w:rsidR="00492CA7" w:rsidRDefault="00000000">
      <w:pPr>
        <w:numPr>
          <w:ilvl w:val="0"/>
          <w:numId w:val="34"/>
        </w:numPr>
      </w:pPr>
      <w:r>
        <w:t xml:space="preserve">(iv) </w:t>
      </w:r>
      <w:r>
        <w:rPr>
          <w:b/>
        </w:rPr>
        <w:t>180-day delinquency:</w:t>
      </w:r>
      <w:r>
        <w:t xml:space="preserve"> Final trigger; foreclosure proceedings initiated only after loss-mitigation exhaustion.</w:t>
      </w:r>
    </w:p>
    <w:p w14:paraId="08FFFC9A" w14:textId="77777777" w:rsidR="00492CA7" w:rsidRDefault="00000000">
      <w:pPr>
        <w:spacing w:after="210"/>
      </w:pPr>
      <w:r>
        <w:t xml:space="preserve">(b) </w:t>
      </w:r>
      <w:r>
        <w:rPr>
          <w:b/>
        </w:rPr>
        <w:t>Loss-Mitigation Options (in priority order).</w:t>
      </w:r>
    </w:p>
    <w:p w14:paraId="5F8A5A2A" w14:textId="77777777" w:rsidR="00492CA7" w:rsidRDefault="00000000">
      <w:pPr>
        <w:numPr>
          <w:ilvl w:val="0"/>
          <w:numId w:val="35"/>
        </w:numPr>
      </w:pPr>
      <w:r>
        <w:t xml:space="preserve">(i) </w:t>
      </w:r>
      <w:r>
        <w:rPr>
          <w:b/>
        </w:rPr>
        <w:t>Temporary forbearance (3</w:t>
      </w:r>
      <w:r>
        <w:rPr>
          <w:b/>
        </w:rPr>
        <w:t>–</w:t>
      </w:r>
      <w:r>
        <w:rPr>
          <w:b/>
        </w:rPr>
        <w:t>6 months):</w:t>
      </w:r>
      <w:r>
        <w:t xml:space="preserve"> Suspend payments; recapture via recapitalized balloon at end of forbearance,</w:t>
      </w:r>
    </w:p>
    <w:p w14:paraId="59B1DC44" w14:textId="77777777" w:rsidR="00492CA7" w:rsidRDefault="00000000">
      <w:pPr>
        <w:numPr>
          <w:ilvl w:val="0"/>
          <w:numId w:val="35"/>
        </w:numPr>
      </w:pPr>
      <w:r>
        <w:t xml:space="preserve">(ii) </w:t>
      </w:r>
      <w:r>
        <w:rPr>
          <w:b/>
        </w:rPr>
        <w:t>Loan modification:</w:t>
      </w:r>
      <w:r>
        <w:rPr>
          <w:rFonts w:eastAsia="Georgia" w:hAnsi="Georgia" w:cs="Georgia"/>
        </w:rPr>
        <w:t xml:space="preserve"> Extend term to 40 years, reduce rate by 0.5–1.0%, reduce principal by ≤10% (principal reduction grant from HRA),</w:t>
      </w:r>
    </w:p>
    <w:p w14:paraId="175C02D5" w14:textId="77777777" w:rsidR="00492CA7" w:rsidRDefault="00000000">
      <w:pPr>
        <w:numPr>
          <w:ilvl w:val="0"/>
          <w:numId w:val="35"/>
        </w:numPr>
      </w:pPr>
      <w:r>
        <w:t xml:space="preserve">(iii) </w:t>
      </w:r>
      <w:r>
        <w:rPr>
          <w:b/>
        </w:rPr>
        <w:t>Payment deferral:</w:t>
      </w:r>
      <w:r>
        <w:rPr>
          <w:rFonts w:eastAsia="Georgia" w:hAnsi="Georgia" w:cs="Georgia"/>
        </w:rPr>
        <w:t xml:space="preserve"> Defer 3–6 months of missed payments; add to loan balance (if FHA insured or HRA-guaranteed),</w:t>
      </w:r>
    </w:p>
    <w:p w14:paraId="3FE56EF5" w14:textId="77777777" w:rsidR="00492CA7" w:rsidRDefault="00000000">
      <w:pPr>
        <w:numPr>
          <w:ilvl w:val="0"/>
          <w:numId w:val="35"/>
        </w:numPr>
      </w:pPr>
      <w:r>
        <w:t xml:space="preserve">(iv) </w:t>
      </w:r>
      <w:r>
        <w:rPr>
          <w:b/>
        </w:rPr>
        <w:t>Refinance:</w:t>
      </w:r>
      <w:r>
        <w:rPr>
          <w:rFonts w:eastAsia="Georgia" w:hAnsi="Georgia" w:cs="Georgia"/>
        </w:rPr>
        <w:t xml:space="preserve"> Offer refinance at current rates if credit union can reduce payment by ≥$100/month,</w:t>
      </w:r>
    </w:p>
    <w:p w14:paraId="5FDE9514" w14:textId="77777777" w:rsidR="00492CA7" w:rsidRDefault="00000000">
      <w:pPr>
        <w:numPr>
          <w:ilvl w:val="0"/>
          <w:numId w:val="35"/>
        </w:numPr>
      </w:pPr>
      <w:r>
        <w:t xml:space="preserve">(v) </w:t>
      </w:r>
      <w:r>
        <w:rPr>
          <w:b/>
        </w:rPr>
        <w:t>Deed-in-lieu:</w:t>
      </w:r>
      <w:r>
        <w:t xml:space="preserve"> If loss-mitigation exhausted, offer deed-in-lieu of foreclosure; CLT or City repurchases at formula price, resells to next qualified buyer.</w:t>
      </w:r>
    </w:p>
    <w:p w14:paraId="790A0591" w14:textId="77777777" w:rsidR="00492CA7" w:rsidRDefault="00000000">
      <w:pPr>
        <w:spacing w:after="210"/>
      </w:pPr>
      <w:r>
        <w:t xml:space="preserve">(c) </w:t>
      </w:r>
      <w:r>
        <w:rPr>
          <w:b/>
        </w:rPr>
        <w:t>CLT &amp; City Guarantee Role.</w:t>
      </w:r>
    </w:p>
    <w:p w14:paraId="10847BB2" w14:textId="77777777" w:rsidR="00492CA7" w:rsidRDefault="00000000">
      <w:pPr>
        <w:numPr>
          <w:ilvl w:val="0"/>
          <w:numId w:val="36"/>
        </w:numPr>
      </w:pPr>
      <w:r>
        <w:t xml:space="preserve">(i) </w:t>
      </w:r>
      <w:r>
        <w:rPr>
          <w:b/>
        </w:rPr>
        <w:t>CLT guarantee:</w:t>
      </w:r>
      <w:r>
        <w:t xml:space="preserve"> For Pathway 1 loans, CLT co-guarantees 25% of credit union loss exposure, reducing credit union risk,</w:t>
      </w:r>
    </w:p>
    <w:p w14:paraId="458A246B" w14:textId="77777777" w:rsidR="00492CA7" w:rsidRDefault="00000000">
      <w:pPr>
        <w:numPr>
          <w:ilvl w:val="0"/>
          <w:numId w:val="36"/>
        </w:numPr>
      </w:pPr>
      <w:r>
        <w:t xml:space="preserve">(ii) </w:t>
      </w:r>
      <w:r>
        <w:rPr>
          <w:b/>
        </w:rPr>
        <w:t>City guarantee:</w:t>
      </w:r>
      <w:r>
        <w:rPr>
          <w:rFonts w:eastAsia="Georgia" w:hAnsi="Georgia" w:cs="Georgia"/>
        </w:rPr>
        <w:t xml:space="preserve"> For Pathways 2 &amp; 3, HRA may provide loan loss reserve (1–2% of total portfolio) to credit union, reducing loss exposure,</w:t>
      </w:r>
    </w:p>
    <w:p w14:paraId="5FA40505" w14:textId="77777777" w:rsidR="00492CA7" w:rsidRDefault="00000000">
      <w:pPr>
        <w:numPr>
          <w:ilvl w:val="0"/>
          <w:numId w:val="36"/>
        </w:numPr>
      </w:pPr>
      <w:r>
        <w:t xml:space="preserve">(iii) </w:t>
      </w:r>
      <w:r>
        <w:rPr>
          <w:b/>
        </w:rPr>
        <w:t>Expected impact:</w:t>
      </w:r>
      <w:r>
        <w:rPr>
          <w:rFonts w:eastAsia="Georgia" w:hAnsi="Georgia" w:cs="Georgia"/>
        </w:rPr>
        <w:t xml:space="preserve"> Default rate reduction from 4–5% (conventional low-income mortgages) to 1.5–2.5% (PET-guaranteed loans).</w:t>
      </w:r>
    </w:p>
    <w:p w14:paraId="32617D17" w14:textId="77777777" w:rsidR="00492CA7" w:rsidRDefault="00BB14A2">
      <w:r>
        <w:rPr>
          <w:noProof/>
        </w:rPr>
        <w:pict w14:anchorId="44CEFAA5">
          <v:rect id="_x0000_i1053" alt="" style="width:434.5pt;height:.05pt;mso-width-percent:0;mso-height-percent:0;mso-width-percent:0;mso-height-percent:0" o:hralign="center" o:hrstd="t" o:hr="t"/>
        </w:pict>
      </w:r>
    </w:p>
    <w:p w14:paraId="6108A0E3" w14:textId="77777777" w:rsidR="00492CA7" w:rsidRDefault="00000000">
      <w:pPr>
        <w:spacing w:before="240" w:line="271" w:lineRule="auto"/>
      </w:pPr>
      <w:bookmarkStart w:id="13" w:name="section_8_community_land_trust_in_b5b5fb"/>
      <w:r>
        <w:rPr>
          <w:b/>
          <w:sz w:val="33"/>
        </w:rPr>
        <w:t>SECTION 8: COMMUNITY LAND TRUST INTEGRATION &amp; GOVERNANCE</w:t>
      </w:r>
      <w:bookmarkEnd w:id="13"/>
    </w:p>
    <w:p w14:paraId="231113E3" w14:textId="77777777" w:rsidR="00492CA7" w:rsidRDefault="00000000">
      <w:pPr>
        <w:spacing w:after="210"/>
      </w:pPr>
      <w:r>
        <w:t xml:space="preserve">8.1 </w:t>
      </w:r>
      <w:r>
        <w:rPr>
          <w:b/>
        </w:rPr>
        <w:t>CLT Network Designation &amp; Expansion.</w:t>
      </w:r>
    </w:p>
    <w:p w14:paraId="6134A2C3" w14:textId="77777777" w:rsidR="00492CA7" w:rsidRDefault="00000000">
      <w:pPr>
        <w:spacing w:after="210"/>
      </w:pPr>
      <w:r>
        <w:lastRenderedPageBreak/>
        <w:t xml:space="preserve">(a) </w:t>
      </w:r>
      <w:r>
        <w:rPr>
          <w:b/>
        </w:rPr>
        <w:t>Existing NYC CLT Network.</w:t>
      </w:r>
      <w:r>
        <w:t xml:space="preserve"> The City acknowledges the following 12 CLTs as </w:t>
      </w:r>
      <w:r>
        <w:rPr>
          <w:b/>
        </w:rPr>
        <w:t>Primary PET Framework Partners:</w:t>
      </w:r>
    </w:p>
    <w:p w14:paraId="3B54EEA1" w14:textId="77777777" w:rsidR="00492CA7" w:rsidRDefault="00000000">
      <w:pPr>
        <w:numPr>
          <w:ilvl w:val="0"/>
          <w:numId w:val="37"/>
        </w:numPr>
      </w:pPr>
      <w:r>
        <w:t>East New York CLT (Brooklyn)</w:t>
      </w:r>
    </w:p>
    <w:p w14:paraId="44535D85" w14:textId="77777777" w:rsidR="00492CA7" w:rsidRDefault="00000000">
      <w:pPr>
        <w:numPr>
          <w:ilvl w:val="0"/>
          <w:numId w:val="37"/>
        </w:numPr>
      </w:pPr>
      <w:r>
        <w:t>Harlem CLT (Manhattan)</w:t>
      </w:r>
    </w:p>
    <w:p w14:paraId="4D3798A6" w14:textId="77777777" w:rsidR="00492CA7" w:rsidRDefault="00000000">
      <w:pPr>
        <w:numPr>
          <w:ilvl w:val="0"/>
          <w:numId w:val="37"/>
        </w:numPr>
      </w:pPr>
      <w:r>
        <w:t>Chhaya CDC CLT (Queens)</w:t>
      </w:r>
    </w:p>
    <w:p w14:paraId="68E7F045" w14:textId="77777777" w:rsidR="00492CA7" w:rsidRDefault="00000000">
      <w:pPr>
        <w:numPr>
          <w:ilvl w:val="0"/>
          <w:numId w:val="37"/>
        </w:numPr>
      </w:pPr>
      <w:r>
        <w:t>Cypress Hills CLT (Brooklyn)</w:t>
      </w:r>
    </w:p>
    <w:p w14:paraId="24F96A59" w14:textId="77777777" w:rsidR="00492CA7" w:rsidRDefault="00000000">
      <w:pPr>
        <w:numPr>
          <w:ilvl w:val="0"/>
          <w:numId w:val="37"/>
        </w:numPr>
      </w:pPr>
      <w:r>
        <w:t>Phipps Neighborhoods CLT (Bronx)</w:t>
      </w:r>
    </w:p>
    <w:p w14:paraId="0F71A5A9" w14:textId="77777777" w:rsidR="00492CA7" w:rsidRDefault="00000000">
      <w:pPr>
        <w:numPr>
          <w:ilvl w:val="0"/>
          <w:numId w:val="37"/>
        </w:numPr>
      </w:pPr>
      <w:r>
        <w:t>Sunset Park CLT (Brooklyn)</w:t>
      </w:r>
    </w:p>
    <w:p w14:paraId="15ED0942" w14:textId="77777777" w:rsidR="00492CA7" w:rsidRDefault="00000000">
      <w:pPr>
        <w:numPr>
          <w:ilvl w:val="0"/>
          <w:numId w:val="37"/>
        </w:numPr>
      </w:pPr>
      <w:r>
        <w:t>West Side CLT (Manhattan)</w:t>
      </w:r>
    </w:p>
    <w:p w14:paraId="4188D9AE" w14:textId="77777777" w:rsidR="00492CA7" w:rsidRDefault="00000000">
      <w:pPr>
        <w:numPr>
          <w:ilvl w:val="0"/>
          <w:numId w:val="37"/>
        </w:numPr>
      </w:pPr>
      <w:r>
        <w:t>Jamaica CLT (Queens)</w:t>
      </w:r>
    </w:p>
    <w:p w14:paraId="3A13C499" w14:textId="77777777" w:rsidR="00492CA7" w:rsidRDefault="00000000">
      <w:pPr>
        <w:numPr>
          <w:ilvl w:val="0"/>
          <w:numId w:val="37"/>
        </w:numPr>
      </w:pPr>
      <w:r>
        <w:t>Astoria CLT (Queens)</w:t>
      </w:r>
    </w:p>
    <w:p w14:paraId="2369FA00" w14:textId="77777777" w:rsidR="00492CA7" w:rsidRDefault="00000000">
      <w:pPr>
        <w:numPr>
          <w:ilvl w:val="0"/>
          <w:numId w:val="37"/>
        </w:numPr>
      </w:pPr>
      <w:r>
        <w:t>Morris Heights CLT (Bronx)</w:t>
      </w:r>
    </w:p>
    <w:p w14:paraId="33A8925D" w14:textId="77777777" w:rsidR="00492CA7" w:rsidRDefault="00000000">
      <w:pPr>
        <w:numPr>
          <w:ilvl w:val="0"/>
          <w:numId w:val="37"/>
        </w:numPr>
      </w:pPr>
      <w:r>
        <w:t>Hunts Point CLT (Bronx)</w:t>
      </w:r>
    </w:p>
    <w:p w14:paraId="6503D4BF" w14:textId="77777777" w:rsidR="00492CA7" w:rsidRDefault="00000000">
      <w:pPr>
        <w:numPr>
          <w:ilvl w:val="0"/>
          <w:numId w:val="37"/>
        </w:numPr>
      </w:pPr>
      <w:r>
        <w:t>South Bronx CLT (Bronx)</w:t>
      </w:r>
    </w:p>
    <w:p w14:paraId="5F0590DB" w14:textId="77777777" w:rsidR="00492CA7" w:rsidRDefault="00000000">
      <w:pPr>
        <w:spacing w:after="210"/>
      </w:pPr>
      <w:r>
        <w:t xml:space="preserve">(b) </w:t>
      </w:r>
      <w:r>
        <w:rPr>
          <w:b/>
        </w:rPr>
        <w:t>CLT Expansion.</w:t>
      </w:r>
      <w:r>
        <w:rPr>
          <w:rFonts w:eastAsia="Georgia" w:hAnsi="Georgia" w:cs="Georgia"/>
        </w:rPr>
        <w:t xml:space="preserve"> By Year 3 of PET Framework implementation, City shall support establishment of ≥3 additional CLTs in underserved neighborhoods (Upper Manhattan, outer Bronx, southeastern Queens) via:</w:t>
      </w:r>
    </w:p>
    <w:p w14:paraId="739309DB" w14:textId="77777777" w:rsidR="00492CA7" w:rsidRDefault="00000000">
      <w:pPr>
        <w:numPr>
          <w:ilvl w:val="0"/>
          <w:numId w:val="38"/>
        </w:numPr>
      </w:pPr>
      <w:r>
        <w:rPr>
          <w:rFonts w:eastAsia="Georgia" w:hAnsi="Georgia" w:cs="Georgia"/>
        </w:rPr>
        <w:t>(i) $3M–$5M per new CLT for land acquisition and startup,</w:t>
      </w:r>
    </w:p>
    <w:p w14:paraId="6AEE10C4" w14:textId="77777777" w:rsidR="00492CA7" w:rsidRDefault="00000000">
      <w:pPr>
        <w:numPr>
          <w:ilvl w:val="0"/>
          <w:numId w:val="38"/>
        </w:numPr>
      </w:pPr>
      <w:r>
        <w:t>(ii) Training and technical assistance via NYC CLT Collaborative,</w:t>
      </w:r>
    </w:p>
    <w:p w14:paraId="4A0612EF" w14:textId="77777777" w:rsidR="00492CA7" w:rsidRDefault="00000000">
      <w:pPr>
        <w:numPr>
          <w:ilvl w:val="0"/>
          <w:numId w:val="38"/>
        </w:numPr>
      </w:pPr>
      <w:r>
        <w:t>(iii) Guaranteed government purchase orders (HPD commitment to allocate 25% of annual down payment assistance to each new CLT).</w:t>
      </w:r>
    </w:p>
    <w:p w14:paraId="66112BAB" w14:textId="77777777" w:rsidR="00492CA7" w:rsidRDefault="00BB14A2">
      <w:r>
        <w:rPr>
          <w:noProof/>
        </w:rPr>
        <w:pict w14:anchorId="05FAC937">
          <v:rect id="_x0000_i1052" alt="" style="width:434.5pt;height:.05pt;mso-width-percent:0;mso-height-percent:0;mso-width-percent:0;mso-height-percent:0" o:hralign="center" o:hrstd="t" o:hr="t"/>
        </w:pict>
      </w:r>
    </w:p>
    <w:p w14:paraId="3BC53EF3" w14:textId="77777777" w:rsidR="00492CA7" w:rsidRDefault="00000000">
      <w:pPr>
        <w:spacing w:after="210"/>
      </w:pPr>
      <w:r>
        <w:t xml:space="preserve">8.2 </w:t>
      </w:r>
      <w:r>
        <w:rPr>
          <w:b/>
        </w:rPr>
        <w:t>CLT-City Partnership Agreement Terms.</w:t>
      </w:r>
    </w:p>
    <w:p w14:paraId="190CC579" w14:textId="77777777" w:rsidR="00492CA7" w:rsidRDefault="00000000">
      <w:pPr>
        <w:spacing w:after="210"/>
      </w:pPr>
      <w:r>
        <w:t xml:space="preserve">(a) </w:t>
      </w:r>
      <w:r>
        <w:rPr>
          <w:b/>
        </w:rPr>
        <w:t>Annual CLT Grant Structure.</w:t>
      </w:r>
    </w:p>
    <w:p w14:paraId="1A007A97" w14:textId="77777777" w:rsidR="00492CA7" w:rsidRDefault="00000000">
      <w:pPr>
        <w:spacing w:after="210"/>
      </w:pPr>
      <w:r>
        <w:t>Each existing CLT shall receive annual funding as follows: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65"/>
        <w:gridCol w:w="2827"/>
        <w:gridCol w:w="1918"/>
        <w:gridCol w:w="1374"/>
      </w:tblGrid>
      <w:tr w:rsidR="00492CA7" w14:paraId="1CDA9B9A" w14:textId="77777777">
        <w:trPr>
          <w:cantSplit/>
          <w:tblCellSpacing w:w="0" w:type="dxa"/>
          <w:jc w:val="center"/>
        </w:trPr>
        <w:tc>
          <w:tcPr>
            <w:tcW w:w="0" w:type="auto"/>
            <w:tcBorders>
              <w:top w:val="single" w:sz="1" w:space="0" w:color="000000"/>
              <w:bottom w:val="single" w:sz="1" w:space="0" w:color="000000"/>
            </w:tcBorders>
          </w:tcPr>
          <w:p w14:paraId="1F6BBF36" w14:textId="77777777" w:rsidR="00492CA7" w:rsidRDefault="00000000">
            <w:r>
              <w:t>CLT Size</w:t>
            </w:r>
          </w:p>
        </w:tc>
        <w:tc>
          <w:tcPr>
            <w:tcW w:w="0" w:type="auto"/>
            <w:tcBorders>
              <w:top w:val="single" w:sz="1" w:space="0" w:color="000000"/>
              <w:left w:val="single" w:sz="1" w:space="0" w:color="000000"/>
              <w:bottom w:val="single" w:sz="1" w:space="0" w:color="000000"/>
            </w:tcBorders>
          </w:tcPr>
          <w:p w14:paraId="0393319E" w14:textId="77777777" w:rsidR="00492CA7" w:rsidRDefault="00000000">
            <w:r>
              <w:t>Households Served (Baseline)</w:t>
            </w:r>
          </w:p>
        </w:tc>
        <w:tc>
          <w:tcPr>
            <w:tcW w:w="0" w:type="auto"/>
            <w:tcBorders>
              <w:top w:val="single" w:sz="1" w:space="0" w:color="000000"/>
              <w:left w:val="single" w:sz="1" w:space="0" w:color="000000"/>
              <w:bottom w:val="single" w:sz="1" w:space="0" w:color="000000"/>
            </w:tcBorders>
          </w:tcPr>
          <w:p w14:paraId="40E33A50" w14:textId="77777777" w:rsidR="00492CA7" w:rsidRDefault="00000000">
            <w:r>
              <w:t>Annual HPD Grant</w:t>
            </w:r>
          </w:p>
        </w:tc>
        <w:tc>
          <w:tcPr>
            <w:tcW w:w="0" w:type="auto"/>
            <w:tcBorders>
              <w:top w:val="single" w:sz="1" w:space="0" w:color="000000"/>
              <w:left w:val="single" w:sz="1" w:space="0" w:color="000000"/>
              <w:bottom w:val="single" w:sz="1" w:space="0" w:color="000000"/>
            </w:tcBorders>
          </w:tcPr>
          <w:p w14:paraId="6840E694" w14:textId="77777777" w:rsidR="00492CA7" w:rsidRDefault="00000000">
            <w:r>
              <w:t>5-Year Total</w:t>
            </w:r>
          </w:p>
        </w:tc>
      </w:tr>
      <w:tr w:rsidR="00492CA7" w14:paraId="43E53204" w14:textId="77777777">
        <w:trPr>
          <w:cantSplit/>
          <w:tblCellSpacing w:w="0" w:type="dxa"/>
          <w:jc w:val="center"/>
        </w:trPr>
        <w:tc>
          <w:tcPr>
            <w:tcW w:w="0" w:type="auto"/>
            <w:tcBorders>
              <w:top w:val="single" w:sz="1" w:space="0" w:color="000000"/>
              <w:bottom w:val="single" w:sz="1" w:space="0" w:color="000000"/>
            </w:tcBorders>
          </w:tcPr>
          <w:p w14:paraId="099022A3" w14:textId="77777777" w:rsidR="00492CA7" w:rsidRDefault="00000000">
            <w:r>
              <w:rPr>
                <w:b/>
              </w:rPr>
              <w:t>Large (&gt;300 HH)</w:t>
            </w:r>
          </w:p>
        </w:tc>
        <w:tc>
          <w:tcPr>
            <w:tcW w:w="0" w:type="auto"/>
            <w:tcBorders>
              <w:top w:val="single" w:sz="1" w:space="0" w:color="000000"/>
              <w:left w:val="single" w:sz="1" w:space="0" w:color="000000"/>
              <w:bottom w:val="single" w:sz="1" w:space="0" w:color="000000"/>
            </w:tcBorders>
          </w:tcPr>
          <w:p w14:paraId="798D89D3" w14:textId="77777777" w:rsidR="00492CA7" w:rsidRDefault="00000000">
            <w:r>
              <w:t>&gt;300</w:t>
            </w:r>
          </w:p>
        </w:tc>
        <w:tc>
          <w:tcPr>
            <w:tcW w:w="0" w:type="auto"/>
            <w:tcBorders>
              <w:top w:val="single" w:sz="1" w:space="0" w:color="000000"/>
              <w:left w:val="single" w:sz="1" w:space="0" w:color="000000"/>
              <w:bottom w:val="single" w:sz="1" w:space="0" w:color="000000"/>
            </w:tcBorders>
          </w:tcPr>
          <w:p w14:paraId="45ED4FD9" w14:textId="77777777" w:rsidR="00492CA7" w:rsidRDefault="00000000">
            <w:r>
              <w:t>$2.0M</w:t>
            </w:r>
          </w:p>
        </w:tc>
        <w:tc>
          <w:tcPr>
            <w:tcW w:w="0" w:type="auto"/>
            <w:tcBorders>
              <w:top w:val="single" w:sz="1" w:space="0" w:color="000000"/>
              <w:left w:val="single" w:sz="1" w:space="0" w:color="000000"/>
              <w:bottom w:val="single" w:sz="1" w:space="0" w:color="000000"/>
            </w:tcBorders>
          </w:tcPr>
          <w:p w14:paraId="3C1D1CC3" w14:textId="77777777" w:rsidR="00492CA7" w:rsidRDefault="00000000">
            <w:r>
              <w:t>$10M</w:t>
            </w:r>
          </w:p>
        </w:tc>
      </w:tr>
      <w:tr w:rsidR="00492CA7" w14:paraId="0F6098E8" w14:textId="77777777">
        <w:trPr>
          <w:cantSplit/>
          <w:tblCellSpacing w:w="0" w:type="dxa"/>
          <w:jc w:val="center"/>
        </w:trPr>
        <w:tc>
          <w:tcPr>
            <w:tcW w:w="0" w:type="auto"/>
            <w:tcBorders>
              <w:top w:val="single" w:sz="1" w:space="0" w:color="000000"/>
              <w:bottom w:val="single" w:sz="1" w:space="0" w:color="000000"/>
            </w:tcBorders>
          </w:tcPr>
          <w:p w14:paraId="4ABCA0BD" w14:textId="77777777" w:rsidR="00492CA7" w:rsidRDefault="00000000">
            <w:r>
              <w:rPr>
                <w:b/>
              </w:rPr>
              <w:t>Medium (100</w:t>
            </w:r>
            <w:r>
              <w:rPr>
                <w:b/>
              </w:rPr>
              <w:t>–</w:t>
            </w:r>
            <w:r>
              <w:rPr>
                <w:b/>
              </w:rPr>
              <w:t>300 HH)</w:t>
            </w:r>
          </w:p>
        </w:tc>
        <w:tc>
          <w:tcPr>
            <w:tcW w:w="0" w:type="auto"/>
            <w:tcBorders>
              <w:top w:val="single" w:sz="1" w:space="0" w:color="000000"/>
              <w:left w:val="single" w:sz="1" w:space="0" w:color="000000"/>
              <w:bottom w:val="single" w:sz="1" w:space="0" w:color="000000"/>
            </w:tcBorders>
          </w:tcPr>
          <w:p w14:paraId="416F51F8" w14:textId="77777777" w:rsidR="00492CA7" w:rsidRDefault="00000000">
            <w:r>
              <w:rPr>
                <w:rFonts w:eastAsia="Georgia" w:hAnsi="Georgia" w:cs="Georgia"/>
              </w:rPr>
              <w:t>100–300</w:t>
            </w:r>
          </w:p>
        </w:tc>
        <w:tc>
          <w:tcPr>
            <w:tcW w:w="0" w:type="auto"/>
            <w:tcBorders>
              <w:top w:val="single" w:sz="1" w:space="0" w:color="000000"/>
              <w:left w:val="single" w:sz="1" w:space="0" w:color="000000"/>
              <w:bottom w:val="single" w:sz="1" w:space="0" w:color="000000"/>
            </w:tcBorders>
          </w:tcPr>
          <w:p w14:paraId="66A872BB" w14:textId="77777777" w:rsidR="00492CA7" w:rsidRDefault="00000000">
            <w:r>
              <w:t>$1.2M</w:t>
            </w:r>
          </w:p>
        </w:tc>
        <w:tc>
          <w:tcPr>
            <w:tcW w:w="0" w:type="auto"/>
            <w:tcBorders>
              <w:top w:val="single" w:sz="1" w:space="0" w:color="000000"/>
              <w:left w:val="single" w:sz="1" w:space="0" w:color="000000"/>
              <w:bottom w:val="single" w:sz="1" w:space="0" w:color="000000"/>
            </w:tcBorders>
          </w:tcPr>
          <w:p w14:paraId="67464F64" w14:textId="77777777" w:rsidR="00492CA7" w:rsidRDefault="00000000">
            <w:r>
              <w:t>$6M</w:t>
            </w:r>
          </w:p>
        </w:tc>
      </w:tr>
      <w:tr w:rsidR="00492CA7" w14:paraId="0893682B" w14:textId="77777777">
        <w:trPr>
          <w:cantSplit/>
          <w:tblCellSpacing w:w="0" w:type="dxa"/>
          <w:jc w:val="center"/>
        </w:trPr>
        <w:tc>
          <w:tcPr>
            <w:tcW w:w="0" w:type="auto"/>
            <w:tcBorders>
              <w:top w:val="single" w:sz="1" w:space="0" w:color="000000"/>
              <w:bottom w:val="single" w:sz="1" w:space="0" w:color="000000"/>
            </w:tcBorders>
          </w:tcPr>
          <w:p w14:paraId="07D6AD23" w14:textId="77777777" w:rsidR="00492CA7" w:rsidRDefault="00000000">
            <w:r>
              <w:rPr>
                <w:b/>
              </w:rPr>
              <w:t>Small (&lt;100 HH)</w:t>
            </w:r>
          </w:p>
        </w:tc>
        <w:tc>
          <w:tcPr>
            <w:tcW w:w="0" w:type="auto"/>
            <w:tcBorders>
              <w:top w:val="single" w:sz="1" w:space="0" w:color="000000"/>
              <w:left w:val="single" w:sz="1" w:space="0" w:color="000000"/>
              <w:bottom w:val="single" w:sz="1" w:space="0" w:color="000000"/>
            </w:tcBorders>
          </w:tcPr>
          <w:p w14:paraId="51BCDBAD" w14:textId="77777777" w:rsidR="00492CA7" w:rsidRDefault="00000000">
            <w:r>
              <w:t>&lt;100</w:t>
            </w:r>
          </w:p>
        </w:tc>
        <w:tc>
          <w:tcPr>
            <w:tcW w:w="0" w:type="auto"/>
            <w:tcBorders>
              <w:top w:val="single" w:sz="1" w:space="0" w:color="000000"/>
              <w:left w:val="single" w:sz="1" w:space="0" w:color="000000"/>
              <w:bottom w:val="single" w:sz="1" w:space="0" w:color="000000"/>
            </w:tcBorders>
          </w:tcPr>
          <w:p w14:paraId="55444C05" w14:textId="77777777" w:rsidR="00492CA7" w:rsidRDefault="00000000">
            <w:r>
              <w:t>$600K</w:t>
            </w:r>
          </w:p>
        </w:tc>
        <w:tc>
          <w:tcPr>
            <w:tcW w:w="0" w:type="auto"/>
            <w:tcBorders>
              <w:top w:val="single" w:sz="1" w:space="0" w:color="000000"/>
              <w:left w:val="single" w:sz="1" w:space="0" w:color="000000"/>
              <w:bottom w:val="single" w:sz="1" w:space="0" w:color="000000"/>
            </w:tcBorders>
          </w:tcPr>
          <w:p w14:paraId="3825434B" w14:textId="77777777" w:rsidR="00492CA7" w:rsidRDefault="00000000">
            <w:r>
              <w:t>$3M</w:t>
            </w:r>
          </w:p>
        </w:tc>
      </w:tr>
    </w:tbl>
    <w:p w14:paraId="1A0FFDE2" w14:textId="77777777" w:rsidR="00492CA7" w:rsidRDefault="00492CA7"/>
    <w:p w14:paraId="728B8CC8" w14:textId="77777777" w:rsidR="00492CA7" w:rsidRDefault="00000000">
      <w:pPr>
        <w:spacing w:after="210"/>
      </w:pPr>
      <w:r>
        <w:t xml:space="preserve">(b) </w:t>
      </w:r>
      <w:r>
        <w:rPr>
          <w:b/>
        </w:rPr>
        <w:t>Grant Uses.</w:t>
      </w:r>
    </w:p>
    <w:p w14:paraId="6EA4D202" w14:textId="77777777" w:rsidR="00492CA7" w:rsidRDefault="00000000">
      <w:pPr>
        <w:spacing w:after="210"/>
      </w:pPr>
      <w:r>
        <w:t>CLT grants shall fund:</w:t>
      </w:r>
    </w:p>
    <w:p w14:paraId="44199295" w14:textId="77777777" w:rsidR="00492CA7" w:rsidRDefault="00000000">
      <w:pPr>
        <w:numPr>
          <w:ilvl w:val="0"/>
          <w:numId w:val="39"/>
        </w:numPr>
      </w:pPr>
      <w:r>
        <w:t xml:space="preserve">(i) </w:t>
      </w:r>
      <w:r>
        <w:rPr>
          <w:b/>
        </w:rPr>
        <w:t>Acquisition capital:</w:t>
      </w:r>
      <w:r>
        <w:t xml:space="preserve"> Purchase land/buildings for conversion (40% of grant),</w:t>
      </w:r>
    </w:p>
    <w:p w14:paraId="241941B6" w14:textId="77777777" w:rsidR="00492CA7" w:rsidRDefault="00000000">
      <w:pPr>
        <w:numPr>
          <w:ilvl w:val="0"/>
          <w:numId w:val="39"/>
        </w:numPr>
      </w:pPr>
      <w:r>
        <w:lastRenderedPageBreak/>
        <w:t xml:space="preserve">(ii) </w:t>
      </w:r>
      <w:r>
        <w:rPr>
          <w:b/>
        </w:rPr>
        <w:t>Community education &amp; organizing:</w:t>
      </w:r>
      <w:r>
        <w:t xml:space="preserve"> Tenant organizing, homeownership readiness curriculum, first-time buyer counseling (25% of grant),</w:t>
      </w:r>
    </w:p>
    <w:p w14:paraId="77FAA5F3" w14:textId="77777777" w:rsidR="00492CA7" w:rsidRDefault="00000000">
      <w:pPr>
        <w:numPr>
          <w:ilvl w:val="0"/>
          <w:numId w:val="39"/>
        </w:numPr>
      </w:pPr>
      <w:r>
        <w:t xml:space="preserve">(iii) </w:t>
      </w:r>
      <w:r>
        <w:rPr>
          <w:b/>
        </w:rPr>
        <w:t>Operating costs:</w:t>
      </w:r>
      <w:r>
        <w:t xml:space="preserve"> Staff, legal, property management systems, default loss reserve (20% of grant),</w:t>
      </w:r>
    </w:p>
    <w:p w14:paraId="65BD5C60" w14:textId="77777777" w:rsidR="00492CA7" w:rsidRDefault="00000000">
      <w:pPr>
        <w:numPr>
          <w:ilvl w:val="0"/>
          <w:numId w:val="39"/>
        </w:numPr>
      </w:pPr>
      <w:r>
        <w:t xml:space="preserve">(iv) </w:t>
      </w:r>
      <w:r>
        <w:rPr>
          <w:b/>
        </w:rPr>
        <w:t>Refinancing &amp; capital preservation:</w:t>
      </w:r>
      <w:r>
        <w:t xml:space="preserve"> Establish CLT reserves and re-lending capacity (15% of grant).</w:t>
      </w:r>
    </w:p>
    <w:p w14:paraId="2C8DCDE1" w14:textId="77777777" w:rsidR="00492CA7" w:rsidRDefault="00000000">
      <w:pPr>
        <w:spacing w:after="210"/>
      </w:pPr>
      <w:r>
        <w:t xml:space="preserve">(c) </w:t>
      </w:r>
      <w:r>
        <w:rPr>
          <w:b/>
        </w:rPr>
        <w:t>Performance Metrics &amp; Accountability.</w:t>
      </w:r>
    </w:p>
    <w:p w14:paraId="57200601" w14:textId="77777777" w:rsidR="00492CA7" w:rsidRDefault="00000000">
      <w:pPr>
        <w:spacing w:after="210"/>
      </w:pPr>
      <w:r>
        <w:t>Each CLT shall achieve the following annual targets (adjusted for CLT size):</w:t>
      </w:r>
    </w:p>
    <w:p w14:paraId="02934955" w14:textId="77777777" w:rsidR="00492CA7" w:rsidRDefault="00000000">
      <w:pPr>
        <w:numPr>
          <w:ilvl w:val="0"/>
          <w:numId w:val="40"/>
        </w:numPr>
      </w:pPr>
      <w:r>
        <w:t xml:space="preserve">(i) </w:t>
      </w:r>
      <w:r>
        <w:rPr>
          <w:b/>
        </w:rPr>
        <w:t>Conversion volume:</w:t>
      </w:r>
      <w:r>
        <w:rPr>
          <w:rFonts w:eastAsia="Georgia" w:hAnsi="Georgia" w:cs="Georgia"/>
        </w:rPr>
        <w:t xml:space="preserve"> Acquire and convert 50–100 properties per large CLT; 20–50 per medium CLT; 10–20 per small CLT,</w:t>
      </w:r>
    </w:p>
    <w:p w14:paraId="6770E3BF" w14:textId="77777777" w:rsidR="00492CA7" w:rsidRDefault="00000000">
      <w:pPr>
        <w:numPr>
          <w:ilvl w:val="0"/>
          <w:numId w:val="40"/>
        </w:numPr>
      </w:pPr>
      <w:r>
        <w:t xml:space="preserve">(ii) </w:t>
      </w:r>
      <w:r>
        <w:rPr>
          <w:b/>
        </w:rPr>
        <w:t>Completion rate:</w:t>
      </w:r>
      <w:r>
        <w:t xml:space="preserve"> 85%+ of households converting to ownership within 24 months of HPD funding commitment,</w:t>
      </w:r>
    </w:p>
    <w:p w14:paraId="70DDF41F" w14:textId="77777777" w:rsidR="00492CA7" w:rsidRDefault="00000000">
      <w:pPr>
        <w:numPr>
          <w:ilvl w:val="0"/>
          <w:numId w:val="40"/>
        </w:numPr>
      </w:pPr>
      <w:r>
        <w:t xml:space="preserve">(iii) </w:t>
      </w:r>
      <w:r>
        <w:rPr>
          <w:b/>
        </w:rPr>
        <w:t>Tenant participation:</w:t>
      </w:r>
      <w:r>
        <w:t xml:space="preserve"> 75%+ of conversions from existing tenants in CLT-controlled buildings,</w:t>
      </w:r>
    </w:p>
    <w:p w14:paraId="0DEB4306" w14:textId="77777777" w:rsidR="00492CA7" w:rsidRDefault="00000000">
      <w:pPr>
        <w:numPr>
          <w:ilvl w:val="0"/>
          <w:numId w:val="40"/>
        </w:numPr>
      </w:pPr>
      <w:r>
        <w:t xml:space="preserve">(iv) </w:t>
      </w:r>
      <w:r>
        <w:rPr>
          <w:b/>
        </w:rPr>
        <w:t>Default performance:</w:t>
      </w:r>
      <w:r>
        <w:t xml:space="preserve"> &lt;2% default rate on CLT-mediated mortgages (credit union loans),</w:t>
      </w:r>
    </w:p>
    <w:p w14:paraId="1576F71A" w14:textId="77777777" w:rsidR="00492CA7" w:rsidRDefault="00000000">
      <w:pPr>
        <w:numPr>
          <w:ilvl w:val="0"/>
          <w:numId w:val="40"/>
        </w:numPr>
      </w:pPr>
      <w:r>
        <w:t xml:space="preserve">(v) </w:t>
      </w:r>
      <w:r>
        <w:rPr>
          <w:b/>
        </w:rPr>
        <w:t>Equity accrual:</w:t>
      </w:r>
      <w:r>
        <w:t xml:space="preserve"> Demonstration of household equity accumulation via 5-year post-conversion surveys,</w:t>
      </w:r>
    </w:p>
    <w:p w14:paraId="0FF26396" w14:textId="77777777" w:rsidR="00492CA7" w:rsidRDefault="00000000">
      <w:pPr>
        <w:numPr>
          <w:ilvl w:val="0"/>
          <w:numId w:val="40"/>
        </w:numPr>
      </w:pPr>
      <w:r>
        <w:t xml:space="preserve">(vi) </w:t>
      </w:r>
      <w:r>
        <w:rPr>
          <w:b/>
        </w:rPr>
        <w:t>Disaggregated outcomes:</w:t>
      </w:r>
      <w:r>
        <w:t xml:space="preserve"> Track and report outcomes by race/ethnicity, income band, family composition, tenure length (Section 10).</w:t>
      </w:r>
    </w:p>
    <w:p w14:paraId="60E31B60" w14:textId="77777777" w:rsidR="00492CA7" w:rsidRDefault="00BB14A2">
      <w:r>
        <w:rPr>
          <w:noProof/>
        </w:rPr>
        <w:pict w14:anchorId="1BB5C966">
          <v:rect id="_x0000_i1051" alt="" style="width:434.5pt;height:.05pt;mso-width-percent:0;mso-height-percent:0;mso-width-percent:0;mso-height-percent:0" o:hralign="center" o:hrstd="t" o:hr="t"/>
        </w:pict>
      </w:r>
    </w:p>
    <w:p w14:paraId="039E2053" w14:textId="77777777" w:rsidR="00492CA7" w:rsidRDefault="00000000">
      <w:pPr>
        <w:spacing w:after="210"/>
      </w:pPr>
      <w:r>
        <w:t xml:space="preserve">8.3 </w:t>
      </w:r>
      <w:r>
        <w:rPr>
          <w:b/>
        </w:rPr>
        <w:t>CLT Ground Lease &amp; Resale Restrictions Template.</w:t>
      </w:r>
    </w:p>
    <w:p w14:paraId="644AB996" w14:textId="77777777" w:rsidR="00492CA7" w:rsidRDefault="00000000">
      <w:pPr>
        <w:spacing w:after="210"/>
      </w:pPr>
      <w:r>
        <w:t xml:space="preserve">(a) </w:t>
      </w:r>
      <w:r>
        <w:rPr>
          <w:b/>
        </w:rPr>
        <w:t>Ground Lease Term.</w:t>
      </w:r>
      <w:r>
        <w:t xml:space="preserve"> Minimum 99 years; CLT offers renewal at net present value (NPV) 5 years prior to expiration.</w:t>
      </w:r>
    </w:p>
    <w:p w14:paraId="21BE9A7E" w14:textId="77777777" w:rsidR="00492CA7" w:rsidRDefault="00000000">
      <w:pPr>
        <w:spacing w:after="210"/>
      </w:pPr>
      <w:r>
        <w:t xml:space="preserve">(b) </w:t>
      </w:r>
      <w:r>
        <w:rPr>
          <w:b/>
        </w:rPr>
        <w:t>Income-Linked Resale Pricing (CLT Template).</w:t>
      </w:r>
    </w:p>
    <w:p w14:paraId="283995F0" w14:textId="77777777" w:rsidR="00492CA7" w:rsidRDefault="00000000">
      <w:pPr>
        <w:spacing w:after="210"/>
      </w:pPr>
      <w:r>
        <w:t>Upon sale, CLT or City computes resale price as follows:</w:t>
      </w:r>
    </w:p>
    <w:p w14:paraId="4439DA93" w14:textId="77777777" w:rsidR="00492CA7" w:rsidRDefault="00000000">
      <w:pPr>
        <w:spacing w:after="210"/>
      </w:pPr>
      <w:r>
        <w:rPr>
          <w:b/>
        </w:rPr>
        <w:t xml:space="preserve">Maximum Resale Price = [Original Purchase Price + (Inflation Adjustment </w:t>
      </w:r>
      <w:r>
        <w:rPr>
          <w:b/>
        </w:rPr>
        <w:t>×</w:t>
      </w:r>
      <w:r>
        <w:rPr>
          <w:b/>
        </w:rPr>
        <w:t xml:space="preserve"> Improvements Invested) + 50% of Equity Appreciation Above CPI]</w:t>
      </w:r>
    </w:p>
    <w:p w14:paraId="7A8310B1" w14:textId="77777777" w:rsidR="00492CA7" w:rsidRDefault="00000000">
      <w:pPr>
        <w:spacing w:after="210"/>
      </w:pPr>
      <w:r>
        <w:t>Where:</w:t>
      </w:r>
    </w:p>
    <w:p w14:paraId="11244798" w14:textId="77777777" w:rsidR="00492CA7" w:rsidRDefault="00000000">
      <w:pPr>
        <w:numPr>
          <w:ilvl w:val="0"/>
          <w:numId w:val="41"/>
        </w:numPr>
      </w:pPr>
      <w:r>
        <w:t xml:space="preserve">(i) </w:t>
      </w:r>
      <w:r>
        <w:rPr>
          <w:b/>
        </w:rPr>
        <w:t>Original Purchase Price</w:t>
      </w:r>
      <w:r>
        <w:t xml:space="preserve"> = Price paid at time of CLT conversion,</w:t>
      </w:r>
    </w:p>
    <w:p w14:paraId="37DB5E46" w14:textId="77777777" w:rsidR="00492CA7" w:rsidRDefault="00000000">
      <w:pPr>
        <w:numPr>
          <w:ilvl w:val="0"/>
          <w:numId w:val="41"/>
        </w:numPr>
      </w:pPr>
      <w:r>
        <w:t xml:space="preserve">(ii) </w:t>
      </w:r>
      <w:r>
        <w:rPr>
          <w:b/>
        </w:rPr>
        <w:t>Inflation Adjustment</w:t>
      </w:r>
      <w:r>
        <w:t xml:space="preserve"> = Annual CPI applied to owner-invested capital (property taxes, mortgage principal, improvements),</w:t>
      </w:r>
    </w:p>
    <w:p w14:paraId="75BC64EA" w14:textId="77777777" w:rsidR="00492CA7" w:rsidRDefault="00000000">
      <w:pPr>
        <w:numPr>
          <w:ilvl w:val="0"/>
          <w:numId w:val="41"/>
        </w:numPr>
      </w:pPr>
      <w:r>
        <w:t xml:space="preserve">(iii) </w:t>
      </w:r>
      <w:r>
        <w:rPr>
          <w:b/>
        </w:rPr>
        <w:t>Equity Appreciation Above CPI</w:t>
      </w:r>
      <w:r>
        <w:t xml:space="preserve"> = Appreciation beyond inflation rate, split 50/50 between owner (wealth-building) and CLT reserve fund (next-generation conversions),</w:t>
      </w:r>
    </w:p>
    <w:p w14:paraId="57785BC5" w14:textId="77777777" w:rsidR="00492CA7" w:rsidRDefault="00000000">
      <w:pPr>
        <w:numPr>
          <w:ilvl w:val="0"/>
          <w:numId w:val="41"/>
        </w:numPr>
      </w:pPr>
      <w:r>
        <w:t xml:space="preserve">(iv) </w:t>
      </w:r>
      <w:r>
        <w:rPr>
          <w:b/>
        </w:rPr>
        <w:t>Improvements Invested</w:t>
      </w:r>
      <w:r>
        <w:t xml:space="preserve"> = Owner capital invested in repairs/upgrades, up to $50K, verified by CLT.</w:t>
      </w:r>
    </w:p>
    <w:p w14:paraId="3F656AA9" w14:textId="4D537CC3" w:rsidR="00492CA7" w:rsidRDefault="00000000">
      <w:pPr>
        <w:spacing w:after="210"/>
      </w:pPr>
      <w:r>
        <w:lastRenderedPageBreak/>
        <w:t xml:space="preserve">(c) </w:t>
      </w:r>
      <w:r>
        <w:rPr>
          <w:b/>
        </w:rPr>
        <w:t>Right-of-First-Refusal (ROFR).</w:t>
      </w:r>
      <w:r>
        <w:rPr>
          <w:rFonts w:eastAsia="Georgia" w:hAnsi="Georgia" w:cs="Georgia"/>
        </w:rPr>
        <w:t xml:space="preserve"> CLT holds ROFR for all resales. CLT must respond to owner resale notice within 30 days; if CLT declines, owner may sell at market </w:t>
      </w:r>
      <w:r w:rsidR="007F5B4B">
        <w:rPr>
          <w:rFonts w:eastAsia="Georgia" w:hAnsi="Georgia" w:cs="Georgia"/>
        </w:rPr>
        <w:t>rate,</w:t>
      </w:r>
      <w:r>
        <w:rPr>
          <w:rFonts w:eastAsia="Georgia" w:hAnsi="Georgia" w:cs="Georgia"/>
        </w:rPr>
        <w:t xml:space="preserve"> but buyer must meet affordability income test (≤120% AMI).</w:t>
      </w:r>
    </w:p>
    <w:p w14:paraId="30B9A3EC" w14:textId="77777777" w:rsidR="00492CA7" w:rsidRDefault="00000000">
      <w:pPr>
        <w:spacing w:after="210"/>
      </w:pPr>
      <w:r>
        <w:t xml:space="preserve">(d) </w:t>
      </w:r>
      <w:r>
        <w:rPr>
          <w:b/>
        </w:rPr>
        <w:t>Inheritance &amp; Succession.</w:t>
      </w:r>
      <w:r>
        <w:t xml:space="preserve"> Upon owner death, CLT shall:</w:t>
      </w:r>
    </w:p>
    <w:p w14:paraId="5CD255FF" w14:textId="77777777" w:rsidR="00492CA7" w:rsidRDefault="00000000">
      <w:pPr>
        <w:numPr>
          <w:ilvl w:val="0"/>
          <w:numId w:val="42"/>
        </w:numPr>
      </w:pPr>
      <w:r>
        <w:t>(i) Offer heirs opportunity to assume mortgage and continue occupancy,</w:t>
      </w:r>
    </w:p>
    <w:p w14:paraId="0C39F97F" w14:textId="77777777" w:rsidR="00492CA7" w:rsidRDefault="00000000">
      <w:pPr>
        <w:numPr>
          <w:ilvl w:val="0"/>
          <w:numId w:val="42"/>
        </w:numPr>
      </w:pPr>
      <w:r>
        <w:t>(ii) If heirs decline, repurchase at formula price and resell to next qualified buyer,</w:t>
      </w:r>
    </w:p>
    <w:p w14:paraId="27253928" w14:textId="77777777" w:rsidR="00492CA7" w:rsidRDefault="00000000">
      <w:pPr>
        <w:numPr>
          <w:ilvl w:val="0"/>
          <w:numId w:val="42"/>
        </w:numPr>
      </w:pPr>
      <w:r>
        <w:t>(iii) Work with heirs to enable generational wealth transfer (e.g., restructured down payment for heir to transition into ownership).</w:t>
      </w:r>
    </w:p>
    <w:p w14:paraId="5A0E79F6" w14:textId="77777777" w:rsidR="00492CA7" w:rsidRDefault="00BB14A2">
      <w:r>
        <w:rPr>
          <w:noProof/>
        </w:rPr>
        <w:pict w14:anchorId="54F114B0">
          <v:rect id="_x0000_i1050" alt="" style="width:434.5pt;height:.05pt;mso-width-percent:0;mso-height-percent:0;mso-width-percent:0;mso-height-percent:0" o:hralign="center" o:hrstd="t" o:hr="t"/>
        </w:pict>
      </w:r>
    </w:p>
    <w:p w14:paraId="7869C8AD" w14:textId="77777777" w:rsidR="00492CA7" w:rsidRDefault="00000000">
      <w:pPr>
        <w:spacing w:before="240" w:line="271" w:lineRule="auto"/>
      </w:pPr>
      <w:bookmarkStart w:id="14" w:name="section_9_implementation_phases_timeline"/>
      <w:r>
        <w:rPr>
          <w:b/>
          <w:sz w:val="33"/>
        </w:rPr>
        <w:t>SECTION 9: IMPLEMENTATION PHASES &amp; TIMELINE</w:t>
      </w:r>
      <w:bookmarkEnd w:id="14"/>
    </w:p>
    <w:p w14:paraId="0D448DC9" w14:textId="77777777" w:rsidR="00492CA7" w:rsidRDefault="00000000">
      <w:pPr>
        <w:spacing w:after="210"/>
      </w:pPr>
      <w:r>
        <w:t xml:space="preserve">9.1 </w:t>
      </w:r>
      <w:r>
        <w:rPr>
          <w:b/>
        </w:rPr>
        <w:t>Phase I: Foundation &amp; Partnerships (FY 2026</w:t>
      </w:r>
      <w:r>
        <w:rPr>
          <w:b/>
        </w:rPr>
        <w:t>–</w:t>
      </w:r>
      <w:r>
        <w:rPr>
          <w:b/>
        </w:rPr>
        <w:t>2027)</w:t>
      </w:r>
    </w:p>
    <w:p w14:paraId="1A0011F1" w14:textId="77777777" w:rsidR="00492CA7" w:rsidRDefault="00000000">
      <w:pPr>
        <w:spacing w:after="210"/>
      </w:pPr>
      <w:r>
        <w:rPr>
          <w:b/>
        </w:rPr>
        <w:t>Goals:</w:t>
      </w:r>
      <w:r>
        <w:t xml:space="preserve"> Establish governance, formalize partnerships, pilot 500 conversions.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30"/>
        <w:gridCol w:w="1342"/>
        <w:gridCol w:w="1371"/>
        <w:gridCol w:w="1466"/>
        <w:gridCol w:w="1622"/>
        <w:gridCol w:w="1353"/>
      </w:tblGrid>
      <w:tr w:rsidR="00492CA7" w14:paraId="4D416736" w14:textId="77777777">
        <w:trPr>
          <w:cantSplit/>
          <w:tblCellSpacing w:w="0" w:type="dxa"/>
          <w:jc w:val="center"/>
        </w:trPr>
        <w:tc>
          <w:tcPr>
            <w:tcW w:w="0" w:type="auto"/>
            <w:tcBorders>
              <w:top w:val="single" w:sz="1" w:space="0" w:color="000000"/>
              <w:bottom w:val="single" w:sz="1" w:space="0" w:color="000000"/>
            </w:tcBorders>
          </w:tcPr>
          <w:p w14:paraId="0FBD0DB1" w14:textId="77777777" w:rsidR="00492CA7" w:rsidRDefault="00000000">
            <w:r>
              <w:t>Milestone</w:t>
            </w:r>
          </w:p>
        </w:tc>
        <w:tc>
          <w:tcPr>
            <w:tcW w:w="0" w:type="auto"/>
            <w:tcBorders>
              <w:top w:val="single" w:sz="1" w:space="0" w:color="000000"/>
              <w:left w:val="single" w:sz="1" w:space="0" w:color="000000"/>
              <w:bottom w:val="single" w:sz="1" w:space="0" w:color="000000"/>
            </w:tcBorders>
          </w:tcPr>
          <w:p w14:paraId="62C2E92F" w14:textId="77777777" w:rsidR="00492CA7" w:rsidRDefault="00000000">
            <w:r>
              <w:t>Q1 2026</w:t>
            </w:r>
          </w:p>
        </w:tc>
        <w:tc>
          <w:tcPr>
            <w:tcW w:w="0" w:type="auto"/>
            <w:tcBorders>
              <w:top w:val="single" w:sz="1" w:space="0" w:color="000000"/>
              <w:left w:val="single" w:sz="1" w:space="0" w:color="000000"/>
              <w:bottom w:val="single" w:sz="1" w:space="0" w:color="000000"/>
            </w:tcBorders>
          </w:tcPr>
          <w:p w14:paraId="6A789E84" w14:textId="77777777" w:rsidR="00492CA7" w:rsidRDefault="00000000">
            <w:r>
              <w:t>Q2 2026</w:t>
            </w:r>
          </w:p>
        </w:tc>
        <w:tc>
          <w:tcPr>
            <w:tcW w:w="0" w:type="auto"/>
            <w:tcBorders>
              <w:top w:val="single" w:sz="1" w:space="0" w:color="000000"/>
              <w:left w:val="single" w:sz="1" w:space="0" w:color="000000"/>
              <w:bottom w:val="single" w:sz="1" w:space="0" w:color="000000"/>
            </w:tcBorders>
          </w:tcPr>
          <w:p w14:paraId="3066241E" w14:textId="77777777" w:rsidR="00492CA7" w:rsidRDefault="00000000">
            <w:r>
              <w:t>Q3 2026</w:t>
            </w:r>
          </w:p>
        </w:tc>
        <w:tc>
          <w:tcPr>
            <w:tcW w:w="0" w:type="auto"/>
            <w:tcBorders>
              <w:top w:val="single" w:sz="1" w:space="0" w:color="000000"/>
              <w:left w:val="single" w:sz="1" w:space="0" w:color="000000"/>
              <w:bottom w:val="single" w:sz="1" w:space="0" w:color="000000"/>
            </w:tcBorders>
          </w:tcPr>
          <w:p w14:paraId="59845788" w14:textId="77777777" w:rsidR="00492CA7" w:rsidRDefault="00000000">
            <w:r>
              <w:t>Q4 2026</w:t>
            </w:r>
          </w:p>
        </w:tc>
        <w:tc>
          <w:tcPr>
            <w:tcW w:w="0" w:type="auto"/>
            <w:tcBorders>
              <w:top w:val="single" w:sz="1" w:space="0" w:color="000000"/>
              <w:left w:val="single" w:sz="1" w:space="0" w:color="000000"/>
              <w:bottom w:val="single" w:sz="1" w:space="0" w:color="000000"/>
            </w:tcBorders>
          </w:tcPr>
          <w:p w14:paraId="451EE4EE" w14:textId="77777777" w:rsidR="00492CA7" w:rsidRDefault="00000000">
            <w:r>
              <w:rPr>
                <w:rFonts w:eastAsia="Georgia" w:hAnsi="Georgia" w:cs="Georgia"/>
              </w:rPr>
              <w:t>Q1–Q4 2027</w:t>
            </w:r>
          </w:p>
        </w:tc>
      </w:tr>
      <w:tr w:rsidR="00492CA7" w14:paraId="2F3B9A6C" w14:textId="77777777">
        <w:trPr>
          <w:cantSplit/>
          <w:tblCellSpacing w:w="0" w:type="dxa"/>
          <w:jc w:val="center"/>
        </w:trPr>
        <w:tc>
          <w:tcPr>
            <w:tcW w:w="0" w:type="auto"/>
            <w:tcBorders>
              <w:top w:val="single" w:sz="1" w:space="0" w:color="000000"/>
              <w:bottom w:val="single" w:sz="1" w:space="0" w:color="000000"/>
            </w:tcBorders>
          </w:tcPr>
          <w:p w14:paraId="612159E8" w14:textId="77777777" w:rsidR="00492CA7" w:rsidRDefault="00000000">
            <w:r>
              <w:rPr>
                <w:b/>
              </w:rPr>
              <w:t>Governance</w:t>
            </w:r>
          </w:p>
        </w:tc>
        <w:tc>
          <w:tcPr>
            <w:tcW w:w="0" w:type="auto"/>
            <w:tcBorders>
              <w:top w:val="single" w:sz="1" w:space="0" w:color="000000"/>
              <w:left w:val="single" w:sz="1" w:space="0" w:color="000000"/>
              <w:bottom w:val="single" w:sz="1" w:space="0" w:color="000000"/>
            </w:tcBorders>
          </w:tcPr>
          <w:p w14:paraId="57830A92" w14:textId="77777777" w:rsidR="00492CA7" w:rsidRDefault="00000000">
            <w:r>
              <w:t>PETO established</w:t>
            </w:r>
          </w:p>
        </w:tc>
        <w:tc>
          <w:tcPr>
            <w:tcW w:w="0" w:type="auto"/>
            <w:tcBorders>
              <w:top w:val="single" w:sz="1" w:space="0" w:color="000000"/>
              <w:left w:val="single" w:sz="1" w:space="0" w:color="000000"/>
              <w:bottom w:val="single" w:sz="1" w:space="0" w:color="000000"/>
            </w:tcBorders>
          </w:tcPr>
          <w:p w14:paraId="59397574" w14:textId="77777777" w:rsidR="00492CA7" w:rsidRDefault="00000000">
            <w:r>
              <w:t>Staff hiring</w:t>
            </w:r>
          </w:p>
        </w:tc>
        <w:tc>
          <w:tcPr>
            <w:tcW w:w="0" w:type="auto"/>
            <w:tcBorders>
              <w:top w:val="single" w:sz="1" w:space="0" w:color="000000"/>
              <w:left w:val="single" w:sz="1" w:space="0" w:color="000000"/>
              <w:bottom w:val="single" w:sz="1" w:space="0" w:color="000000"/>
            </w:tcBorders>
          </w:tcPr>
          <w:p w14:paraId="0C5BCAFF" w14:textId="77777777" w:rsidR="00492CA7" w:rsidRDefault="00000000">
            <w:r>
              <w:t>Operating procedures</w:t>
            </w:r>
          </w:p>
        </w:tc>
        <w:tc>
          <w:tcPr>
            <w:tcW w:w="0" w:type="auto"/>
            <w:tcBorders>
              <w:top w:val="single" w:sz="1" w:space="0" w:color="000000"/>
              <w:left w:val="single" w:sz="1" w:space="0" w:color="000000"/>
              <w:bottom w:val="single" w:sz="1" w:space="0" w:color="000000"/>
            </w:tcBorders>
          </w:tcPr>
          <w:p w14:paraId="388742AC" w14:textId="77777777" w:rsidR="00492CA7" w:rsidRDefault="00000000">
            <w:r>
              <w:t>Dashboard launch</w:t>
            </w:r>
          </w:p>
        </w:tc>
        <w:tc>
          <w:tcPr>
            <w:tcW w:w="0" w:type="auto"/>
            <w:tcBorders>
              <w:top w:val="single" w:sz="1" w:space="0" w:color="000000"/>
              <w:left w:val="single" w:sz="1" w:space="0" w:color="000000"/>
              <w:bottom w:val="single" w:sz="1" w:space="0" w:color="000000"/>
            </w:tcBorders>
          </w:tcPr>
          <w:p w14:paraId="38159681" w14:textId="77777777" w:rsidR="00492CA7" w:rsidRDefault="00000000">
            <w:r>
              <w:rPr>
                <w:rFonts w:eastAsia="Georgia" w:hAnsi="Georgia" w:cs="Georgia"/>
              </w:rPr>
              <w:t>—</w:t>
            </w:r>
          </w:p>
        </w:tc>
      </w:tr>
      <w:tr w:rsidR="00492CA7" w14:paraId="47301302" w14:textId="77777777">
        <w:trPr>
          <w:cantSplit/>
          <w:tblCellSpacing w:w="0" w:type="dxa"/>
          <w:jc w:val="center"/>
        </w:trPr>
        <w:tc>
          <w:tcPr>
            <w:tcW w:w="0" w:type="auto"/>
            <w:tcBorders>
              <w:top w:val="single" w:sz="1" w:space="0" w:color="000000"/>
              <w:bottom w:val="single" w:sz="1" w:space="0" w:color="000000"/>
            </w:tcBorders>
          </w:tcPr>
          <w:p w14:paraId="1C9FE69F" w14:textId="77777777" w:rsidR="00492CA7" w:rsidRDefault="00000000">
            <w:r>
              <w:rPr>
                <w:b/>
              </w:rPr>
              <w:t>Credit Union</w:t>
            </w:r>
          </w:p>
        </w:tc>
        <w:tc>
          <w:tcPr>
            <w:tcW w:w="0" w:type="auto"/>
            <w:tcBorders>
              <w:top w:val="single" w:sz="1" w:space="0" w:color="000000"/>
              <w:left w:val="single" w:sz="1" w:space="0" w:color="000000"/>
              <w:bottom w:val="single" w:sz="1" w:space="0" w:color="000000"/>
            </w:tcBorders>
          </w:tcPr>
          <w:p w14:paraId="3D5F1CE1" w14:textId="77777777" w:rsidR="00492CA7" w:rsidRDefault="00000000">
            <w:r>
              <w:t>Partner selection</w:t>
            </w:r>
          </w:p>
        </w:tc>
        <w:tc>
          <w:tcPr>
            <w:tcW w:w="0" w:type="auto"/>
            <w:tcBorders>
              <w:top w:val="single" w:sz="1" w:space="0" w:color="000000"/>
              <w:left w:val="single" w:sz="1" w:space="0" w:color="000000"/>
              <w:bottom w:val="single" w:sz="1" w:space="0" w:color="000000"/>
            </w:tcBorders>
          </w:tcPr>
          <w:p w14:paraId="04E3C9A5" w14:textId="77777777" w:rsidR="00492CA7" w:rsidRDefault="00000000">
            <w:r>
              <w:t>Agreements signed</w:t>
            </w:r>
          </w:p>
        </w:tc>
        <w:tc>
          <w:tcPr>
            <w:tcW w:w="0" w:type="auto"/>
            <w:tcBorders>
              <w:top w:val="single" w:sz="1" w:space="0" w:color="000000"/>
              <w:left w:val="single" w:sz="1" w:space="0" w:color="000000"/>
              <w:bottom w:val="single" w:sz="1" w:space="0" w:color="000000"/>
            </w:tcBorders>
          </w:tcPr>
          <w:p w14:paraId="31BB739E" w14:textId="77777777" w:rsidR="00492CA7" w:rsidRDefault="00000000">
            <w:r>
              <w:t>IT integration</w:t>
            </w:r>
          </w:p>
        </w:tc>
        <w:tc>
          <w:tcPr>
            <w:tcW w:w="0" w:type="auto"/>
            <w:tcBorders>
              <w:top w:val="single" w:sz="1" w:space="0" w:color="000000"/>
              <w:left w:val="single" w:sz="1" w:space="0" w:color="000000"/>
              <w:bottom w:val="single" w:sz="1" w:space="0" w:color="000000"/>
            </w:tcBorders>
          </w:tcPr>
          <w:p w14:paraId="7F4F4278" w14:textId="77777777" w:rsidR="00492CA7" w:rsidRDefault="00000000">
            <w:r>
              <w:t>Pilot cohort</w:t>
            </w:r>
          </w:p>
        </w:tc>
        <w:tc>
          <w:tcPr>
            <w:tcW w:w="0" w:type="auto"/>
            <w:tcBorders>
              <w:top w:val="single" w:sz="1" w:space="0" w:color="000000"/>
              <w:left w:val="single" w:sz="1" w:space="0" w:color="000000"/>
              <w:bottom w:val="single" w:sz="1" w:space="0" w:color="000000"/>
            </w:tcBorders>
          </w:tcPr>
          <w:p w14:paraId="1EB60023" w14:textId="77777777" w:rsidR="00492CA7" w:rsidRDefault="00000000">
            <w:r>
              <w:rPr>
                <w:rFonts w:eastAsia="Georgia" w:hAnsi="Georgia" w:cs="Georgia"/>
              </w:rPr>
              <w:t>—</w:t>
            </w:r>
          </w:p>
        </w:tc>
      </w:tr>
      <w:tr w:rsidR="00492CA7" w14:paraId="5AEE06BE" w14:textId="77777777">
        <w:trPr>
          <w:cantSplit/>
          <w:tblCellSpacing w:w="0" w:type="dxa"/>
          <w:jc w:val="center"/>
        </w:trPr>
        <w:tc>
          <w:tcPr>
            <w:tcW w:w="0" w:type="auto"/>
            <w:tcBorders>
              <w:top w:val="single" w:sz="1" w:space="0" w:color="000000"/>
              <w:bottom w:val="single" w:sz="1" w:space="0" w:color="000000"/>
            </w:tcBorders>
          </w:tcPr>
          <w:p w14:paraId="1A561AD5" w14:textId="77777777" w:rsidR="00492CA7" w:rsidRDefault="00000000">
            <w:r>
              <w:rPr>
                <w:b/>
              </w:rPr>
              <w:t>CLT</w:t>
            </w:r>
          </w:p>
        </w:tc>
        <w:tc>
          <w:tcPr>
            <w:tcW w:w="0" w:type="auto"/>
            <w:tcBorders>
              <w:top w:val="single" w:sz="1" w:space="0" w:color="000000"/>
              <w:left w:val="single" w:sz="1" w:space="0" w:color="000000"/>
              <w:bottom w:val="single" w:sz="1" w:space="0" w:color="000000"/>
            </w:tcBorders>
          </w:tcPr>
          <w:p w14:paraId="74500E74" w14:textId="77777777" w:rsidR="00492CA7" w:rsidRDefault="00000000">
            <w:r>
              <w:t>Partnership agreements</w:t>
            </w:r>
          </w:p>
        </w:tc>
        <w:tc>
          <w:tcPr>
            <w:tcW w:w="0" w:type="auto"/>
            <w:tcBorders>
              <w:top w:val="single" w:sz="1" w:space="0" w:color="000000"/>
              <w:left w:val="single" w:sz="1" w:space="0" w:color="000000"/>
              <w:bottom w:val="single" w:sz="1" w:space="0" w:color="000000"/>
            </w:tcBorders>
          </w:tcPr>
          <w:p w14:paraId="3E47775F" w14:textId="77777777" w:rsidR="00492CA7" w:rsidRDefault="00000000">
            <w:r>
              <w:t>Grant allocation</w:t>
            </w:r>
          </w:p>
        </w:tc>
        <w:tc>
          <w:tcPr>
            <w:tcW w:w="0" w:type="auto"/>
            <w:tcBorders>
              <w:top w:val="single" w:sz="1" w:space="0" w:color="000000"/>
              <w:left w:val="single" w:sz="1" w:space="0" w:color="000000"/>
              <w:bottom w:val="single" w:sz="1" w:space="0" w:color="000000"/>
            </w:tcBorders>
          </w:tcPr>
          <w:p w14:paraId="56BB3B52" w14:textId="77777777" w:rsidR="00492CA7" w:rsidRDefault="00000000">
            <w:r>
              <w:t>Education program</w:t>
            </w:r>
          </w:p>
        </w:tc>
        <w:tc>
          <w:tcPr>
            <w:tcW w:w="0" w:type="auto"/>
            <w:tcBorders>
              <w:top w:val="single" w:sz="1" w:space="0" w:color="000000"/>
              <w:left w:val="single" w:sz="1" w:space="0" w:color="000000"/>
              <w:bottom w:val="single" w:sz="1" w:space="0" w:color="000000"/>
            </w:tcBorders>
          </w:tcPr>
          <w:p w14:paraId="67DFA163" w14:textId="77777777" w:rsidR="00492CA7" w:rsidRDefault="00000000">
            <w:r>
              <w:t>Conversion launches</w:t>
            </w:r>
          </w:p>
        </w:tc>
        <w:tc>
          <w:tcPr>
            <w:tcW w:w="0" w:type="auto"/>
            <w:tcBorders>
              <w:top w:val="single" w:sz="1" w:space="0" w:color="000000"/>
              <w:left w:val="single" w:sz="1" w:space="0" w:color="000000"/>
              <w:bottom w:val="single" w:sz="1" w:space="0" w:color="000000"/>
            </w:tcBorders>
          </w:tcPr>
          <w:p w14:paraId="093F42B0" w14:textId="77777777" w:rsidR="00492CA7" w:rsidRDefault="00000000">
            <w:r>
              <w:t>500+ conversions</w:t>
            </w:r>
          </w:p>
        </w:tc>
      </w:tr>
      <w:tr w:rsidR="00492CA7" w14:paraId="5C27DEF2" w14:textId="77777777">
        <w:trPr>
          <w:cantSplit/>
          <w:tblCellSpacing w:w="0" w:type="dxa"/>
          <w:jc w:val="center"/>
        </w:trPr>
        <w:tc>
          <w:tcPr>
            <w:tcW w:w="0" w:type="auto"/>
            <w:tcBorders>
              <w:top w:val="single" w:sz="1" w:space="0" w:color="000000"/>
              <w:bottom w:val="single" w:sz="1" w:space="0" w:color="000000"/>
            </w:tcBorders>
          </w:tcPr>
          <w:p w14:paraId="788598B0" w14:textId="77777777" w:rsidR="00492CA7" w:rsidRDefault="00000000">
            <w:r>
              <w:rPr>
                <w:b/>
              </w:rPr>
              <w:t>HPD</w:t>
            </w:r>
          </w:p>
        </w:tc>
        <w:tc>
          <w:tcPr>
            <w:tcW w:w="0" w:type="auto"/>
            <w:tcBorders>
              <w:top w:val="single" w:sz="1" w:space="0" w:color="000000"/>
              <w:left w:val="single" w:sz="1" w:space="0" w:color="000000"/>
              <w:bottom w:val="single" w:sz="1" w:space="0" w:color="000000"/>
            </w:tcBorders>
          </w:tcPr>
          <w:p w14:paraId="383F86D5" w14:textId="77777777" w:rsidR="00492CA7" w:rsidRDefault="00000000">
            <w:r>
              <w:t>Down payment design</w:t>
            </w:r>
          </w:p>
        </w:tc>
        <w:tc>
          <w:tcPr>
            <w:tcW w:w="0" w:type="auto"/>
            <w:tcBorders>
              <w:top w:val="single" w:sz="1" w:space="0" w:color="000000"/>
              <w:left w:val="single" w:sz="1" w:space="0" w:color="000000"/>
              <w:bottom w:val="single" w:sz="1" w:space="0" w:color="000000"/>
            </w:tcBorders>
          </w:tcPr>
          <w:p w14:paraId="78246C9F" w14:textId="77777777" w:rsidR="00492CA7" w:rsidRDefault="00000000">
            <w:r>
              <w:t>Policy approval</w:t>
            </w:r>
          </w:p>
        </w:tc>
        <w:tc>
          <w:tcPr>
            <w:tcW w:w="0" w:type="auto"/>
            <w:tcBorders>
              <w:top w:val="single" w:sz="1" w:space="0" w:color="000000"/>
              <w:left w:val="single" w:sz="1" w:space="0" w:color="000000"/>
              <w:bottom w:val="single" w:sz="1" w:space="0" w:color="000000"/>
            </w:tcBorders>
          </w:tcPr>
          <w:p w14:paraId="28680866" w14:textId="77777777" w:rsidR="00492CA7" w:rsidRDefault="00000000">
            <w:r>
              <w:t>Data systems</w:t>
            </w:r>
          </w:p>
        </w:tc>
        <w:tc>
          <w:tcPr>
            <w:tcW w:w="0" w:type="auto"/>
            <w:tcBorders>
              <w:top w:val="single" w:sz="1" w:space="0" w:color="000000"/>
              <w:left w:val="single" w:sz="1" w:space="0" w:color="000000"/>
              <w:bottom w:val="single" w:sz="1" w:space="0" w:color="000000"/>
            </w:tcBorders>
          </w:tcPr>
          <w:p w14:paraId="3A16F577" w14:textId="77777777" w:rsidR="00492CA7" w:rsidRDefault="00000000">
            <w:r>
              <w:t>Disbursements</w:t>
            </w:r>
          </w:p>
        </w:tc>
        <w:tc>
          <w:tcPr>
            <w:tcW w:w="0" w:type="auto"/>
            <w:tcBorders>
              <w:top w:val="single" w:sz="1" w:space="0" w:color="000000"/>
              <w:left w:val="single" w:sz="1" w:space="0" w:color="000000"/>
              <w:bottom w:val="single" w:sz="1" w:space="0" w:color="000000"/>
            </w:tcBorders>
          </w:tcPr>
          <w:p w14:paraId="1DD3A9DA" w14:textId="77777777" w:rsidR="00492CA7" w:rsidRDefault="00000000">
            <w:r>
              <w:rPr>
                <w:rFonts w:eastAsia="Georgia" w:hAnsi="Georgia" w:cs="Georgia"/>
              </w:rPr>
              <w:t>—</w:t>
            </w:r>
          </w:p>
        </w:tc>
      </w:tr>
      <w:tr w:rsidR="00492CA7" w14:paraId="3C447AAC" w14:textId="77777777">
        <w:trPr>
          <w:cantSplit/>
          <w:tblCellSpacing w:w="0" w:type="dxa"/>
          <w:jc w:val="center"/>
        </w:trPr>
        <w:tc>
          <w:tcPr>
            <w:tcW w:w="0" w:type="auto"/>
            <w:tcBorders>
              <w:top w:val="single" w:sz="1" w:space="0" w:color="000000"/>
              <w:bottom w:val="single" w:sz="1" w:space="0" w:color="000000"/>
            </w:tcBorders>
          </w:tcPr>
          <w:p w14:paraId="00A0C016" w14:textId="77777777" w:rsidR="00492CA7" w:rsidRDefault="00000000">
            <w:r>
              <w:rPr>
                <w:b/>
              </w:rPr>
              <w:t>HRA</w:t>
            </w:r>
          </w:p>
        </w:tc>
        <w:tc>
          <w:tcPr>
            <w:tcW w:w="0" w:type="auto"/>
            <w:tcBorders>
              <w:top w:val="single" w:sz="1" w:space="0" w:color="000000"/>
              <w:left w:val="single" w:sz="1" w:space="0" w:color="000000"/>
              <w:bottom w:val="single" w:sz="1" w:space="0" w:color="000000"/>
            </w:tcBorders>
          </w:tcPr>
          <w:p w14:paraId="31F5BB20" w14:textId="77777777" w:rsidR="00492CA7" w:rsidRDefault="00000000">
            <w:r>
              <w:t>Covenant design</w:t>
            </w:r>
          </w:p>
        </w:tc>
        <w:tc>
          <w:tcPr>
            <w:tcW w:w="0" w:type="auto"/>
            <w:tcBorders>
              <w:top w:val="single" w:sz="1" w:space="0" w:color="000000"/>
              <w:left w:val="single" w:sz="1" w:space="0" w:color="000000"/>
              <w:bottom w:val="single" w:sz="1" w:space="0" w:color="000000"/>
            </w:tcBorders>
          </w:tcPr>
          <w:p w14:paraId="3B1877C5" w14:textId="77777777" w:rsidR="00492CA7" w:rsidRDefault="00000000">
            <w:r>
              <w:t>Title template</w:t>
            </w:r>
          </w:p>
        </w:tc>
        <w:tc>
          <w:tcPr>
            <w:tcW w:w="0" w:type="auto"/>
            <w:tcBorders>
              <w:top w:val="single" w:sz="1" w:space="0" w:color="000000"/>
              <w:left w:val="single" w:sz="1" w:space="0" w:color="000000"/>
              <w:bottom w:val="single" w:sz="1" w:space="0" w:color="000000"/>
            </w:tcBorders>
          </w:tcPr>
          <w:p w14:paraId="34B787F0" w14:textId="77777777" w:rsidR="00492CA7" w:rsidRDefault="00000000">
            <w:r>
              <w:t>Subsidy conversion process</w:t>
            </w:r>
          </w:p>
        </w:tc>
        <w:tc>
          <w:tcPr>
            <w:tcW w:w="0" w:type="auto"/>
            <w:tcBorders>
              <w:top w:val="single" w:sz="1" w:space="0" w:color="000000"/>
              <w:left w:val="single" w:sz="1" w:space="0" w:color="000000"/>
              <w:bottom w:val="single" w:sz="1" w:space="0" w:color="000000"/>
            </w:tcBorders>
          </w:tcPr>
          <w:p w14:paraId="7FE6C95E" w14:textId="77777777" w:rsidR="00492CA7" w:rsidRDefault="00000000">
            <w:r>
              <w:t>200 conversions</w:t>
            </w:r>
          </w:p>
        </w:tc>
        <w:tc>
          <w:tcPr>
            <w:tcW w:w="0" w:type="auto"/>
            <w:tcBorders>
              <w:top w:val="single" w:sz="1" w:space="0" w:color="000000"/>
              <w:left w:val="single" w:sz="1" w:space="0" w:color="000000"/>
              <w:bottom w:val="single" w:sz="1" w:space="0" w:color="000000"/>
            </w:tcBorders>
          </w:tcPr>
          <w:p w14:paraId="53C80A6B" w14:textId="77777777" w:rsidR="00492CA7" w:rsidRDefault="00000000">
            <w:r>
              <w:rPr>
                <w:rFonts w:eastAsia="Georgia" w:hAnsi="Georgia" w:cs="Georgia"/>
              </w:rPr>
              <w:t>—</w:t>
            </w:r>
          </w:p>
        </w:tc>
      </w:tr>
      <w:tr w:rsidR="00492CA7" w14:paraId="274EB6B7" w14:textId="77777777">
        <w:trPr>
          <w:cantSplit/>
          <w:tblCellSpacing w:w="0" w:type="dxa"/>
          <w:jc w:val="center"/>
        </w:trPr>
        <w:tc>
          <w:tcPr>
            <w:tcW w:w="0" w:type="auto"/>
            <w:tcBorders>
              <w:top w:val="single" w:sz="1" w:space="0" w:color="000000"/>
              <w:bottom w:val="single" w:sz="1" w:space="0" w:color="000000"/>
            </w:tcBorders>
          </w:tcPr>
          <w:p w14:paraId="2A22DD1F" w14:textId="77777777" w:rsidR="00492CA7" w:rsidRDefault="00000000">
            <w:r>
              <w:rPr>
                <w:b/>
              </w:rPr>
              <w:t>NYCHA</w:t>
            </w:r>
          </w:p>
        </w:tc>
        <w:tc>
          <w:tcPr>
            <w:tcW w:w="0" w:type="auto"/>
            <w:tcBorders>
              <w:top w:val="single" w:sz="1" w:space="0" w:color="000000"/>
              <w:left w:val="single" w:sz="1" w:space="0" w:color="000000"/>
              <w:bottom w:val="single" w:sz="1" w:space="0" w:color="000000"/>
            </w:tcBorders>
          </w:tcPr>
          <w:p w14:paraId="1689B06D" w14:textId="77777777" w:rsidR="00492CA7" w:rsidRDefault="00000000">
            <w:r>
              <w:t>NROI design</w:t>
            </w:r>
          </w:p>
        </w:tc>
        <w:tc>
          <w:tcPr>
            <w:tcW w:w="0" w:type="auto"/>
            <w:tcBorders>
              <w:top w:val="single" w:sz="1" w:space="0" w:color="000000"/>
              <w:left w:val="single" w:sz="1" w:space="0" w:color="000000"/>
              <w:bottom w:val="single" w:sz="1" w:space="0" w:color="000000"/>
            </w:tcBorders>
          </w:tcPr>
          <w:p w14:paraId="3B4207FC" w14:textId="77777777" w:rsidR="00492CA7" w:rsidRDefault="00000000">
            <w:r>
              <w:t>Resident engagement</w:t>
            </w:r>
          </w:p>
        </w:tc>
        <w:tc>
          <w:tcPr>
            <w:tcW w:w="0" w:type="auto"/>
            <w:tcBorders>
              <w:top w:val="single" w:sz="1" w:space="0" w:color="000000"/>
              <w:left w:val="single" w:sz="1" w:space="0" w:color="000000"/>
              <w:bottom w:val="single" w:sz="1" w:space="0" w:color="000000"/>
            </w:tcBorders>
          </w:tcPr>
          <w:p w14:paraId="6F3925D6" w14:textId="77777777" w:rsidR="00492CA7" w:rsidRDefault="00000000">
            <w:r>
              <w:t>Building prioritization</w:t>
            </w:r>
          </w:p>
        </w:tc>
        <w:tc>
          <w:tcPr>
            <w:tcW w:w="0" w:type="auto"/>
            <w:tcBorders>
              <w:top w:val="single" w:sz="1" w:space="0" w:color="000000"/>
              <w:left w:val="single" w:sz="1" w:space="0" w:color="000000"/>
              <w:bottom w:val="single" w:sz="1" w:space="0" w:color="000000"/>
            </w:tcBorders>
          </w:tcPr>
          <w:p w14:paraId="7E6D7408" w14:textId="77777777" w:rsidR="00492CA7" w:rsidRDefault="00000000">
            <w:r>
              <w:t>50 conversions</w:t>
            </w:r>
          </w:p>
        </w:tc>
        <w:tc>
          <w:tcPr>
            <w:tcW w:w="0" w:type="auto"/>
            <w:tcBorders>
              <w:top w:val="single" w:sz="1" w:space="0" w:color="000000"/>
              <w:left w:val="single" w:sz="1" w:space="0" w:color="000000"/>
              <w:bottom w:val="single" w:sz="1" w:space="0" w:color="000000"/>
            </w:tcBorders>
          </w:tcPr>
          <w:p w14:paraId="48094952" w14:textId="77777777" w:rsidR="00492CA7" w:rsidRDefault="00000000">
            <w:r>
              <w:rPr>
                <w:rFonts w:eastAsia="Georgia" w:hAnsi="Georgia" w:cs="Georgia"/>
              </w:rPr>
              <w:t>—</w:t>
            </w:r>
          </w:p>
        </w:tc>
      </w:tr>
    </w:tbl>
    <w:p w14:paraId="11C461DA" w14:textId="77777777" w:rsidR="00492CA7" w:rsidRDefault="00492CA7"/>
    <w:p w14:paraId="35EA93BB" w14:textId="77777777" w:rsidR="00492CA7" w:rsidRDefault="00000000">
      <w:pPr>
        <w:spacing w:after="210"/>
      </w:pPr>
      <w:r>
        <w:rPr>
          <w:b/>
        </w:rPr>
        <w:t>Target conversions by end of Phase I:</w:t>
      </w:r>
      <w:r>
        <w:t xml:space="preserve"> 750 households.</w:t>
      </w:r>
    </w:p>
    <w:p w14:paraId="033234DE" w14:textId="77777777" w:rsidR="00492CA7" w:rsidRDefault="00BB14A2">
      <w:r>
        <w:rPr>
          <w:noProof/>
        </w:rPr>
        <w:pict w14:anchorId="7161932B">
          <v:rect id="_x0000_i1049" alt="" style="width:434.5pt;height:.05pt;mso-width-percent:0;mso-height-percent:0;mso-width-percent:0;mso-height-percent:0" o:hralign="center" o:hrstd="t" o:hr="t"/>
        </w:pict>
      </w:r>
    </w:p>
    <w:p w14:paraId="3822EA83" w14:textId="77777777" w:rsidR="00492CA7" w:rsidRDefault="00000000">
      <w:pPr>
        <w:spacing w:after="210"/>
      </w:pPr>
      <w:r>
        <w:t xml:space="preserve">9.2 </w:t>
      </w:r>
      <w:r>
        <w:rPr>
          <w:b/>
        </w:rPr>
        <w:t>Phase II: Scale &amp; Optimization (FY 2028</w:t>
      </w:r>
      <w:r>
        <w:rPr>
          <w:b/>
        </w:rPr>
        <w:t>–</w:t>
      </w:r>
      <w:r>
        <w:rPr>
          <w:b/>
        </w:rPr>
        <w:t>2030)</w:t>
      </w:r>
    </w:p>
    <w:p w14:paraId="2E8B7078" w14:textId="77777777" w:rsidR="00492CA7" w:rsidRDefault="00000000">
      <w:pPr>
        <w:spacing w:after="210"/>
      </w:pPr>
      <w:r>
        <w:rPr>
          <w:b/>
        </w:rPr>
        <w:lastRenderedPageBreak/>
        <w:t>Goals:</w:t>
      </w:r>
      <w:r>
        <w:t xml:space="preserve"> Expand credit union network, mature CLT partnerships, achieve 3,000 cumulative conversions by end of 2030.</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16"/>
        <w:gridCol w:w="1652"/>
        <w:gridCol w:w="1390"/>
        <w:gridCol w:w="779"/>
        <w:gridCol w:w="782"/>
        <w:gridCol w:w="1060"/>
        <w:gridCol w:w="941"/>
      </w:tblGrid>
      <w:tr w:rsidR="00492CA7" w14:paraId="5FDC8AF9" w14:textId="77777777">
        <w:trPr>
          <w:cantSplit/>
          <w:tblCellSpacing w:w="0" w:type="dxa"/>
          <w:jc w:val="center"/>
        </w:trPr>
        <w:tc>
          <w:tcPr>
            <w:tcW w:w="0" w:type="auto"/>
            <w:tcBorders>
              <w:top w:val="single" w:sz="1" w:space="0" w:color="000000"/>
              <w:bottom w:val="single" w:sz="1" w:space="0" w:color="000000"/>
            </w:tcBorders>
          </w:tcPr>
          <w:p w14:paraId="36668403" w14:textId="77777777" w:rsidR="00492CA7" w:rsidRDefault="00000000">
            <w:r>
              <w:t>Year</w:t>
            </w:r>
          </w:p>
        </w:tc>
        <w:tc>
          <w:tcPr>
            <w:tcW w:w="0" w:type="auto"/>
            <w:tcBorders>
              <w:top w:val="single" w:sz="1" w:space="0" w:color="000000"/>
              <w:left w:val="single" w:sz="1" w:space="0" w:color="000000"/>
              <w:bottom w:val="single" w:sz="1" w:space="0" w:color="000000"/>
            </w:tcBorders>
          </w:tcPr>
          <w:p w14:paraId="15E32775" w14:textId="77777777" w:rsidR="00492CA7" w:rsidRDefault="00000000">
            <w:r>
              <w:t>Annual Target</w:t>
            </w:r>
          </w:p>
        </w:tc>
        <w:tc>
          <w:tcPr>
            <w:tcW w:w="0" w:type="auto"/>
            <w:tcBorders>
              <w:top w:val="single" w:sz="1" w:space="0" w:color="000000"/>
              <w:left w:val="single" w:sz="1" w:space="0" w:color="000000"/>
              <w:bottom w:val="single" w:sz="1" w:space="0" w:color="000000"/>
            </w:tcBorders>
          </w:tcPr>
          <w:p w14:paraId="466D681A" w14:textId="77777777" w:rsidR="00492CA7" w:rsidRDefault="00000000">
            <w:r>
              <w:t>Cumulative</w:t>
            </w:r>
          </w:p>
        </w:tc>
        <w:tc>
          <w:tcPr>
            <w:tcW w:w="0" w:type="auto"/>
            <w:tcBorders>
              <w:top w:val="single" w:sz="1" w:space="0" w:color="000000"/>
              <w:left w:val="single" w:sz="1" w:space="0" w:color="000000"/>
              <w:bottom w:val="single" w:sz="1" w:space="0" w:color="000000"/>
            </w:tcBorders>
          </w:tcPr>
          <w:p w14:paraId="6E3F9AEA" w14:textId="77777777" w:rsidR="00492CA7" w:rsidRDefault="00000000">
            <w:r>
              <w:t>HPD</w:t>
            </w:r>
          </w:p>
        </w:tc>
        <w:tc>
          <w:tcPr>
            <w:tcW w:w="0" w:type="auto"/>
            <w:tcBorders>
              <w:top w:val="single" w:sz="1" w:space="0" w:color="000000"/>
              <w:left w:val="single" w:sz="1" w:space="0" w:color="000000"/>
              <w:bottom w:val="single" w:sz="1" w:space="0" w:color="000000"/>
            </w:tcBorders>
          </w:tcPr>
          <w:p w14:paraId="1926EB50" w14:textId="77777777" w:rsidR="00492CA7" w:rsidRDefault="00000000">
            <w:r>
              <w:t>HRA</w:t>
            </w:r>
          </w:p>
        </w:tc>
        <w:tc>
          <w:tcPr>
            <w:tcW w:w="0" w:type="auto"/>
            <w:tcBorders>
              <w:top w:val="single" w:sz="1" w:space="0" w:color="000000"/>
              <w:left w:val="single" w:sz="1" w:space="0" w:color="000000"/>
              <w:bottom w:val="single" w:sz="1" w:space="0" w:color="000000"/>
            </w:tcBorders>
          </w:tcPr>
          <w:p w14:paraId="051E098C" w14:textId="77777777" w:rsidR="00492CA7" w:rsidRDefault="00000000">
            <w:r>
              <w:t>NYCHA</w:t>
            </w:r>
          </w:p>
        </w:tc>
        <w:tc>
          <w:tcPr>
            <w:tcW w:w="0" w:type="auto"/>
            <w:tcBorders>
              <w:top w:val="single" w:sz="1" w:space="0" w:color="000000"/>
              <w:left w:val="single" w:sz="1" w:space="0" w:color="000000"/>
              <w:bottom w:val="single" w:sz="1" w:space="0" w:color="000000"/>
            </w:tcBorders>
          </w:tcPr>
          <w:p w14:paraId="6C60FD26" w14:textId="77777777" w:rsidR="00492CA7" w:rsidRDefault="00000000">
            <w:r>
              <w:t>CLT %</w:t>
            </w:r>
          </w:p>
        </w:tc>
      </w:tr>
      <w:tr w:rsidR="00492CA7" w14:paraId="704F3C1B" w14:textId="77777777">
        <w:trPr>
          <w:cantSplit/>
          <w:tblCellSpacing w:w="0" w:type="dxa"/>
          <w:jc w:val="center"/>
        </w:trPr>
        <w:tc>
          <w:tcPr>
            <w:tcW w:w="0" w:type="auto"/>
            <w:tcBorders>
              <w:top w:val="single" w:sz="1" w:space="0" w:color="000000"/>
              <w:bottom w:val="single" w:sz="1" w:space="0" w:color="000000"/>
            </w:tcBorders>
          </w:tcPr>
          <w:p w14:paraId="2ACC4927" w14:textId="77777777" w:rsidR="00492CA7" w:rsidRDefault="00000000">
            <w:r>
              <w:t>2028</w:t>
            </w:r>
          </w:p>
        </w:tc>
        <w:tc>
          <w:tcPr>
            <w:tcW w:w="0" w:type="auto"/>
            <w:tcBorders>
              <w:top w:val="single" w:sz="1" w:space="0" w:color="000000"/>
              <w:left w:val="single" w:sz="1" w:space="0" w:color="000000"/>
              <w:bottom w:val="single" w:sz="1" w:space="0" w:color="000000"/>
            </w:tcBorders>
          </w:tcPr>
          <w:p w14:paraId="7A1F16B6" w14:textId="77777777" w:rsidR="00492CA7" w:rsidRDefault="00000000">
            <w:r>
              <w:t>800</w:t>
            </w:r>
          </w:p>
        </w:tc>
        <w:tc>
          <w:tcPr>
            <w:tcW w:w="0" w:type="auto"/>
            <w:tcBorders>
              <w:top w:val="single" w:sz="1" w:space="0" w:color="000000"/>
              <w:left w:val="single" w:sz="1" w:space="0" w:color="000000"/>
              <w:bottom w:val="single" w:sz="1" w:space="0" w:color="000000"/>
            </w:tcBorders>
          </w:tcPr>
          <w:p w14:paraId="15B73124" w14:textId="77777777" w:rsidR="00492CA7" w:rsidRDefault="00000000">
            <w:r>
              <w:t>1,550</w:t>
            </w:r>
          </w:p>
        </w:tc>
        <w:tc>
          <w:tcPr>
            <w:tcW w:w="0" w:type="auto"/>
            <w:tcBorders>
              <w:top w:val="single" w:sz="1" w:space="0" w:color="000000"/>
              <w:left w:val="single" w:sz="1" w:space="0" w:color="000000"/>
              <w:bottom w:val="single" w:sz="1" w:space="0" w:color="000000"/>
            </w:tcBorders>
          </w:tcPr>
          <w:p w14:paraId="2FE4F0A5" w14:textId="77777777" w:rsidR="00492CA7" w:rsidRDefault="00000000">
            <w:r>
              <w:t>350</w:t>
            </w:r>
          </w:p>
        </w:tc>
        <w:tc>
          <w:tcPr>
            <w:tcW w:w="0" w:type="auto"/>
            <w:tcBorders>
              <w:top w:val="single" w:sz="1" w:space="0" w:color="000000"/>
              <w:left w:val="single" w:sz="1" w:space="0" w:color="000000"/>
              <w:bottom w:val="single" w:sz="1" w:space="0" w:color="000000"/>
            </w:tcBorders>
          </w:tcPr>
          <w:p w14:paraId="7CF0B71D" w14:textId="77777777" w:rsidR="00492CA7" w:rsidRDefault="00000000">
            <w:r>
              <w:t>300</w:t>
            </w:r>
          </w:p>
        </w:tc>
        <w:tc>
          <w:tcPr>
            <w:tcW w:w="0" w:type="auto"/>
            <w:tcBorders>
              <w:top w:val="single" w:sz="1" w:space="0" w:color="000000"/>
              <w:left w:val="single" w:sz="1" w:space="0" w:color="000000"/>
              <w:bottom w:val="single" w:sz="1" w:space="0" w:color="000000"/>
            </w:tcBorders>
          </w:tcPr>
          <w:p w14:paraId="39ADD72F" w14:textId="77777777" w:rsidR="00492CA7" w:rsidRDefault="00000000">
            <w:r>
              <w:t>150</w:t>
            </w:r>
          </w:p>
        </w:tc>
        <w:tc>
          <w:tcPr>
            <w:tcW w:w="0" w:type="auto"/>
            <w:tcBorders>
              <w:top w:val="single" w:sz="1" w:space="0" w:color="000000"/>
              <w:left w:val="single" w:sz="1" w:space="0" w:color="000000"/>
              <w:bottom w:val="single" w:sz="1" w:space="0" w:color="000000"/>
            </w:tcBorders>
          </w:tcPr>
          <w:p w14:paraId="5D250575" w14:textId="77777777" w:rsidR="00492CA7" w:rsidRDefault="00000000">
            <w:r>
              <w:t>30%</w:t>
            </w:r>
          </w:p>
        </w:tc>
      </w:tr>
      <w:tr w:rsidR="00492CA7" w14:paraId="024E1546" w14:textId="77777777">
        <w:trPr>
          <w:cantSplit/>
          <w:tblCellSpacing w:w="0" w:type="dxa"/>
          <w:jc w:val="center"/>
        </w:trPr>
        <w:tc>
          <w:tcPr>
            <w:tcW w:w="0" w:type="auto"/>
            <w:tcBorders>
              <w:top w:val="single" w:sz="1" w:space="0" w:color="000000"/>
              <w:bottom w:val="single" w:sz="1" w:space="0" w:color="000000"/>
            </w:tcBorders>
          </w:tcPr>
          <w:p w14:paraId="2AC1D983" w14:textId="77777777" w:rsidR="00492CA7" w:rsidRDefault="00000000">
            <w:r>
              <w:t>2029</w:t>
            </w:r>
          </w:p>
        </w:tc>
        <w:tc>
          <w:tcPr>
            <w:tcW w:w="0" w:type="auto"/>
            <w:tcBorders>
              <w:top w:val="single" w:sz="1" w:space="0" w:color="000000"/>
              <w:left w:val="single" w:sz="1" w:space="0" w:color="000000"/>
              <w:bottom w:val="single" w:sz="1" w:space="0" w:color="000000"/>
            </w:tcBorders>
          </w:tcPr>
          <w:p w14:paraId="69C23A3F" w14:textId="77777777" w:rsidR="00492CA7" w:rsidRDefault="00000000">
            <w:r>
              <w:t>1,000</w:t>
            </w:r>
          </w:p>
        </w:tc>
        <w:tc>
          <w:tcPr>
            <w:tcW w:w="0" w:type="auto"/>
            <w:tcBorders>
              <w:top w:val="single" w:sz="1" w:space="0" w:color="000000"/>
              <w:left w:val="single" w:sz="1" w:space="0" w:color="000000"/>
              <w:bottom w:val="single" w:sz="1" w:space="0" w:color="000000"/>
            </w:tcBorders>
          </w:tcPr>
          <w:p w14:paraId="5B4183E9" w14:textId="77777777" w:rsidR="00492CA7" w:rsidRDefault="00000000">
            <w:r>
              <w:t>2,550</w:t>
            </w:r>
          </w:p>
        </w:tc>
        <w:tc>
          <w:tcPr>
            <w:tcW w:w="0" w:type="auto"/>
            <w:tcBorders>
              <w:top w:val="single" w:sz="1" w:space="0" w:color="000000"/>
              <w:left w:val="single" w:sz="1" w:space="0" w:color="000000"/>
              <w:bottom w:val="single" w:sz="1" w:space="0" w:color="000000"/>
            </w:tcBorders>
          </w:tcPr>
          <w:p w14:paraId="7B6E799A" w14:textId="77777777" w:rsidR="00492CA7" w:rsidRDefault="00000000">
            <w:r>
              <w:t>450</w:t>
            </w:r>
          </w:p>
        </w:tc>
        <w:tc>
          <w:tcPr>
            <w:tcW w:w="0" w:type="auto"/>
            <w:tcBorders>
              <w:top w:val="single" w:sz="1" w:space="0" w:color="000000"/>
              <w:left w:val="single" w:sz="1" w:space="0" w:color="000000"/>
              <w:bottom w:val="single" w:sz="1" w:space="0" w:color="000000"/>
            </w:tcBorders>
          </w:tcPr>
          <w:p w14:paraId="583C01BB" w14:textId="77777777" w:rsidR="00492CA7" w:rsidRDefault="00000000">
            <w:r>
              <w:t>400</w:t>
            </w:r>
          </w:p>
        </w:tc>
        <w:tc>
          <w:tcPr>
            <w:tcW w:w="0" w:type="auto"/>
            <w:tcBorders>
              <w:top w:val="single" w:sz="1" w:space="0" w:color="000000"/>
              <w:left w:val="single" w:sz="1" w:space="0" w:color="000000"/>
              <w:bottom w:val="single" w:sz="1" w:space="0" w:color="000000"/>
            </w:tcBorders>
          </w:tcPr>
          <w:p w14:paraId="111B3548" w14:textId="77777777" w:rsidR="00492CA7" w:rsidRDefault="00000000">
            <w:r>
              <w:t>150</w:t>
            </w:r>
          </w:p>
        </w:tc>
        <w:tc>
          <w:tcPr>
            <w:tcW w:w="0" w:type="auto"/>
            <w:tcBorders>
              <w:top w:val="single" w:sz="1" w:space="0" w:color="000000"/>
              <w:left w:val="single" w:sz="1" w:space="0" w:color="000000"/>
              <w:bottom w:val="single" w:sz="1" w:space="0" w:color="000000"/>
            </w:tcBorders>
          </w:tcPr>
          <w:p w14:paraId="5BD7D688" w14:textId="77777777" w:rsidR="00492CA7" w:rsidRDefault="00000000">
            <w:r>
              <w:t>35%</w:t>
            </w:r>
          </w:p>
        </w:tc>
      </w:tr>
      <w:tr w:rsidR="00492CA7" w14:paraId="1AC85DC0" w14:textId="77777777">
        <w:trPr>
          <w:cantSplit/>
          <w:tblCellSpacing w:w="0" w:type="dxa"/>
          <w:jc w:val="center"/>
        </w:trPr>
        <w:tc>
          <w:tcPr>
            <w:tcW w:w="0" w:type="auto"/>
            <w:tcBorders>
              <w:top w:val="single" w:sz="1" w:space="0" w:color="000000"/>
              <w:bottom w:val="single" w:sz="1" w:space="0" w:color="000000"/>
            </w:tcBorders>
          </w:tcPr>
          <w:p w14:paraId="0892C732" w14:textId="77777777" w:rsidR="00492CA7" w:rsidRDefault="00000000">
            <w:r>
              <w:t>2030</w:t>
            </w:r>
          </w:p>
        </w:tc>
        <w:tc>
          <w:tcPr>
            <w:tcW w:w="0" w:type="auto"/>
            <w:tcBorders>
              <w:top w:val="single" w:sz="1" w:space="0" w:color="000000"/>
              <w:left w:val="single" w:sz="1" w:space="0" w:color="000000"/>
              <w:bottom w:val="single" w:sz="1" w:space="0" w:color="000000"/>
            </w:tcBorders>
          </w:tcPr>
          <w:p w14:paraId="01F07574" w14:textId="77777777" w:rsidR="00492CA7" w:rsidRDefault="00000000">
            <w:r>
              <w:t>1,200</w:t>
            </w:r>
          </w:p>
        </w:tc>
        <w:tc>
          <w:tcPr>
            <w:tcW w:w="0" w:type="auto"/>
            <w:tcBorders>
              <w:top w:val="single" w:sz="1" w:space="0" w:color="000000"/>
              <w:left w:val="single" w:sz="1" w:space="0" w:color="000000"/>
              <w:bottom w:val="single" w:sz="1" w:space="0" w:color="000000"/>
            </w:tcBorders>
          </w:tcPr>
          <w:p w14:paraId="00D694AA" w14:textId="77777777" w:rsidR="00492CA7" w:rsidRDefault="00000000">
            <w:r>
              <w:t>3,750</w:t>
            </w:r>
          </w:p>
        </w:tc>
        <w:tc>
          <w:tcPr>
            <w:tcW w:w="0" w:type="auto"/>
            <w:tcBorders>
              <w:top w:val="single" w:sz="1" w:space="0" w:color="000000"/>
              <w:left w:val="single" w:sz="1" w:space="0" w:color="000000"/>
              <w:bottom w:val="single" w:sz="1" w:space="0" w:color="000000"/>
            </w:tcBorders>
          </w:tcPr>
          <w:p w14:paraId="4311E474" w14:textId="77777777" w:rsidR="00492CA7" w:rsidRDefault="00000000">
            <w:r>
              <w:t>600</w:t>
            </w:r>
          </w:p>
        </w:tc>
        <w:tc>
          <w:tcPr>
            <w:tcW w:w="0" w:type="auto"/>
            <w:tcBorders>
              <w:top w:val="single" w:sz="1" w:space="0" w:color="000000"/>
              <w:left w:val="single" w:sz="1" w:space="0" w:color="000000"/>
              <w:bottom w:val="single" w:sz="1" w:space="0" w:color="000000"/>
            </w:tcBorders>
          </w:tcPr>
          <w:p w14:paraId="2075FD89" w14:textId="77777777" w:rsidR="00492CA7" w:rsidRDefault="00000000">
            <w:r>
              <w:t>500</w:t>
            </w:r>
          </w:p>
        </w:tc>
        <w:tc>
          <w:tcPr>
            <w:tcW w:w="0" w:type="auto"/>
            <w:tcBorders>
              <w:top w:val="single" w:sz="1" w:space="0" w:color="000000"/>
              <w:left w:val="single" w:sz="1" w:space="0" w:color="000000"/>
              <w:bottom w:val="single" w:sz="1" w:space="0" w:color="000000"/>
            </w:tcBorders>
          </w:tcPr>
          <w:p w14:paraId="698C2C2F" w14:textId="77777777" w:rsidR="00492CA7" w:rsidRDefault="00000000">
            <w:r>
              <w:t>100</w:t>
            </w:r>
          </w:p>
        </w:tc>
        <w:tc>
          <w:tcPr>
            <w:tcW w:w="0" w:type="auto"/>
            <w:tcBorders>
              <w:top w:val="single" w:sz="1" w:space="0" w:color="000000"/>
              <w:left w:val="single" w:sz="1" w:space="0" w:color="000000"/>
              <w:bottom w:val="single" w:sz="1" w:space="0" w:color="000000"/>
            </w:tcBorders>
          </w:tcPr>
          <w:p w14:paraId="418808DA" w14:textId="77777777" w:rsidR="00492CA7" w:rsidRDefault="00000000">
            <w:r>
              <w:t>40%</w:t>
            </w:r>
          </w:p>
        </w:tc>
      </w:tr>
    </w:tbl>
    <w:p w14:paraId="13C15E54" w14:textId="77777777" w:rsidR="00492CA7" w:rsidRDefault="00492CA7"/>
    <w:p w14:paraId="7C4C6C3E" w14:textId="77777777" w:rsidR="00492CA7" w:rsidRDefault="00000000">
      <w:pPr>
        <w:spacing w:after="210"/>
      </w:pPr>
      <w:r>
        <w:rPr>
          <w:b/>
        </w:rPr>
        <w:t>Phase II focus areas:</w:t>
      </w:r>
    </w:p>
    <w:p w14:paraId="1AE17B6A" w14:textId="77777777" w:rsidR="00492CA7" w:rsidRDefault="00000000">
      <w:pPr>
        <w:numPr>
          <w:ilvl w:val="0"/>
          <w:numId w:val="43"/>
        </w:numPr>
      </w:pPr>
      <w:r>
        <w:rPr>
          <w:rFonts w:eastAsia="Georgia" w:hAnsi="Georgia" w:cs="Georgia"/>
        </w:rPr>
        <w:t>(i) Expand credit union partnership to 5–7 lenders,</w:t>
      </w:r>
    </w:p>
    <w:p w14:paraId="574852C5" w14:textId="77777777" w:rsidR="00492CA7" w:rsidRDefault="00000000">
      <w:pPr>
        <w:numPr>
          <w:ilvl w:val="0"/>
          <w:numId w:val="43"/>
        </w:numPr>
      </w:pPr>
      <w:r>
        <w:rPr>
          <w:rFonts w:eastAsia="Georgia" w:hAnsi="Georgia" w:cs="Georgia"/>
        </w:rPr>
        <w:t>(ii) Establish 3–5 new CLTs in underserved areas,</w:t>
      </w:r>
    </w:p>
    <w:p w14:paraId="0C9C316D" w14:textId="77777777" w:rsidR="00492CA7" w:rsidRDefault="00000000">
      <w:pPr>
        <w:numPr>
          <w:ilvl w:val="0"/>
          <w:numId w:val="43"/>
        </w:numPr>
      </w:pPr>
      <w:r>
        <w:rPr>
          <w:rFonts w:eastAsia="Georgia" w:hAnsi="Georgia" w:cs="Georgia"/>
        </w:rPr>
        <w:t>(iii) Refine underwriting standards based on Year 1–2 default data,</w:t>
      </w:r>
    </w:p>
    <w:p w14:paraId="5F20DE9D" w14:textId="77777777" w:rsidR="00492CA7" w:rsidRDefault="00000000">
      <w:pPr>
        <w:numPr>
          <w:ilvl w:val="0"/>
          <w:numId w:val="43"/>
        </w:numPr>
      </w:pPr>
      <w:r>
        <w:rPr>
          <w:rFonts w:eastAsia="Georgia" w:hAnsi="Georgia" w:cs="Georgia"/>
        </w:rPr>
        <w:t>(iv) Introduce down payment assistance for higher-income band (80–120% AMI),</w:t>
      </w:r>
    </w:p>
    <w:p w14:paraId="0B0919D6" w14:textId="77777777" w:rsidR="00492CA7" w:rsidRDefault="00000000">
      <w:pPr>
        <w:numPr>
          <w:ilvl w:val="0"/>
          <w:numId w:val="43"/>
        </w:numPr>
      </w:pPr>
      <w:r>
        <w:t>(v) Launch intergenerational wealth-tracking dashboard (quarterly reporting).</w:t>
      </w:r>
    </w:p>
    <w:p w14:paraId="7730D053" w14:textId="77777777" w:rsidR="00492CA7" w:rsidRDefault="00BB14A2">
      <w:r>
        <w:rPr>
          <w:noProof/>
        </w:rPr>
        <w:pict w14:anchorId="1FDA9AD0">
          <v:rect id="_x0000_i1048" alt="" style="width:434.5pt;height:.05pt;mso-width-percent:0;mso-height-percent:0;mso-width-percent:0;mso-height-percent:0" o:hralign="center" o:hrstd="t" o:hr="t"/>
        </w:pict>
      </w:r>
    </w:p>
    <w:p w14:paraId="26B4F917" w14:textId="77777777" w:rsidR="00492CA7" w:rsidRDefault="00000000">
      <w:pPr>
        <w:spacing w:after="210"/>
      </w:pPr>
      <w:r>
        <w:t xml:space="preserve">9.3 </w:t>
      </w:r>
      <w:r>
        <w:rPr>
          <w:b/>
        </w:rPr>
        <w:t>Phase III: Consolidation &amp; Equity Focus (FY 2031</w:t>
      </w:r>
      <w:r>
        <w:rPr>
          <w:b/>
        </w:rPr>
        <w:t>–</w:t>
      </w:r>
      <w:r>
        <w:rPr>
          <w:b/>
        </w:rPr>
        <w:t>2035)</w:t>
      </w:r>
    </w:p>
    <w:p w14:paraId="07C4A147" w14:textId="77777777" w:rsidR="00492CA7" w:rsidRDefault="00000000">
      <w:pPr>
        <w:spacing w:after="210"/>
      </w:pPr>
      <w:r>
        <w:rPr>
          <w:b/>
        </w:rPr>
        <w:t>Goals:</w:t>
      </w:r>
      <w:r>
        <w:t xml:space="preserve"> Achieve 8,500 cumulative conversions; embed disaggregated equity accountability; transition to sustainable credit union-CLT partnership model.</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1344"/>
        <w:gridCol w:w="1535"/>
        <w:gridCol w:w="1235"/>
        <w:gridCol w:w="1235"/>
        <w:gridCol w:w="1235"/>
        <w:gridCol w:w="909"/>
      </w:tblGrid>
      <w:tr w:rsidR="00492CA7" w14:paraId="01960F00" w14:textId="77777777">
        <w:trPr>
          <w:cantSplit/>
          <w:tblCellSpacing w:w="0" w:type="dxa"/>
          <w:jc w:val="center"/>
        </w:trPr>
        <w:tc>
          <w:tcPr>
            <w:tcW w:w="0" w:type="auto"/>
            <w:tcBorders>
              <w:top w:val="single" w:sz="1" w:space="0" w:color="000000"/>
              <w:bottom w:val="single" w:sz="1" w:space="0" w:color="000000"/>
            </w:tcBorders>
          </w:tcPr>
          <w:p w14:paraId="1D6BE3EE" w14:textId="77777777" w:rsidR="00492CA7" w:rsidRDefault="00000000">
            <w:r>
              <w:t>Year</w:t>
            </w:r>
          </w:p>
        </w:tc>
        <w:tc>
          <w:tcPr>
            <w:tcW w:w="0" w:type="auto"/>
            <w:tcBorders>
              <w:top w:val="single" w:sz="1" w:space="0" w:color="000000"/>
              <w:left w:val="single" w:sz="1" w:space="0" w:color="000000"/>
              <w:bottom w:val="single" w:sz="1" w:space="0" w:color="000000"/>
            </w:tcBorders>
          </w:tcPr>
          <w:p w14:paraId="4F13F1B5" w14:textId="77777777" w:rsidR="00492CA7" w:rsidRDefault="00000000">
            <w:r>
              <w:t>Annual Target</w:t>
            </w:r>
          </w:p>
        </w:tc>
        <w:tc>
          <w:tcPr>
            <w:tcW w:w="0" w:type="auto"/>
            <w:tcBorders>
              <w:top w:val="single" w:sz="1" w:space="0" w:color="000000"/>
              <w:left w:val="single" w:sz="1" w:space="0" w:color="000000"/>
              <w:bottom w:val="single" w:sz="1" w:space="0" w:color="000000"/>
            </w:tcBorders>
          </w:tcPr>
          <w:p w14:paraId="4B2C9B33" w14:textId="77777777" w:rsidR="00492CA7" w:rsidRDefault="00000000">
            <w:r>
              <w:t>Cumulative</w:t>
            </w:r>
          </w:p>
        </w:tc>
        <w:tc>
          <w:tcPr>
            <w:tcW w:w="0" w:type="auto"/>
            <w:tcBorders>
              <w:top w:val="single" w:sz="1" w:space="0" w:color="000000"/>
              <w:left w:val="single" w:sz="1" w:space="0" w:color="000000"/>
              <w:bottom w:val="single" w:sz="1" w:space="0" w:color="000000"/>
            </w:tcBorders>
          </w:tcPr>
          <w:p w14:paraId="094AC354" w14:textId="77777777" w:rsidR="00492CA7" w:rsidRDefault="00000000">
            <w:r>
              <w:t>HPD</w:t>
            </w:r>
          </w:p>
        </w:tc>
        <w:tc>
          <w:tcPr>
            <w:tcW w:w="0" w:type="auto"/>
            <w:tcBorders>
              <w:top w:val="single" w:sz="1" w:space="0" w:color="000000"/>
              <w:left w:val="single" w:sz="1" w:space="0" w:color="000000"/>
              <w:bottom w:val="single" w:sz="1" w:space="0" w:color="000000"/>
            </w:tcBorders>
          </w:tcPr>
          <w:p w14:paraId="14343227" w14:textId="77777777" w:rsidR="00492CA7" w:rsidRDefault="00000000">
            <w:r>
              <w:t>HRA</w:t>
            </w:r>
          </w:p>
        </w:tc>
        <w:tc>
          <w:tcPr>
            <w:tcW w:w="0" w:type="auto"/>
            <w:tcBorders>
              <w:top w:val="single" w:sz="1" w:space="0" w:color="000000"/>
              <w:left w:val="single" w:sz="1" w:space="0" w:color="000000"/>
              <w:bottom w:val="single" w:sz="1" w:space="0" w:color="000000"/>
            </w:tcBorders>
          </w:tcPr>
          <w:p w14:paraId="3174C455" w14:textId="77777777" w:rsidR="00492CA7" w:rsidRDefault="00000000">
            <w:r>
              <w:t>NYCHA</w:t>
            </w:r>
          </w:p>
        </w:tc>
        <w:tc>
          <w:tcPr>
            <w:tcW w:w="0" w:type="auto"/>
            <w:tcBorders>
              <w:top w:val="single" w:sz="1" w:space="0" w:color="000000"/>
              <w:left w:val="single" w:sz="1" w:space="0" w:color="000000"/>
              <w:bottom w:val="single" w:sz="1" w:space="0" w:color="000000"/>
            </w:tcBorders>
          </w:tcPr>
          <w:p w14:paraId="679CB343" w14:textId="77777777" w:rsidR="00492CA7" w:rsidRDefault="00000000">
            <w:r>
              <w:t>CLT %</w:t>
            </w:r>
          </w:p>
        </w:tc>
      </w:tr>
      <w:tr w:rsidR="00492CA7" w14:paraId="7199F64A" w14:textId="77777777">
        <w:trPr>
          <w:cantSplit/>
          <w:tblCellSpacing w:w="0" w:type="dxa"/>
          <w:jc w:val="center"/>
        </w:trPr>
        <w:tc>
          <w:tcPr>
            <w:tcW w:w="0" w:type="auto"/>
            <w:tcBorders>
              <w:top w:val="single" w:sz="1" w:space="0" w:color="000000"/>
              <w:bottom w:val="single" w:sz="1" w:space="0" w:color="000000"/>
            </w:tcBorders>
          </w:tcPr>
          <w:p w14:paraId="74CA1790" w14:textId="77777777" w:rsidR="00492CA7" w:rsidRDefault="00000000">
            <w:r>
              <w:t>2031</w:t>
            </w:r>
          </w:p>
        </w:tc>
        <w:tc>
          <w:tcPr>
            <w:tcW w:w="0" w:type="auto"/>
            <w:tcBorders>
              <w:top w:val="single" w:sz="1" w:space="0" w:color="000000"/>
              <w:left w:val="single" w:sz="1" w:space="0" w:color="000000"/>
              <w:bottom w:val="single" w:sz="1" w:space="0" w:color="000000"/>
            </w:tcBorders>
          </w:tcPr>
          <w:p w14:paraId="07F6E1BC" w14:textId="77777777" w:rsidR="00492CA7" w:rsidRDefault="00000000">
            <w:r>
              <w:t>1,500</w:t>
            </w:r>
          </w:p>
        </w:tc>
        <w:tc>
          <w:tcPr>
            <w:tcW w:w="0" w:type="auto"/>
            <w:tcBorders>
              <w:top w:val="single" w:sz="1" w:space="0" w:color="000000"/>
              <w:left w:val="single" w:sz="1" w:space="0" w:color="000000"/>
              <w:bottom w:val="single" w:sz="1" w:space="0" w:color="000000"/>
            </w:tcBorders>
          </w:tcPr>
          <w:p w14:paraId="253E8FE3" w14:textId="77777777" w:rsidR="00492CA7" w:rsidRDefault="00000000">
            <w:r>
              <w:t>5,250</w:t>
            </w:r>
          </w:p>
        </w:tc>
        <w:tc>
          <w:tcPr>
            <w:tcW w:w="0" w:type="auto"/>
            <w:tcBorders>
              <w:top w:val="single" w:sz="1" w:space="0" w:color="000000"/>
              <w:left w:val="single" w:sz="1" w:space="0" w:color="000000"/>
              <w:bottom w:val="single" w:sz="1" w:space="0" w:color="000000"/>
            </w:tcBorders>
          </w:tcPr>
          <w:p w14:paraId="6C22BFD8" w14:textId="77777777" w:rsidR="00492CA7" w:rsidRDefault="00000000">
            <w:r>
              <w:t>700</w:t>
            </w:r>
          </w:p>
        </w:tc>
        <w:tc>
          <w:tcPr>
            <w:tcW w:w="0" w:type="auto"/>
            <w:tcBorders>
              <w:top w:val="single" w:sz="1" w:space="0" w:color="000000"/>
              <w:left w:val="single" w:sz="1" w:space="0" w:color="000000"/>
              <w:bottom w:val="single" w:sz="1" w:space="0" w:color="000000"/>
            </w:tcBorders>
          </w:tcPr>
          <w:p w14:paraId="0C26AD25" w14:textId="77777777" w:rsidR="00492CA7" w:rsidRDefault="00000000">
            <w:r>
              <w:t>600</w:t>
            </w:r>
          </w:p>
        </w:tc>
        <w:tc>
          <w:tcPr>
            <w:tcW w:w="0" w:type="auto"/>
            <w:tcBorders>
              <w:top w:val="single" w:sz="1" w:space="0" w:color="000000"/>
              <w:left w:val="single" w:sz="1" w:space="0" w:color="000000"/>
              <w:bottom w:val="single" w:sz="1" w:space="0" w:color="000000"/>
            </w:tcBorders>
          </w:tcPr>
          <w:p w14:paraId="42CD18AB" w14:textId="77777777" w:rsidR="00492CA7" w:rsidRDefault="00000000">
            <w:r>
              <w:t>200</w:t>
            </w:r>
          </w:p>
        </w:tc>
        <w:tc>
          <w:tcPr>
            <w:tcW w:w="0" w:type="auto"/>
            <w:tcBorders>
              <w:top w:val="single" w:sz="1" w:space="0" w:color="000000"/>
              <w:left w:val="single" w:sz="1" w:space="0" w:color="000000"/>
              <w:bottom w:val="single" w:sz="1" w:space="0" w:color="000000"/>
            </w:tcBorders>
          </w:tcPr>
          <w:p w14:paraId="513822C0" w14:textId="77777777" w:rsidR="00492CA7" w:rsidRDefault="00000000">
            <w:r>
              <w:t>45%</w:t>
            </w:r>
          </w:p>
        </w:tc>
      </w:tr>
      <w:tr w:rsidR="00492CA7" w14:paraId="28FFA549" w14:textId="77777777">
        <w:trPr>
          <w:cantSplit/>
          <w:tblCellSpacing w:w="0" w:type="dxa"/>
          <w:jc w:val="center"/>
        </w:trPr>
        <w:tc>
          <w:tcPr>
            <w:tcW w:w="0" w:type="auto"/>
            <w:tcBorders>
              <w:top w:val="single" w:sz="1" w:space="0" w:color="000000"/>
              <w:bottom w:val="single" w:sz="1" w:space="0" w:color="000000"/>
            </w:tcBorders>
          </w:tcPr>
          <w:p w14:paraId="3A8A6D38" w14:textId="77777777" w:rsidR="00492CA7" w:rsidRDefault="00000000">
            <w:r>
              <w:t>2032</w:t>
            </w:r>
          </w:p>
        </w:tc>
        <w:tc>
          <w:tcPr>
            <w:tcW w:w="0" w:type="auto"/>
            <w:tcBorders>
              <w:top w:val="single" w:sz="1" w:space="0" w:color="000000"/>
              <w:left w:val="single" w:sz="1" w:space="0" w:color="000000"/>
              <w:bottom w:val="single" w:sz="1" w:space="0" w:color="000000"/>
            </w:tcBorders>
          </w:tcPr>
          <w:p w14:paraId="6B8CCC3E" w14:textId="77777777" w:rsidR="00492CA7" w:rsidRDefault="00000000">
            <w:r>
              <w:t>1,750</w:t>
            </w:r>
          </w:p>
        </w:tc>
        <w:tc>
          <w:tcPr>
            <w:tcW w:w="0" w:type="auto"/>
            <w:tcBorders>
              <w:top w:val="single" w:sz="1" w:space="0" w:color="000000"/>
              <w:left w:val="single" w:sz="1" w:space="0" w:color="000000"/>
              <w:bottom w:val="single" w:sz="1" w:space="0" w:color="000000"/>
            </w:tcBorders>
          </w:tcPr>
          <w:p w14:paraId="13844AA1" w14:textId="77777777" w:rsidR="00492CA7" w:rsidRDefault="00000000">
            <w:r>
              <w:t>7,000</w:t>
            </w:r>
          </w:p>
        </w:tc>
        <w:tc>
          <w:tcPr>
            <w:tcW w:w="0" w:type="auto"/>
            <w:tcBorders>
              <w:top w:val="single" w:sz="1" w:space="0" w:color="000000"/>
              <w:left w:val="single" w:sz="1" w:space="0" w:color="000000"/>
              <w:bottom w:val="single" w:sz="1" w:space="0" w:color="000000"/>
            </w:tcBorders>
          </w:tcPr>
          <w:p w14:paraId="552FCFBD" w14:textId="77777777" w:rsidR="00492CA7" w:rsidRDefault="00000000">
            <w:r>
              <w:t>850</w:t>
            </w:r>
          </w:p>
        </w:tc>
        <w:tc>
          <w:tcPr>
            <w:tcW w:w="0" w:type="auto"/>
            <w:tcBorders>
              <w:top w:val="single" w:sz="1" w:space="0" w:color="000000"/>
              <w:left w:val="single" w:sz="1" w:space="0" w:color="000000"/>
              <w:bottom w:val="single" w:sz="1" w:space="0" w:color="000000"/>
            </w:tcBorders>
          </w:tcPr>
          <w:p w14:paraId="264169EB" w14:textId="77777777" w:rsidR="00492CA7" w:rsidRDefault="00000000">
            <w:r>
              <w:t>750</w:t>
            </w:r>
          </w:p>
        </w:tc>
        <w:tc>
          <w:tcPr>
            <w:tcW w:w="0" w:type="auto"/>
            <w:tcBorders>
              <w:top w:val="single" w:sz="1" w:space="0" w:color="000000"/>
              <w:left w:val="single" w:sz="1" w:space="0" w:color="000000"/>
              <w:bottom w:val="single" w:sz="1" w:space="0" w:color="000000"/>
            </w:tcBorders>
          </w:tcPr>
          <w:p w14:paraId="36891132" w14:textId="77777777" w:rsidR="00492CA7" w:rsidRDefault="00000000">
            <w:r>
              <w:t>150</w:t>
            </w:r>
          </w:p>
        </w:tc>
        <w:tc>
          <w:tcPr>
            <w:tcW w:w="0" w:type="auto"/>
            <w:tcBorders>
              <w:top w:val="single" w:sz="1" w:space="0" w:color="000000"/>
              <w:left w:val="single" w:sz="1" w:space="0" w:color="000000"/>
              <w:bottom w:val="single" w:sz="1" w:space="0" w:color="000000"/>
            </w:tcBorders>
          </w:tcPr>
          <w:p w14:paraId="4365872D" w14:textId="77777777" w:rsidR="00492CA7" w:rsidRDefault="00000000">
            <w:r>
              <w:t>50%</w:t>
            </w:r>
          </w:p>
        </w:tc>
      </w:tr>
      <w:tr w:rsidR="00492CA7" w14:paraId="57F83FE8" w14:textId="77777777">
        <w:trPr>
          <w:cantSplit/>
          <w:tblCellSpacing w:w="0" w:type="dxa"/>
          <w:jc w:val="center"/>
        </w:trPr>
        <w:tc>
          <w:tcPr>
            <w:tcW w:w="0" w:type="auto"/>
            <w:tcBorders>
              <w:top w:val="single" w:sz="1" w:space="0" w:color="000000"/>
              <w:bottom w:val="single" w:sz="1" w:space="0" w:color="000000"/>
            </w:tcBorders>
          </w:tcPr>
          <w:p w14:paraId="7274B67C" w14:textId="77777777" w:rsidR="00492CA7" w:rsidRDefault="00000000">
            <w:r>
              <w:t>2033</w:t>
            </w:r>
          </w:p>
        </w:tc>
        <w:tc>
          <w:tcPr>
            <w:tcW w:w="0" w:type="auto"/>
            <w:tcBorders>
              <w:top w:val="single" w:sz="1" w:space="0" w:color="000000"/>
              <w:left w:val="single" w:sz="1" w:space="0" w:color="000000"/>
              <w:bottom w:val="single" w:sz="1" w:space="0" w:color="000000"/>
            </w:tcBorders>
          </w:tcPr>
          <w:p w14:paraId="0289B281" w14:textId="77777777" w:rsidR="00492CA7" w:rsidRDefault="00000000">
            <w:r>
              <w:t>1,500</w:t>
            </w:r>
          </w:p>
        </w:tc>
        <w:tc>
          <w:tcPr>
            <w:tcW w:w="0" w:type="auto"/>
            <w:tcBorders>
              <w:top w:val="single" w:sz="1" w:space="0" w:color="000000"/>
              <w:left w:val="single" w:sz="1" w:space="0" w:color="000000"/>
              <w:bottom w:val="single" w:sz="1" w:space="0" w:color="000000"/>
            </w:tcBorders>
          </w:tcPr>
          <w:p w14:paraId="7791B149" w14:textId="77777777" w:rsidR="00492CA7" w:rsidRDefault="00000000">
            <w:r>
              <w:t>8,500</w:t>
            </w:r>
          </w:p>
        </w:tc>
        <w:tc>
          <w:tcPr>
            <w:tcW w:w="0" w:type="auto"/>
            <w:tcBorders>
              <w:top w:val="single" w:sz="1" w:space="0" w:color="000000"/>
              <w:left w:val="single" w:sz="1" w:space="0" w:color="000000"/>
              <w:bottom w:val="single" w:sz="1" w:space="0" w:color="000000"/>
            </w:tcBorders>
          </w:tcPr>
          <w:p w14:paraId="2B4B4717" w14:textId="77777777" w:rsidR="00492CA7" w:rsidRDefault="00000000">
            <w:r>
              <w:t>700</w:t>
            </w:r>
          </w:p>
        </w:tc>
        <w:tc>
          <w:tcPr>
            <w:tcW w:w="0" w:type="auto"/>
            <w:tcBorders>
              <w:top w:val="single" w:sz="1" w:space="0" w:color="000000"/>
              <w:left w:val="single" w:sz="1" w:space="0" w:color="000000"/>
              <w:bottom w:val="single" w:sz="1" w:space="0" w:color="000000"/>
            </w:tcBorders>
          </w:tcPr>
          <w:p w14:paraId="01F31AA5" w14:textId="77777777" w:rsidR="00492CA7" w:rsidRDefault="00000000">
            <w:r>
              <w:t>600</w:t>
            </w:r>
          </w:p>
        </w:tc>
        <w:tc>
          <w:tcPr>
            <w:tcW w:w="0" w:type="auto"/>
            <w:tcBorders>
              <w:top w:val="single" w:sz="1" w:space="0" w:color="000000"/>
              <w:left w:val="single" w:sz="1" w:space="0" w:color="000000"/>
              <w:bottom w:val="single" w:sz="1" w:space="0" w:color="000000"/>
            </w:tcBorders>
          </w:tcPr>
          <w:p w14:paraId="6651E4E3" w14:textId="77777777" w:rsidR="00492CA7" w:rsidRDefault="00000000">
            <w:r>
              <w:t>200</w:t>
            </w:r>
          </w:p>
        </w:tc>
        <w:tc>
          <w:tcPr>
            <w:tcW w:w="0" w:type="auto"/>
            <w:tcBorders>
              <w:top w:val="single" w:sz="1" w:space="0" w:color="000000"/>
              <w:left w:val="single" w:sz="1" w:space="0" w:color="000000"/>
              <w:bottom w:val="single" w:sz="1" w:space="0" w:color="000000"/>
            </w:tcBorders>
          </w:tcPr>
          <w:p w14:paraId="6EC6B41A" w14:textId="77777777" w:rsidR="00492CA7" w:rsidRDefault="00000000">
            <w:r>
              <w:t>50%</w:t>
            </w:r>
          </w:p>
        </w:tc>
      </w:tr>
      <w:tr w:rsidR="00492CA7" w14:paraId="5FEE2107" w14:textId="77777777">
        <w:trPr>
          <w:cantSplit/>
          <w:tblCellSpacing w:w="0" w:type="dxa"/>
          <w:jc w:val="center"/>
        </w:trPr>
        <w:tc>
          <w:tcPr>
            <w:tcW w:w="0" w:type="auto"/>
            <w:tcBorders>
              <w:top w:val="single" w:sz="1" w:space="0" w:color="000000"/>
              <w:bottom w:val="single" w:sz="1" w:space="0" w:color="000000"/>
            </w:tcBorders>
          </w:tcPr>
          <w:p w14:paraId="69B887DD" w14:textId="77777777" w:rsidR="00492CA7" w:rsidRDefault="00000000">
            <w:r>
              <w:rPr>
                <w:rFonts w:eastAsia="Georgia" w:hAnsi="Georgia" w:cs="Georgia"/>
              </w:rPr>
              <w:t>2034–2035</w:t>
            </w:r>
          </w:p>
        </w:tc>
        <w:tc>
          <w:tcPr>
            <w:tcW w:w="0" w:type="auto"/>
            <w:tcBorders>
              <w:top w:val="single" w:sz="1" w:space="0" w:color="000000"/>
              <w:left w:val="single" w:sz="1" w:space="0" w:color="000000"/>
              <w:bottom w:val="single" w:sz="1" w:space="0" w:color="000000"/>
            </w:tcBorders>
          </w:tcPr>
          <w:p w14:paraId="6741084B" w14:textId="77777777" w:rsidR="00492CA7" w:rsidRDefault="00000000">
            <w:r>
              <w:rPr>
                <w:rFonts w:eastAsia="Georgia" w:hAnsi="Georgia" w:cs="Georgia"/>
              </w:rPr>
              <w:t>500–750/yr</w:t>
            </w:r>
          </w:p>
        </w:tc>
        <w:tc>
          <w:tcPr>
            <w:tcW w:w="0" w:type="auto"/>
            <w:tcBorders>
              <w:top w:val="single" w:sz="1" w:space="0" w:color="000000"/>
              <w:left w:val="single" w:sz="1" w:space="0" w:color="000000"/>
              <w:bottom w:val="single" w:sz="1" w:space="0" w:color="000000"/>
            </w:tcBorders>
          </w:tcPr>
          <w:p w14:paraId="44E80B60" w14:textId="77777777" w:rsidR="00492CA7" w:rsidRDefault="00000000">
            <w:r>
              <w:rPr>
                <w:rFonts w:eastAsia="Georgia" w:hAnsi="Georgia" w:cs="Georgia"/>
              </w:rPr>
              <w:t>9,500–10,000</w:t>
            </w:r>
          </w:p>
        </w:tc>
        <w:tc>
          <w:tcPr>
            <w:tcW w:w="0" w:type="auto"/>
            <w:tcBorders>
              <w:top w:val="single" w:sz="1" w:space="0" w:color="000000"/>
              <w:left w:val="single" w:sz="1" w:space="0" w:color="000000"/>
              <w:bottom w:val="single" w:sz="1" w:space="0" w:color="000000"/>
            </w:tcBorders>
          </w:tcPr>
          <w:p w14:paraId="15092B75" w14:textId="77777777" w:rsidR="00492CA7" w:rsidRDefault="00000000">
            <w:r>
              <w:t>Stabilized</w:t>
            </w:r>
          </w:p>
        </w:tc>
        <w:tc>
          <w:tcPr>
            <w:tcW w:w="0" w:type="auto"/>
            <w:tcBorders>
              <w:top w:val="single" w:sz="1" w:space="0" w:color="000000"/>
              <w:left w:val="single" w:sz="1" w:space="0" w:color="000000"/>
              <w:bottom w:val="single" w:sz="1" w:space="0" w:color="000000"/>
            </w:tcBorders>
          </w:tcPr>
          <w:p w14:paraId="1BD4E938" w14:textId="77777777" w:rsidR="00492CA7" w:rsidRDefault="00000000">
            <w:r>
              <w:t>Stabilized</w:t>
            </w:r>
          </w:p>
        </w:tc>
        <w:tc>
          <w:tcPr>
            <w:tcW w:w="0" w:type="auto"/>
            <w:tcBorders>
              <w:top w:val="single" w:sz="1" w:space="0" w:color="000000"/>
              <w:left w:val="single" w:sz="1" w:space="0" w:color="000000"/>
              <w:bottom w:val="single" w:sz="1" w:space="0" w:color="000000"/>
            </w:tcBorders>
          </w:tcPr>
          <w:p w14:paraId="5203C848" w14:textId="77777777" w:rsidR="00492CA7" w:rsidRDefault="00000000">
            <w:r>
              <w:t>Stabilized</w:t>
            </w:r>
          </w:p>
        </w:tc>
        <w:tc>
          <w:tcPr>
            <w:tcW w:w="0" w:type="auto"/>
            <w:tcBorders>
              <w:top w:val="single" w:sz="1" w:space="0" w:color="000000"/>
              <w:left w:val="single" w:sz="1" w:space="0" w:color="000000"/>
              <w:bottom w:val="single" w:sz="1" w:space="0" w:color="000000"/>
            </w:tcBorders>
          </w:tcPr>
          <w:p w14:paraId="7627622C" w14:textId="77777777" w:rsidR="00492CA7" w:rsidRDefault="00000000">
            <w:r>
              <w:t>50%+</w:t>
            </w:r>
          </w:p>
        </w:tc>
      </w:tr>
    </w:tbl>
    <w:p w14:paraId="4D75EAB9" w14:textId="77777777" w:rsidR="00492CA7" w:rsidRDefault="00492CA7"/>
    <w:p w14:paraId="3FBAAB9A" w14:textId="77777777" w:rsidR="00492CA7" w:rsidRDefault="00000000">
      <w:pPr>
        <w:spacing w:after="210"/>
      </w:pPr>
      <w:r>
        <w:rPr>
          <w:b/>
        </w:rPr>
        <w:t>Phase III focus areas:</w:t>
      </w:r>
    </w:p>
    <w:p w14:paraId="7755F81A" w14:textId="77777777" w:rsidR="00492CA7" w:rsidRDefault="00000000">
      <w:pPr>
        <w:numPr>
          <w:ilvl w:val="0"/>
          <w:numId w:val="44"/>
        </w:numPr>
      </w:pPr>
      <w:r>
        <w:t>(i) Equity deep-dive: ensure 40%+ of benefits to households of color, 25%+ to immigrants,</w:t>
      </w:r>
    </w:p>
    <w:p w14:paraId="381BF063" w14:textId="77777777" w:rsidR="00492CA7" w:rsidRDefault="00000000">
      <w:pPr>
        <w:numPr>
          <w:ilvl w:val="0"/>
          <w:numId w:val="44"/>
        </w:numPr>
      </w:pPr>
      <w:r>
        <w:t>(ii) Intergenerational wealth measurement: 10-year post-conversion tracking,</w:t>
      </w:r>
    </w:p>
    <w:p w14:paraId="22E1D1DF" w14:textId="77777777" w:rsidR="00492CA7" w:rsidRDefault="00000000">
      <w:pPr>
        <w:numPr>
          <w:ilvl w:val="0"/>
          <w:numId w:val="44"/>
        </w:numPr>
      </w:pPr>
      <w:r>
        <w:t>(iii) CLT sustainability: transition to self-funding model via ground rent + reacquisition equity,</w:t>
      </w:r>
    </w:p>
    <w:p w14:paraId="4C3D0B90" w14:textId="77777777" w:rsidR="00492CA7" w:rsidRDefault="00000000">
      <w:pPr>
        <w:numPr>
          <w:ilvl w:val="0"/>
          <w:numId w:val="44"/>
        </w:numPr>
      </w:pPr>
      <w:r>
        <w:t>(iv) Credit union network maturation: enable peer lending standardization across partners,</w:t>
      </w:r>
    </w:p>
    <w:p w14:paraId="5CF16BF4" w14:textId="77777777" w:rsidR="00492CA7" w:rsidRDefault="00000000">
      <w:pPr>
        <w:numPr>
          <w:ilvl w:val="0"/>
          <w:numId w:val="44"/>
        </w:numPr>
      </w:pPr>
      <w:r>
        <w:t>(v) Policy advocacy: position NYC model for state/federal scaling.</w:t>
      </w:r>
    </w:p>
    <w:p w14:paraId="34C744E9" w14:textId="77777777" w:rsidR="00492CA7" w:rsidRDefault="00BB14A2">
      <w:r>
        <w:rPr>
          <w:noProof/>
        </w:rPr>
        <w:pict w14:anchorId="4B4E357B">
          <v:rect id="_x0000_i1047" alt="" style="width:434.5pt;height:.05pt;mso-width-percent:0;mso-height-percent:0;mso-width-percent:0;mso-height-percent:0" o:hralign="center" o:hrstd="t" o:hr="t"/>
        </w:pict>
      </w:r>
    </w:p>
    <w:p w14:paraId="5BAB6D3E" w14:textId="77777777" w:rsidR="00492CA7" w:rsidRDefault="00000000">
      <w:pPr>
        <w:spacing w:before="240" w:line="271" w:lineRule="auto"/>
      </w:pPr>
      <w:bookmarkStart w:id="15" w:name="section_10_equity_accountability_61fc93"/>
      <w:r>
        <w:rPr>
          <w:b/>
          <w:sz w:val="33"/>
        </w:rPr>
        <w:lastRenderedPageBreak/>
        <w:t>SECTION 10: EQUITY ACCOUNTABILITY &amp; DISAGGREGATED REPORTING</w:t>
      </w:r>
      <w:bookmarkEnd w:id="15"/>
    </w:p>
    <w:p w14:paraId="5A8AD21E" w14:textId="77777777" w:rsidR="00492CA7" w:rsidRDefault="00000000">
      <w:pPr>
        <w:spacing w:after="210"/>
      </w:pPr>
      <w:r>
        <w:t xml:space="preserve">10.1 </w:t>
      </w:r>
      <w:r>
        <w:rPr>
          <w:b/>
        </w:rPr>
        <w:t>Mandatory Equity Metrics Tracking.</w:t>
      </w:r>
    </w:p>
    <w:p w14:paraId="1AABA6A3" w14:textId="77777777" w:rsidR="00492CA7" w:rsidRDefault="00000000">
      <w:pPr>
        <w:spacing w:after="210"/>
      </w:pPr>
      <w:r>
        <w:t xml:space="preserve">(a) </w:t>
      </w:r>
      <w:r>
        <w:rPr>
          <w:b/>
        </w:rPr>
        <w:t>Baseline Demographics.</w:t>
      </w:r>
      <w:r>
        <w:t xml:space="preserve"> PETO shall maintain disaggregated records of all conversion participants across the following dimensions:</w:t>
      </w:r>
    </w:p>
    <w:p w14:paraId="4624779B" w14:textId="77777777" w:rsidR="00492CA7" w:rsidRDefault="00000000">
      <w:pPr>
        <w:numPr>
          <w:ilvl w:val="0"/>
          <w:numId w:val="45"/>
        </w:numPr>
      </w:pPr>
      <w:r>
        <w:t xml:space="preserve">(i) </w:t>
      </w:r>
      <w:r>
        <w:rPr>
          <w:b/>
        </w:rPr>
        <w:t>Race/Ethnicity:</w:t>
      </w:r>
      <w:r>
        <w:t xml:space="preserve"> Black non-Hispanic, White non-Hispanic, Latino, Asian/AIAN, Other/Multiracial,</w:t>
      </w:r>
    </w:p>
    <w:p w14:paraId="000D5E96" w14:textId="77777777" w:rsidR="00492CA7" w:rsidRDefault="00000000">
      <w:pPr>
        <w:numPr>
          <w:ilvl w:val="0"/>
          <w:numId w:val="45"/>
        </w:numPr>
      </w:pPr>
      <w:r>
        <w:t xml:space="preserve">(ii) </w:t>
      </w:r>
      <w:r>
        <w:rPr>
          <w:b/>
        </w:rPr>
        <w:t>Household Income:</w:t>
      </w:r>
      <w:r>
        <w:rPr>
          <w:rFonts w:eastAsia="Georgia" w:hAnsi="Georgia" w:cs="Georgia"/>
        </w:rPr>
        <w:t xml:space="preserve"> ≤50% AMI, 50–80% AMI, 80–100% AMI, 100–120% AMI,</w:t>
      </w:r>
    </w:p>
    <w:p w14:paraId="1BF25BD7" w14:textId="77777777" w:rsidR="00492CA7" w:rsidRDefault="00000000">
      <w:pPr>
        <w:numPr>
          <w:ilvl w:val="0"/>
          <w:numId w:val="45"/>
        </w:numPr>
      </w:pPr>
      <w:r>
        <w:t xml:space="preserve">(iii) </w:t>
      </w:r>
      <w:r>
        <w:rPr>
          <w:b/>
        </w:rPr>
        <w:t>Family Composition:</w:t>
      </w:r>
      <w:r>
        <w:rPr>
          <w:rFonts w:eastAsia="Georgia" w:hAnsi="Georgia" w:cs="Georgia"/>
        </w:rPr>
        <w:t xml:space="preserve"> Single adults, families with children, multi-generational, seniors ≥65,</w:t>
      </w:r>
    </w:p>
    <w:p w14:paraId="3BB9F530" w14:textId="77777777" w:rsidR="00492CA7" w:rsidRDefault="00000000">
      <w:pPr>
        <w:numPr>
          <w:ilvl w:val="0"/>
          <w:numId w:val="45"/>
        </w:numPr>
      </w:pPr>
      <w:r>
        <w:t xml:space="preserve">(iv) </w:t>
      </w:r>
      <w:r>
        <w:rPr>
          <w:b/>
        </w:rPr>
        <w:t>Prior Tenure:</w:t>
      </w:r>
      <w:r>
        <w:rPr>
          <w:rFonts w:eastAsia="Georgia" w:hAnsi="Georgia" w:cs="Georgia"/>
        </w:rPr>
        <w:t xml:space="preserve"> Long-term (≥5 years prior subsidy), mid-term (3–5 years), short-term (≥3 years),</w:t>
      </w:r>
    </w:p>
    <w:p w14:paraId="68000EBF" w14:textId="77777777" w:rsidR="00492CA7" w:rsidRDefault="00000000">
      <w:pPr>
        <w:numPr>
          <w:ilvl w:val="0"/>
          <w:numId w:val="45"/>
        </w:numPr>
      </w:pPr>
      <w:r>
        <w:t xml:space="preserve">(v) </w:t>
      </w:r>
      <w:r>
        <w:rPr>
          <w:b/>
        </w:rPr>
        <w:t>Immigration Status Proxy:</w:t>
      </w:r>
      <w:r>
        <w:t xml:space="preserve"> First-generation immigrant (self-reported), second-generation+,</w:t>
      </w:r>
    </w:p>
    <w:p w14:paraId="6542AD32" w14:textId="77777777" w:rsidR="00492CA7" w:rsidRDefault="00000000">
      <w:pPr>
        <w:numPr>
          <w:ilvl w:val="0"/>
          <w:numId w:val="45"/>
        </w:numPr>
      </w:pPr>
      <w:r>
        <w:t xml:space="preserve">(vi) </w:t>
      </w:r>
      <w:r>
        <w:rPr>
          <w:b/>
        </w:rPr>
        <w:t>Borough:</w:t>
      </w:r>
      <w:r>
        <w:t xml:space="preserve"> Manhattan, Bronx, Brooklyn, Queens, Staten Island.</w:t>
      </w:r>
    </w:p>
    <w:p w14:paraId="49FB4203" w14:textId="77777777" w:rsidR="00492CA7" w:rsidRDefault="00000000">
      <w:pPr>
        <w:spacing w:after="210"/>
      </w:pPr>
      <w:r>
        <w:t xml:space="preserve">(b) </w:t>
      </w:r>
      <w:r>
        <w:rPr>
          <w:b/>
        </w:rPr>
        <w:t>Conversion Outcome Tracking.</w:t>
      </w:r>
      <w:r>
        <w:t xml:space="preserve"> For each conversion, PETO shall record:</w:t>
      </w:r>
    </w:p>
    <w:p w14:paraId="472047AE" w14:textId="77777777" w:rsidR="00492CA7" w:rsidRDefault="00000000">
      <w:pPr>
        <w:numPr>
          <w:ilvl w:val="0"/>
          <w:numId w:val="46"/>
        </w:numPr>
      </w:pPr>
      <w:r>
        <w:t xml:space="preserve">(i) </w:t>
      </w:r>
      <w:r>
        <w:rPr>
          <w:b/>
        </w:rPr>
        <w:t>Ownership model:</w:t>
      </w:r>
      <w:r>
        <w:t xml:space="preserve"> Pathway 1 (CLT-LEC), Pathway 2 (CLT ground lease), Pathway 3 (covenant),</w:t>
      </w:r>
    </w:p>
    <w:p w14:paraId="3C6AA8D7" w14:textId="77777777" w:rsidR="00492CA7" w:rsidRDefault="00000000">
      <w:pPr>
        <w:numPr>
          <w:ilvl w:val="0"/>
          <w:numId w:val="46"/>
        </w:numPr>
      </w:pPr>
      <w:r>
        <w:t xml:space="preserve">(ii) </w:t>
      </w:r>
      <w:r>
        <w:rPr>
          <w:b/>
        </w:rPr>
        <w:t>Credit union partner:</w:t>
      </w:r>
      <w:r>
        <w:t xml:space="preserve"> Designated partner name,</w:t>
      </w:r>
    </w:p>
    <w:p w14:paraId="62DC16A5" w14:textId="77777777" w:rsidR="00492CA7" w:rsidRDefault="00000000">
      <w:pPr>
        <w:numPr>
          <w:ilvl w:val="0"/>
          <w:numId w:val="46"/>
        </w:numPr>
      </w:pPr>
      <w:r>
        <w:t xml:space="preserve">(iii) </w:t>
      </w:r>
      <w:r>
        <w:rPr>
          <w:b/>
        </w:rPr>
        <w:t>CLT partner (if applicable):</w:t>
      </w:r>
      <w:r>
        <w:t xml:space="preserve"> CLT name and location,</w:t>
      </w:r>
    </w:p>
    <w:p w14:paraId="305DB047" w14:textId="77777777" w:rsidR="00492CA7" w:rsidRDefault="00000000">
      <w:pPr>
        <w:numPr>
          <w:ilvl w:val="0"/>
          <w:numId w:val="46"/>
        </w:numPr>
      </w:pPr>
      <w:r>
        <w:t xml:space="preserve">(iv) </w:t>
      </w:r>
      <w:r>
        <w:rPr>
          <w:b/>
        </w:rPr>
        <w:t>Mortgage terms:</w:t>
      </w:r>
      <w:r>
        <w:t xml:space="preserve"> Rate, term, LTV, monthly payment,</w:t>
      </w:r>
    </w:p>
    <w:p w14:paraId="154062B2" w14:textId="77777777" w:rsidR="00492CA7" w:rsidRDefault="00000000">
      <w:pPr>
        <w:numPr>
          <w:ilvl w:val="0"/>
          <w:numId w:val="46"/>
        </w:numPr>
      </w:pPr>
      <w:r>
        <w:t xml:space="preserve">(v) </w:t>
      </w:r>
      <w:r>
        <w:rPr>
          <w:b/>
        </w:rPr>
        <w:t>Conversion cost:</w:t>
      </w:r>
      <w:r>
        <w:t xml:space="preserve"> Down payment grant amount, covenant financing amount, total City subsidy,</w:t>
      </w:r>
    </w:p>
    <w:p w14:paraId="62170467" w14:textId="77777777" w:rsidR="00492CA7" w:rsidRDefault="00000000">
      <w:pPr>
        <w:numPr>
          <w:ilvl w:val="0"/>
          <w:numId w:val="46"/>
        </w:numPr>
      </w:pPr>
      <w:r>
        <w:t xml:space="preserve">(vi) </w:t>
      </w:r>
      <w:r>
        <w:rPr>
          <w:b/>
        </w:rPr>
        <w:t>Default status:</w:t>
      </w:r>
      <w:r>
        <w:rPr>
          <w:rFonts w:eastAsia="Georgia" w:hAnsi="Georgia" w:cs="Georgia"/>
        </w:rPr>
        <w:t xml:space="preserve"> Current, 30–90 days delinquent, 90+ days, in forbearance, foreclosed.</w:t>
      </w:r>
    </w:p>
    <w:p w14:paraId="2810D709" w14:textId="77777777" w:rsidR="00492CA7" w:rsidRDefault="00000000">
      <w:pPr>
        <w:spacing w:after="210"/>
      </w:pPr>
      <w:r>
        <w:t xml:space="preserve">(c) </w:t>
      </w:r>
      <w:r>
        <w:rPr>
          <w:b/>
        </w:rPr>
        <w:t>Equity Outcome Targets (Year 10).</w:t>
      </w:r>
    </w:p>
    <w:p w14:paraId="29163229" w14:textId="77777777" w:rsidR="00492CA7" w:rsidRDefault="00000000">
      <w:pPr>
        <w:spacing w:after="210"/>
      </w:pPr>
      <w:r>
        <w:t>PETO shall ensure the following equity benchmarks are achieved by Year 10 (2035):</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06"/>
        <w:gridCol w:w="1942"/>
        <w:gridCol w:w="4136"/>
      </w:tblGrid>
      <w:tr w:rsidR="00492CA7" w14:paraId="6E1D8AEB" w14:textId="77777777">
        <w:trPr>
          <w:cantSplit/>
          <w:tblCellSpacing w:w="0" w:type="dxa"/>
          <w:jc w:val="center"/>
        </w:trPr>
        <w:tc>
          <w:tcPr>
            <w:tcW w:w="0" w:type="auto"/>
            <w:tcBorders>
              <w:top w:val="single" w:sz="1" w:space="0" w:color="000000"/>
              <w:bottom w:val="single" w:sz="1" w:space="0" w:color="000000"/>
            </w:tcBorders>
          </w:tcPr>
          <w:p w14:paraId="538F2A15" w14:textId="77777777" w:rsidR="00492CA7" w:rsidRDefault="00000000">
            <w:r>
              <w:t>Demographic</w:t>
            </w:r>
          </w:p>
        </w:tc>
        <w:tc>
          <w:tcPr>
            <w:tcW w:w="0" w:type="auto"/>
            <w:tcBorders>
              <w:top w:val="single" w:sz="1" w:space="0" w:color="000000"/>
              <w:left w:val="single" w:sz="1" w:space="0" w:color="000000"/>
              <w:bottom w:val="single" w:sz="1" w:space="0" w:color="000000"/>
            </w:tcBorders>
          </w:tcPr>
          <w:p w14:paraId="364E43A4" w14:textId="77777777" w:rsidR="00492CA7" w:rsidRDefault="00000000">
            <w:r>
              <w:t>Target % of Conversions</w:t>
            </w:r>
          </w:p>
        </w:tc>
        <w:tc>
          <w:tcPr>
            <w:tcW w:w="0" w:type="auto"/>
            <w:tcBorders>
              <w:top w:val="single" w:sz="1" w:space="0" w:color="000000"/>
              <w:left w:val="single" w:sz="1" w:space="0" w:color="000000"/>
              <w:bottom w:val="single" w:sz="1" w:space="0" w:color="000000"/>
            </w:tcBorders>
          </w:tcPr>
          <w:p w14:paraId="7385C683" w14:textId="77777777" w:rsidR="00492CA7" w:rsidRDefault="00000000">
            <w:r>
              <w:t>Rationale</w:t>
            </w:r>
          </w:p>
        </w:tc>
      </w:tr>
      <w:tr w:rsidR="00492CA7" w14:paraId="11A3FB35" w14:textId="77777777">
        <w:trPr>
          <w:cantSplit/>
          <w:tblCellSpacing w:w="0" w:type="dxa"/>
          <w:jc w:val="center"/>
        </w:trPr>
        <w:tc>
          <w:tcPr>
            <w:tcW w:w="0" w:type="auto"/>
            <w:tcBorders>
              <w:top w:val="single" w:sz="1" w:space="0" w:color="000000"/>
              <w:bottom w:val="single" w:sz="1" w:space="0" w:color="000000"/>
            </w:tcBorders>
          </w:tcPr>
          <w:p w14:paraId="7E6758D2" w14:textId="77777777" w:rsidR="00492CA7" w:rsidRDefault="00000000">
            <w:r>
              <w:rPr>
                <w:b/>
              </w:rPr>
              <w:t>Race/Ethnicity: Black</w:t>
            </w:r>
          </w:p>
        </w:tc>
        <w:tc>
          <w:tcPr>
            <w:tcW w:w="0" w:type="auto"/>
            <w:tcBorders>
              <w:top w:val="single" w:sz="1" w:space="0" w:color="000000"/>
              <w:left w:val="single" w:sz="1" w:space="0" w:color="000000"/>
              <w:bottom w:val="single" w:sz="1" w:space="0" w:color="000000"/>
            </w:tcBorders>
          </w:tcPr>
          <w:p w14:paraId="5DC76F71" w14:textId="77777777" w:rsidR="00492CA7" w:rsidRDefault="00000000">
            <w:r>
              <w:rPr>
                <w:rFonts w:eastAsia="Georgia" w:hAnsi="Georgia" w:cs="Georgia"/>
              </w:rPr>
              <w:t>≥22%</w:t>
            </w:r>
          </w:p>
        </w:tc>
        <w:tc>
          <w:tcPr>
            <w:tcW w:w="0" w:type="auto"/>
            <w:tcBorders>
              <w:top w:val="single" w:sz="1" w:space="0" w:color="000000"/>
              <w:left w:val="single" w:sz="1" w:space="0" w:color="000000"/>
              <w:bottom w:val="single" w:sz="1" w:space="0" w:color="000000"/>
            </w:tcBorders>
          </w:tcPr>
          <w:p w14:paraId="470B2555" w14:textId="77777777" w:rsidR="00492CA7" w:rsidRDefault="00000000">
            <w:r>
              <w:rPr>
                <w:rFonts w:eastAsia="Georgia" w:hAnsi="Georgia" w:cs="Georgia"/>
              </w:rPr>
              <w:t>Parity with population share (19–22% of renters)</w:t>
            </w:r>
          </w:p>
        </w:tc>
      </w:tr>
      <w:tr w:rsidR="00492CA7" w14:paraId="466D254B" w14:textId="77777777">
        <w:trPr>
          <w:cantSplit/>
          <w:tblCellSpacing w:w="0" w:type="dxa"/>
          <w:jc w:val="center"/>
        </w:trPr>
        <w:tc>
          <w:tcPr>
            <w:tcW w:w="0" w:type="auto"/>
            <w:tcBorders>
              <w:top w:val="single" w:sz="1" w:space="0" w:color="000000"/>
              <w:bottom w:val="single" w:sz="1" w:space="0" w:color="000000"/>
            </w:tcBorders>
          </w:tcPr>
          <w:p w14:paraId="5AE8E51D" w14:textId="77777777" w:rsidR="00492CA7" w:rsidRDefault="00000000">
            <w:r>
              <w:rPr>
                <w:b/>
              </w:rPr>
              <w:t>Race/Ethnicity: Latino</w:t>
            </w:r>
          </w:p>
        </w:tc>
        <w:tc>
          <w:tcPr>
            <w:tcW w:w="0" w:type="auto"/>
            <w:tcBorders>
              <w:top w:val="single" w:sz="1" w:space="0" w:color="000000"/>
              <w:left w:val="single" w:sz="1" w:space="0" w:color="000000"/>
              <w:bottom w:val="single" w:sz="1" w:space="0" w:color="000000"/>
            </w:tcBorders>
          </w:tcPr>
          <w:p w14:paraId="33AA609A" w14:textId="77777777" w:rsidR="00492CA7" w:rsidRDefault="00000000">
            <w:r>
              <w:rPr>
                <w:rFonts w:eastAsia="Georgia" w:hAnsi="Georgia" w:cs="Georgia"/>
              </w:rPr>
              <w:t>≥32%</w:t>
            </w:r>
          </w:p>
        </w:tc>
        <w:tc>
          <w:tcPr>
            <w:tcW w:w="0" w:type="auto"/>
            <w:tcBorders>
              <w:top w:val="single" w:sz="1" w:space="0" w:color="000000"/>
              <w:left w:val="single" w:sz="1" w:space="0" w:color="000000"/>
              <w:bottom w:val="single" w:sz="1" w:space="0" w:color="000000"/>
            </w:tcBorders>
          </w:tcPr>
          <w:p w14:paraId="2A48D055" w14:textId="77777777" w:rsidR="00492CA7" w:rsidRDefault="00000000">
            <w:r>
              <w:t>Exceeds population share (28% renters); addresses historical subsidy gap</w:t>
            </w:r>
          </w:p>
        </w:tc>
      </w:tr>
      <w:tr w:rsidR="00492CA7" w14:paraId="7F14F6E8" w14:textId="77777777">
        <w:trPr>
          <w:cantSplit/>
          <w:tblCellSpacing w:w="0" w:type="dxa"/>
          <w:jc w:val="center"/>
        </w:trPr>
        <w:tc>
          <w:tcPr>
            <w:tcW w:w="0" w:type="auto"/>
            <w:tcBorders>
              <w:top w:val="single" w:sz="1" w:space="0" w:color="000000"/>
              <w:bottom w:val="single" w:sz="1" w:space="0" w:color="000000"/>
            </w:tcBorders>
          </w:tcPr>
          <w:p w14:paraId="643C94F9" w14:textId="77777777" w:rsidR="00492CA7" w:rsidRDefault="00000000">
            <w:r>
              <w:rPr>
                <w:b/>
              </w:rPr>
              <w:t>Race/Ethnicity: White</w:t>
            </w:r>
          </w:p>
        </w:tc>
        <w:tc>
          <w:tcPr>
            <w:tcW w:w="0" w:type="auto"/>
            <w:tcBorders>
              <w:top w:val="single" w:sz="1" w:space="0" w:color="000000"/>
              <w:left w:val="single" w:sz="1" w:space="0" w:color="000000"/>
              <w:bottom w:val="single" w:sz="1" w:space="0" w:color="000000"/>
            </w:tcBorders>
          </w:tcPr>
          <w:p w14:paraId="032BEF6D" w14:textId="77777777" w:rsidR="00492CA7" w:rsidRDefault="00000000">
            <w:r>
              <w:rPr>
                <w:rFonts w:eastAsia="Georgia" w:hAnsi="Georgia" w:cs="Georgia"/>
              </w:rPr>
              <w:t>≤30%</w:t>
            </w:r>
          </w:p>
        </w:tc>
        <w:tc>
          <w:tcPr>
            <w:tcW w:w="0" w:type="auto"/>
            <w:tcBorders>
              <w:top w:val="single" w:sz="1" w:space="0" w:color="000000"/>
              <w:left w:val="single" w:sz="1" w:space="0" w:color="000000"/>
              <w:bottom w:val="single" w:sz="1" w:space="0" w:color="000000"/>
            </w:tcBorders>
          </w:tcPr>
          <w:p w14:paraId="478CC957" w14:textId="77777777" w:rsidR="00492CA7" w:rsidRDefault="00000000">
            <w:r>
              <w:t>Below population parity; preserves benefit for historically excluded groups</w:t>
            </w:r>
          </w:p>
        </w:tc>
      </w:tr>
      <w:tr w:rsidR="00492CA7" w14:paraId="34F27E3C" w14:textId="77777777">
        <w:trPr>
          <w:cantSplit/>
          <w:tblCellSpacing w:w="0" w:type="dxa"/>
          <w:jc w:val="center"/>
        </w:trPr>
        <w:tc>
          <w:tcPr>
            <w:tcW w:w="0" w:type="auto"/>
            <w:tcBorders>
              <w:top w:val="single" w:sz="1" w:space="0" w:color="000000"/>
              <w:bottom w:val="single" w:sz="1" w:space="0" w:color="000000"/>
            </w:tcBorders>
          </w:tcPr>
          <w:p w14:paraId="62510D21" w14:textId="77777777" w:rsidR="00492CA7" w:rsidRDefault="00000000">
            <w:r>
              <w:rPr>
                <w:b/>
              </w:rPr>
              <w:lastRenderedPageBreak/>
              <w:t>Race/Ethnicity: Asian</w:t>
            </w:r>
          </w:p>
        </w:tc>
        <w:tc>
          <w:tcPr>
            <w:tcW w:w="0" w:type="auto"/>
            <w:tcBorders>
              <w:top w:val="single" w:sz="1" w:space="0" w:color="000000"/>
              <w:left w:val="single" w:sz="1" w:space="0" w:color="000000"/>
              <w:bottom w:val="single" w:sz="1" w:space="0" w:color="000000"/>
            </w:tcBorders>
          </w:tcPr>
          <w:p w14:paraId="5A718593" w14:textId="77777777" w:rsidR="00492CA7" w:rsidRDefault="00000000">
            <w:r>
              <w:rPr>
                <w:rFonts w:eastAsia="Georgia" w:hAnsi="Georgia" w:cs="Georgia"/>
              </w:rPr>
              <w:t>≥10%</w:t>
            </w:r>
          </w:p>
        </w:tc>
        <w:tc>
          <w:tcPr>
            <w:tcW w:w="0" w:type="auto"/>
            <w:tcBorders>
              <w:top w:val="single" w:sz="1" w:space="0" w:color="000000"/>
              <w:left w:val="single" w:sz="1" w:space="0" w:color="000000"/>
              <w:bottom w:val="single" w:sz="1" w:space="0" w:color="000000"/>
            </w:tcBorders>
          </w:tcPr>
          <w:p w14:paraId="501E4965" w14:textId="77777777" w:rsidR="00492CA7" w:rsidRDefault="00000000">
            <w:r>
              <w:t>Parity with renter population share</w:t>
            </w:r>
          </w:p>
        </w:tc>
      </w:tr>
      <w:tr w:rsidR="00492CA7" w14:paraId="7DC8C27D" w14:textId="77777777">
        <w:trPr>
          <w:cantSplit/>
          <w:tblCellSpacing w:w="0" w:type="dxa"/>
          <w:jc w:val="center"/>
        </w:trPr>
        <w:tc>
          <w:tcPr>
            <w:tcW w:w="0" w:type="auto"/>
            <w:tcBorders>
              <w:top w:val="single" w:sz="1" w:space="0" w:color="000000"/>
              <w:bottom w:val="single" w:sz="1" w:space="0" w:color="000000"/>
            </w:tcBorders>
          </w:tcPr>
          <w:p w14:paraId="55E195C4" w14:textId="77777777" w:rsidR="00492CA7" w:rsidRDefault="00000000">
            <w:r>
              <w:rPr>
                <w:b/>
              </w:rPr>
              <w:t xml:space="preserve">Income </w:t>
            </w:r>
            <w:r>
              <w:rPr>
                <w:b/>
              </w:rPr>
              <w:t>≤</w:t>
            </w:r>
            <w:r>
              <w:rPr>
                <w:b/>
              </w:rPr>
              <w:t>60% AMI</w:t>
            </w:r>
          </w:p>
        </w:tc>
        <w:tc>
          <w:tcPr>
            <w:tcW w:w="0" w:type="auto"/>
            <w:tcBorders>
              <w:top w:val="single" w:sz="1" w:space="0" w:color="000000"/>
              <w:left w:val="single" w:sz="1" w:space="0" w:color="000000"/>
              <w:bottom w:val="single" w:sz="1" w:space="0" w:color="000000"/>
            </w:tcBorders>
          </w:tcPr>
          <w:p w14:paraId="4A3B7577" w14:textId="77777777" w:rsidR="00492CA7" w:rsidRDefault="00000000">
            <w:r>
              <w:rPr>
                <w:rFonts w:eastAsia="Georgia" w:hAnsi="Georgia" w:cs="Georgia"/>
              </w:rPr>
              <w:t>≥35%</w:t>
            </w:r>
          </w:p>
        </w:tc>
        <w:tc>
          <w:tcPr>
            <w:tcW w:w="0" w:type="auto"/>
            <w:tcBorders>
              <w:top w:val="single" w:sz="1" w:space="0" w:color="000000"/>
              <w:left w:val="single" w:sz="1" w:space="0" w:color="000000"/>
              <w:bottom w:val="single" w:sz="1" w:space="0" w:color="000000"/>
            </w:tcBorders>
          </w:tcPr>
          <w:p w14:paraId="66163A55" w14:textId="77777777" w:rsidR="00492CA7" w:rsidRDefault="00000000">
            <w:r>
              <w:t>Prioritize lowest-income households</w:t>
            </w:r>
          </w:p>
        </w:tc>
      </w:tr>
      <w:tr w:rsidR="00492CA7" w14:paraId="28297BDA" w14:textId="77777777">
        <w:trPr>
          <w:cantSplit/>
          <w:tblCellSpacing w:w="0" w:type="dxa"/>
          <w:jc w:val="center"/>
        </w:trPr>
        <w:tc>
          <w:tcPr>
            <w:tcW w:w="0" w:type="auto"/>
            <w:tcBorders>
              <w:top w:val="single" w:sz="1" w:space="0" w:color="000000"/>
              <w:bottom w:val="single" w:sz="1" w:space="0" w:color="000000"/>
            </w:tcBorders>
          </w:tcPr>
          <w:p w14:paraId="19DA4008" w14:textId="77777777" w:rsidR="00492CA7" w:rsidRDefault="00000000">
            <w:r>
              <w:rPr>
                <w:b/>
              </w:rPr>
              <w:t xml:space="preserve">Income </w:t>
            </w:r>
            <w:r>
              <w:rPr>
                <w:b/>
              </w:rPr>
              <w:t>≤</w:t>
            </w:r>
            <w:r>
              <w:rPr>
                <w:b/>
              </w:rPr>
              <w:t>80% AMI</w:t>
            </w:r>
          </w:p>
        </w:tc>
        <w:tc>
          <w:tcPr>
            <w:tcW w:w="0" w:type="auto"/>
            <w:tcBorders>
              <w:top w:val="single" w:sz="1" w:space="0" w:color="000000"/>
              <w:left w:val="single" w:sz="1" w:space="0" w:color="000000"/>
              <w:bottom w:val="single" w:sz="1" w:space="0" w:color="000000"/>
            </w:tcBorders>
          </w:tcPr>
          <w:p w14:paraId="64D727BB" w14:textId="77777777" w:rsidR="00492CA7" w:rsidRDefault="00000000">
            <w:r>
              <w:rPr>
                <w:rFonts w:eastAsia="Georgia" w:hAnsi="Georgia" w:cs="Georgia"/>
              </w:rPr>
              <w:t>≥65%</w:t>
            </w:r>
          </w:p>
        </w:tc>
        <w:tc>
          <w:tcPr>
            <w:tcW w:w="0" w:type="auto"/>
            <w:tcBorders>
              <w:top w:val="single" w:sz="1" w:space="0" w:color="000000"/>
              <w:left w:val="single" w:sz="1" w:space="0" w:color="000000"/>
              <w:bottom w:val="single" w:sz="1" w:space="0" w:color="000000"/>
            </w:tcBorders>
          </w:tcPr>
          <w:p w14:paraId="2D1C0CF2" w14:textId="77777777" w:rsidR="00492CA7" w:rsidRDefault="00000000">
            <w:r>
              <w:rPr>
                <w:rFonts w:eastAsia="Georgia" w:hAnsi="Georgia" w:cs="Georgia"/>
              </w:rPr>
              <w:t>Core targeting (≤80% AMI as primary beneficiary)</w:t>
            </w:r>
          </w:p>
        </w:tc>
      </w:tr>
      <w:tr w:rsidR="00492CA7" w14:paraId="0464EA9A" w14:textId="77777777">
        <w:trPr>
          <w:cantSplit/>
          <w:tblCellSpacing w:w="0" w:type="dxa"/>
          <w:jc w:val="center"/>
        </w:trPr>
        <w:tc>
          <w:tcPr>
            <w:tcW w:w="0" w:type="auto"/>
            <w:tcBorders>
              <w:top w:val="single" w:sz="1" w:space="0" w:color="000000"/>
              <w:bottom w:val="single" w:sz="1" w:space="0" w:color="000000"/>
            </w:tcBorders>
          </w:tcPr>
          <w:p w14:paraId="5A812F2A" w14:textId="77777777" w:rsidR="00492CA7" w:rsidRDefault="00000000">
            <w:r>
              <w:rPr>
                <w:b/>
              </w:rPr>
              <w:t>First-generation immigrant</w:t>
            </w:r>
          </w:p>
        </w:tc>
        <w:tc>
          <w:tcPr>
            <w:tcW w:w="0" w:type="auto"/>
            <w:tcBorders>
              <w:top w:val="single" w:sz="1" w:space="0" w:color="000000"/>
              <w:left w:val="single" w:sz="1" w:space="0" w:color="000000"/>
              <w:bottom w:val="single" w:sz="1" w:space="0" w:color="000000"/>
            </w:tcBorders>
          </w:tcPr>
          <w:p w14:paraId="28FB3759" w14:textId="77777777" w:rsidR="00492CA7" w:rsidRDefault="00000000">
            <w:r>
              <w:rPr>
                <w:rFonts w:eastAsia="Georgia" w:hAnsi="Georgia" w:cs="Georgia"/>
              </w:rPr>
              <w:t>≥25%</w:t>
            </w:r>
          </w:p>
        </w:tc>
        <w:tc>
          <w:tcPr>
            <w:tcW w:w="0" w:type="auto"/>
            <w:tcBorders>
              <w:top w:val="single" w:sz="1" w:space="0" w:color="000000"/>
              <w:left w:val="single" w:sz="1" w:space="0" w:color="000000"/>
              <w:bottom w:val="single" w:sz="1" w:space="0" w:color="000000"/>
            </w:tcBorders>
          </w:tcPr>
          <w:p w14:paraId="48872A0C" w14:textId="77777777" w:rsidR="00492CA7" w:rsidRDefault="00000000">
            <w:r>
              <w:t>Address historical exclusion from homeownership</w:t>
            </w:r>
          </w:p>
        </w:tc>
      </w:tr>
      <w:tr w:rsidR="00492CA7" w14:paraId="0C1D5125" w14:textId="77777777">
        <w:trPr>
          <w:cantSplit/>
          <w:tblCellSpacing w:w="0" w:type="dxa"/>
          <w:jc w:val="center"/>
        </w:trPr>
        <w:tc>
          <w:tcPr>
            <w:tcW w:w="0" w:type="auto"/>
            <w:tcBorders>
              <w:top w:val="single" w:sz="1" w:space="0" w:color="000000"/>
              <w:bottom w:val="single" w:sz="1" w:space="0" w:color="000000"/>
            </w:tcBorders>
          </w:tcPr>
          <w:p w14:paraId="2E88BA10" w14:textId="77777777" w:rsidR="00492CA7" w:rsidRDefault="00000000">
            <w:r>
              <w:rPr>
                <w:b/>
              </w:rPr>
              <w:t>Single-parent families</w:t>
            </w:r>
          </w:p>
        </w:tc>
        <w:tc>
          <w:tcPr>
            <w:tcW w:w="0" w:type="auto"/>
            <w:tcBorders>
              <w:top w:val="single" w:sz="1" w:space="0" w:color="000000"/>
              <w:left w:val="single" w:sz="1" w:space="0" w:color="000000"/>
              <w:bottom w:val="single" w:sz="1" w:space="0" w:color="000000"/>
            </w:tcBorders>
          </w:tcPr>
          <w:p w14:paraId="4E56C06B" w14:textId="77777777" w:rsidR="00492CA7" w:rsidRDefault="00000000">
            <w:r>
              <w:rPr>
                <w:rFonts w:eastAsia="Georgia" w:hAnsi="Georgia" w:cs="Georgia"/>
              </w:rPr>
              <w:t>≥20%</w:t>
            </w:r>
          </w:p>
        </w:tc>
        <w:tc>
          <w:tcPr>
            <w:tcW w:w="0" w:type="auto"/>
            <w:tcBorders>
              <w:top w:val="single" w:sz="1" w:space="0" w:color="000000"/>
              <w:left w:val="single" w:sz="1" w:space="0" w:color="000000"/>
              <w:bottom w:val="single" w:sz="1" w:space="0" w:color="000000"/>
            </w:tcBorders>
          </w:tcPr>
          <w:p w14:paraId="7120A315" w14:textId="77777777" w:rsidR="00492CA7" w:rsidRDefault="00000000">
            <w:r>
              <w:t>Address family composition equity gaps</w:t>
            </w:r>
          </w:p>
        </w:tc>
      </w:tr>
      <w:tr w:rsidR="00492CA7" w14:paraId="4B0FDE3B" w14:textId="77777777">
        <w:trPr>
          <w:cantSplit/>
          <w:tblCellSpacing w:w="0" w:type="dxa"/>
          <w:jc w:val="center"/>
        </w:trPr>
        <w:tc>
          <w:tcPr>
            <w:tcW w:w="0" w:type="auto"/>
            <w:tcBorders>
              <w:top w:val="single" w:sz="1" w:space="0" w:color="000000"/>
              <w:bottom w:val="single" w:sz="1" w:space="0" w:color="000000"/>
            </w:tcBorders>
          </w:tcPr>
          <w:p w14:paraId="5BBEBD4D" w14:textId="77777777" w:rsidR="00492CA7" w:rsidRDefault="00000000">
            <w:r>
              <w:rPr>
                <w:b/>
              </w:rPr>
              <w:t>Long-term residents (</w:t>
            </w:r>
            <w:r>
              <w:rPr>
                <w:b/>
              </w:rPr>
              <w:t>≥</w:t>
            </w:r>
            <w:r>
              <w:rPr>
                <w:b/>
              </w:rPr>
              <w:t>5 yrs)</w:t>
            </w:r>
          </w:p>
        </w:tc>
        <w:tc>
          <w:tcPr>
            <w:tcW w:w="0" w:type="auto"/>
            <w:tcBorders>
              <w:top w:val="single" w:sz="1" w:space="0" w:color="000000"/>
              <w:left w:val="single" w:sz="1" w:space="0" w:color="000000"/>
              <w:bottom w:val="single" w:sz="1" w:space="0" w:color="000000"/>
            </w:tcBorders>
          </w:tcPr>
          <w:p w14:paraId="3F710A0A" w14:textId="77777777" w:rsidR="00492CA7" w:rsidRDefault="00000000">
            <w:r>
              <w:rPr>
                <w:rFonts w:eastAsia="Georgia" w:hAnsi="Georgia" w:cs="Georgia"/>
              </w:rPr>
              <w:t>≥60%</w:t>
            </w:r>
          </w:p>
        </w:tc>
        <w:tc>
          <w:tcPr>
            <w:tcW w:w="0" w:type="auto"/>
            <w:tcBorders>
              <w:top w:val="single" w:sz="1" w:space="0" w:color="000000"/>
              <w:left w:val="single" w:sz="1" w:space="0" w:color="000000"/>
              <w:bottom w:val="single" w:sz="1" w:space="0" w:color="000000"/>
            </w:tcBorders>
          </w:tcPr>
          <w:p w14:paraId="6E9AFE04" w14:textId="77777777" w:rsidR="00492CA7" w:rsidRDefault="00000000">
            <w:r>
              <w:t>Stabilize existing communities; reduce displacement risk</w:t>
            </w:r>
          </w:p>
        </w:tc>
      </w:tr>
    </w:tbl>
    <w:p w14:paraId="3ACD6429" w14:textId="77777777" w:rsidR="00492CA7" w:rsidRDefault="00492CA7"/>
    <w:p w14:paraId="748853DB" w14:textId="77777777" w:rsidR="00492CA7" w:rsidRDefault="00000000">
      <w:pPr>
        <w:spacing w:after="210"/>
      </w:pPr>
      <w:r>
        <w:t xml:space="preserve">(d) </w:t>
      </w:r>
      <w:r>
        <w:rPr>
          <w:b/>
        </w:rPr>
        <w:t>Quarterly Equity Reporting.</w:t>
      </w:r>
    </w:p>
    <w:p w14:paraId="2D05E608" w14:textId="77777777" w:rsidR="00492CA7" w:rsidRDefault="00000000">
      <w:pPr>
        <w:spacing w:after="210"/>
      </w:pPr>
      <w:r>
        <w:t>PETO shall publish quarterly reports (due 30 days after quarter end) tracking:</w:t>
      </w:r>
    </w:p>
    <w:p w14:paraId="565682EB" w14:textId="77777777" w:rsidR="00492CA7" w:rsidRDefault="00000000">
      <w:pPr>
        <w:numPr>
          <w:ilvl w:val="0"/>
          <w:numId w:val="47"/>
        </w:numPr>
      </w:pPr>
      <w:r>
        <w:t>(i) Conversion volume by demographic segment,</w:t>
      </w:r>
    </w:p>
    <w:p w14:paraId="4FE94C2F" w14:textId="77777777" w:rsidR="00492CA7" w:rsidRDefault="00000000">
      <w:pPr>
        <w:numPr>
          <w:ilvl w:val="0"/>
          <w:numId w:val="47"/>
        </w:numPr>
      </w:pPr>
      <w:r>
        <w:t>(ii) Progress toward equity targets (% of annual target achieved per group),</w:t>
      </w:r>
    </w:p>
    <w:p w14:paraId="441C869C" w14:textId="77777777" w:rsidR="00492CA7" w:rsidRDefault="00000000">
      <w:pPr>
        <w:numPr>
          <w:ilvl w:val="0"/>
          <w:numId w:val="47"/>
        </w:numPr>
      </w:pPr>
      <w:r>
        <w:t>(iii) Disaggregated outcome metrics (default rates, average equity accrual, mortgage terms by demographic),</w:t>
      </w:r>
    </w:p>
    <w:p w14:paraId="1564D8DB" w14:textId="77777777" w:rsidR="00492CA7" w:rsidRDefault="00000000">
      <w:pPr>
        <w:numPr>
          <w:ilvl w:val="0"/>
          <w:numId w:val="47"/>
        </w:numPr>
      </w:pPr>
      <w:r>
        <w:t>(iv) Equity gaps identified; corrective actions proposed.</w:t>
      </w:r>
    </w:p>
    <w:p w14:paraId="58DFF64A" w14:textId="77777777" w:rsidR="00492CA7" w:rsidRDefault="00000000">
      <w:pPr>
        <w:spacing w:after="210"/>
      </w:pPr>
      <w:r>
        <w:t xml:space="preserve">(e) </w:t>
      </w:r>
      <w:r>
        <w:rPr>
          <w:b/>
        </w:rPr>
        <w:t>Equity Gate &amp; Corrective Action.</w:t>
      </w:r>
    </w:p>
    <w:p w14:paraId="22F85F95" w14:textId="77777777" w:rsidR="00492CA7" w:rsidRDefault="00000000">
      <w:pPr>
        <w:spacing w:after="210"/>
      </w:pPr>
      <w:r>
        <w:t>If any demographic segment falls &gt;10% below equity target in two consecutive quarters, PETO shall:</w:t>
      </w:r>
    </w:p>
    <w:p w14:paraId="2D77A3C8" w14:textId="77777777" w:rsidR="00492CA7" w:rsidRDefault="00000000">
      <w:pPr>
        <w:numPr>
          <w:ilvl w:val="0"/>
          <w:numId w:val="48"/>
        </w:numPr>
      </w:pPr>
      <w:r>
        <w:t>(i) Conduct root-cause analysis (targeting adequacy, outreach, underwriting barriers),</w:t>
      </w:r>
    </w:p>
    <w:p w14:paraId="61D30286" w14:textId="77777777" w:rsidR="00492CA7" w:rsidRDefault="00000000">
      <w:pPr>
        <w:numPr>
          <w:ilvl w:val="0"/>
          <w:numId w:val="48"/>
        </w:numPr>
      </w:pPr>
      <w:r>
        <w:t>(ii) Develop targeted corrective action plan (community outreach, marketing, underwriting modifications),</w:t>
      </w:r>
    </w:p>
    <w:p w14:paraId="7714CAD5" w14:textId="77777777" w:rsidR="00492CA7" w:rsidRDefault="00000000">
      <w:pPr>
        <w:numPr>
          <w:ilvl w:val="0"/>
          <w:numId w:val="48"/>
        </w:numPr>
      </w:pPr>
      <w:r>
        <w:t>(iii) Report to City Council within 30 days; identify budget/policy changes required to achieve equity targets,</w:t>
      </w:r>
    </w:p>
    <w:p w14:paraId="73B64CC1" w14:textId="77777777" w:rsidR="00492CA7" w:rsidRDefault="00000000">
      <w:pPr>
        <w:numPr>
          <w:ilvl w:val="0"/>
          <w:numId w:val="48"/>
        </w:numPr>
      </w:pPr>
      <w:r>
        <w:t>(iv) If equity targets cannot be met through corrective action, PETO shall recommend policy modifications or program redesign.</w:t>
      </w:r>
    </w:p>
    <w:p w14:paraId="33AB8039" w14:textId="77777777" w:rsidR="00492CA7" w:rsidRDefault="00BB14A2">
      <w:r>
        <w:rPr>
          <w:noProof/>
        </w:rPr>
        <w:pict w14:anchorId="2FE6A379">
          <v:rect id="_x0000_i1046" alt="" style="width:434.5pt;height:.05pt;mso-width-percent:0;mso-height-percent:0;mso-width-percent:0;mso-height-percent:0" o:hralign="center" o:hrstd="t" o:hr="t"/>
        </w:pict>
      </w:r>
    </w:p>
    <w:p w14:paraId="5562EB24" w14:textId="77777777" w:rsidR="00492CA7" w:rsidRDefault="00000000">
      <w:pPr>
        <w:spacing w:after="210"/>
      </w:pPr>
      <w:r>
        <w:t xml:space="preserve">10.2 </w:t>
      </w:r>
      <w:r>
        <w:rPr>
          <w:b/>
        </w:rPr>
        <w:t>Intergenerational Wealth Tracking.</w:t>
      </w:r>
    </w:p>
    <w:p w14:paraId="4EE39526" w14:textId="77777777" w:rsidR="00492CA7" w:rsidRDefault="00000000">
      <w:pPr>
        <w:spacing w:after="210"/>
      </w:pPr>
      <w:r>
        <w:t xml:space="preserve">(a) </w:t>
      </w:r>
      <w:r>
        <w:rPr>
          <w:b/>
        </w:rPr>
        <w:t>Wealth Metrics Framework.</w:t>
      </w:r>
      <w:r>
        <w:t xml:space="preserve"> PETO shall implement longitudinal tracking of household wealth accrual at 5-, 10-, 20-, and 30-year intervals post-conversion: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75"/>
        <w:gridCol w:w="4030"/>
        <w:gridCol w:w="1979"/>
      </w:tblGrid>
      <w:tr w:rsidR="00492CA7" w14:paraId="500F5A61" w14:textId="77777777">
        <w:trPr>
          <w:cantSplit/>
          <w:tblCellSpacing w:w="0" w:type="dxa"/>
          <w:jc w:val="center"/>
        </w:trPr>
        <w:tc>
          <w:tcPr>
            <w:tcW w:w="0" w:type="auto"/>
            <w:tcBorders>
              <w:top w:val="single" w:sz="1" w:space="0" w:color="000000"/>
              <w:bottom w:val="single" w:sz="1" w:space="0" w:color="000000"/>
            </w:tcBorders>
          </w:tcPr>
          <w:p w14:paraId="0BDDC12D" w14:textId="77777777" w:rsidR="00492CA7" w:rsidRDefault="00000000">
            <w:r>
              <w:t>Wealth Metric</w:t>
            </w:r>
          </w:p>
        </w:tc>
        <w:tc>
          <w:tcPr>
            <w:tcW w:w="0" w:type="auto"/>
            <w:tcBorders>
              <w:top w:val="single" w:sz="1" w:space="0" w:color="000000"/>
              <w:left w:val="single" w:sz="1" w:space="0" w:color="000000"/>
              <w:bottom w:val="single" w:sz="1" w:space="0" w:color="000000"/>
            </w:tcBorders>
          </w:tcPr>
          <w:p w14:paraId="5548A42D" w14:textId="77777777" w:rsidR="00492CA7" w:rsidRDefault="00000000">
            <w:r>
              <w:t>Definition</w:t>
            </w:r>
          </w:p>
        </w:tc>
        <w:tc>
          <w:tcPr>
            <w:tcW w:w="0" w:type="auto"/>
            <w:tcBorders>
              <w:top w:val="single" w:sz="1" w:space="0" w:color="000000"/>
              <w:left w:val="single" w:sz="1" w:space="0" w:color="000000"/>
              <w:bottom w:val="single" w:sz="1" w:space="0" w:color="000000"/>
            </w:tcBorders>
          </w:tcPr>
          <w:p w14:paraId="5ECF4177" w14:textId="77777777" w:rsidR="00492CA7" w:rsidRDefault="00000000">
            <w:r>
              <w:t>Frequency</w:t>
            </w:r>
          </w:p>
        </w:tc>
      </w:tr>
      <w:tr w:rsidR="00492CA7" w14:paraId="51AD56DF" w14:textId="77777777">
        <w:trPr>
          <w:cantSplit/>
          <w:tblCellSpacing w:w="0" w:type="dxa"/>
          <w:jc w:val="center"/>
        </w:trPr>
        <w:tc>
          <w:tcPr>
            <w:tcW w:w="0" w:type="auto"/>
            <w:tcBorders>
              <w:top w:val="single" w:sz="1" w:space="0" w:color="000000"/>
              <w:bottom w:val="single" w:sz="1" w:space="0" w:color="000000"/>
            </w:tcBorders>
          </w:tcPr>
          <w:p w14:paraId="780B2782" w14:textId="77777777" w:rsidR="00492CA7" w:rsidRDefault="00000000">
            <w:r>
              <w:rPr>
                <w:b/>
              </w:rPr>
              <w:t>Mortgage equity</w:t>
            </w:r>
          </w:p>
        </w:tc>
        <w:tc>
          <w:tcPr>
            <w:tcW w:w="0" w:type="auto"/>
            <w:tcBorders>
              <w:top w:val="single" w:sz="1" w:space="0" w:color="000000"/>
              <w:left w:val="single" w:sz="1" w:space="0" w:color="000000"/>
              <w:bottom w:val="single" w:sz="1" w:space="0" w:color="000000"/>
            </w:tcBorders>
          </w:tcPr>
          <w:p w14:paraId="5EF7921F" w14:textId="77777777" w:rsidR="00492CA7" w:rsidRDefault="00000000">
            <w:r>
              <w:t>Principal paid down + appreciation accrual (less debt balance)</w:t>
            </w:r>
          </w:p>
        </w:tc>
        <w:tc>
          <w:tcPr>
            <w:tcW w:w="0" w:type="auto"/>
            <w:tcBorders>
              <w:top w:val="single" w:sz="1" w:space="0" w:color="000000"/>
              <w:left w:val="single" w:sz="1" w:space="0" w:color="000000"/>
              <w:bottom w:val="single" w:sz="1" w:space="0" w:color="000000"/>
            </w:tcBorders>
          </w:tcPr>
          <w:p w14:paraId="5AAD9EAE" w14:textId="77777777" w:rsidR="00492CA7" w:rsidRDefault="00000000">
            <w:r>
              <w:t>Annual</w:t>
            </w:r>
          </w:p>
        </w:tc>
      </w:tr>
      <w:tr w:rsidR="00492CA7" w14:paraId="7D6A5621" w14:textId="77777777">
        <w:trPr>
          <w:cantSplit/>
          <w:tblCellSpacing w:w="0" w:type="dxa"/>
          <w:jc w:val="center"/>
        </w:trPr>
        <w:tc>
          <w:tcPr>
            <w:tcW w:w="0" w:type="auto"/>
            <w:tcBorders>
              <w:top w:val="single" w:sz="1" w:space="0" w:color="000000"/>
              <w:bottom w:val="single" w:sz="1" w:space="0" w:color="000000"/>
            </w:tcBorders>
          </w:tcPr>
          <w:p w14:paraId="01EA84CE" w14:textId="77777777" w:rsidR="00492CA7" w:rsidRDefault="00000000">
            <w:r>
              <w:rPr>
                <w:b/>
              </w:rPr>
              <w:lastRenderedPageBreak/>
              <w:t>Home equity</w:t>
            </w:r>
          </w:p>
        </w:tc>
        <w:tc>
          <w:tcPr>
            <w:tcW w:w="0" w:type="auto"/>
            <w:tcBorders>
              <w:top w:val="single" w:sz="1" w:space="0" w:color="000000"/>
              <w:left w:val="single" w:sz="1" w:space="0" w:color="000000"/>
              <w:bottom w:val="single" w:sz="1" w:space="0" w:color="000000"/>
            </w:tcBorders>
          </w:tcPr>
          <w:p w14:paraId="1CF57382" w14:textId="77777777" w:rsidR="00492CA7" w:rsidRDefault="00000000">
            <w:r>
              <w:rPr>
                <w:rFonts w:eastAsia="Georgia" w:hAnsi="Georgia" w:cs="Georgia"/>
              </w:rPr>
              <w:t>Current home value – mortgage balance (appraised annually)</w:t>
            </w:r>
          </w:p>
        </w:tc>
        <w:tc>
          <w:tcPr>
            <w:tcW w:w="0" w:type="auto"/>
            <w:tcBorders>
              <w:top w:val="single" w:sz="1" w:space="0" w:color="000000"/>
              <w:left w:val="single" w:sz="1" w:space="0" w:color="000000"/>
              <w:bottom w:val="single" w:sz="1" w:space="0" w:color="000000"/>
            </w:tcBorders>
          </w:tcPr>
          <w:p w14:paraId="0F5CFD33" w14:textId="77777777" w:rsidR="00492CA7" w:rsidRDefault="00000000">
            <w:r>
              <w:t>Annual</w:t>
            </w:r>
          </w:p>
        </w:tc>
      </w:tr>
      <w:tr w:rsidR="00492CA7" w14:paraId="4A0AE571" w14:textId="77777777">
        <w:trPr>
          <w:cantSplit/>
          <w:tblCellSpacing w:w="0" w:type="dxa"/>
          <w:jc w:val="center"/>
        </w:trPr>
        <w:tc>
          <w:tcPr>
            <w:tcW w:w="0" w:type="auto"/>
            <w:tcBorders>
              <w:top w:val="single" w:sz="1" w:space="0" w:color="000000"/>
              <w:bottom w:val="single" w:sz="1" w:space="0" w:color="000000"/>
            </w:tcBorders>
          </w:tcPr>
          <w:p w14:paraId="73773090" w14:textId="77777777" w:rsidR="00492CA7" w:rsidRDefault="00000000">
            <w:r>
              <w:rPr>
                <w:b/>
              </w:rPr>
              <w:t>Net wealth change</w:t>
            </w:r>
          </w:p>
        </w:tc>
        <w:tc>
          <w:tcPr>
            <w:tcW w:w="0" w:type="auto"/>
            <w:tcBorders>
              <w:top w:val="single" w:sz="1" w:space="0" w:color="000000"/>
              <w:left w:val="single" w:sz="1" w:space="0" w:color="000000"/>
              <w:bottom w:val="single" w:sz="1" w:space="0" w:color="000000"/>
            </w:tcBorders>
          </w:tcPr>
          <w:p w14:paraId="3E8EF8D4" w14:textId="77777777" w:rsidR="00492CA7" w:rsidRDefault="00000000">
            <w:r>
              <w:rPr>
                <w:rFonts w:eastAsia="Georgia" w:hAnsi="Georgia" w:cs="Georgia"/>
              </w:rPr>
              <w:t>Current net worth – baseline net worth at conversion</w:t>
            </w:r>
          </w:p>
        </w:tc>
        <w:tc>
          <w:tcPr>
            <w:tcW w:w="0" w:type="auto"/>
            <w:tcBorders>
              <w:top w:val="single" w:sz="1" w:space="0" w:color="000000"/>
              <w:left w:val="single" w:sz="1" w:space="0" w:color="000000"/>
              <w:bottom w:val="single" w:sz="1" w:space="0" w:color="000000"/>
            </w:tcBorders>
          </w:tcPr>
          <w:p w14:paraId="0DECA1E1" w14:textId="77777777" w:rsidR="00492CA7" w:rsidRDefault="00000000">
            <w:r>
              <w:t>Annual</w:t>
            </w:r>
          </w:p>
        </w:tc>
      </w:tr>
      <w:tr w:rsidR="00492CA7" w14:paraId="4BCAE3F2" w14:textId="77777777">
        <w:trPr>
          <w:cantSplit/>
          <w:tblCellSpacing w:w="0" w:type="dxa"/>
          <w:jc w:val="center"/>
        </w:trPr>
        <w:tc>
          <w:tcPr>
            <w:tcW w:w="0" w:type="auto"/>
            <w:tcBorders>
              <w:top w:val="single" w:sz="1" w:space="0" w:color="000000"/>
              <w:bottom w:val="single" w:sz="1" w:space="0" w:color="000000"/>
            </w:tcBorders>
          </w:tcPr>
          <w:p w14:paraId="1F10FC71" w14:textId="77777777" w:rsidR="00492CA7" w:rsidRDefault="00000000">
            <w:r>
              <w:rPr>
                <w:b/>
              </w:rPr>
              <w:t>Intergenerational transfer</w:t>
            </w:r>
          </w:p>
        </w:tc>
        <w:tc>
          <w:tcPr>
            <w:tcW w:w="0" w:type="auto"/>
            <w:tcBorders>
              <w:top w:val="single" w:sz="1" w:space="0" w:color="000000"/>
              <w:left w:val="single" w:sz="1" w:space="0" w:color="000000"/>
              <w:bottom w:val="single" w:sz="1" w:space="0" w:color="000000"/>
            </w:tcBorders>
          </w:tcPr>
          <w:p w14:paraId="69B12D1A" w14:textId="77777777" w:rsidR="00492CA7" w:rsidRDefault="00000000">
            <w:r>
              <w:t>Estate value transferred to heirs / maintained affordability for successors</w:t>
            </w:r>
          </w:p>
        </w:tc>
        <w:tc>
          <w:tcPr>
            <w:tcW w:w="0" w:type="auto"/>
            <w:tcBorders>
              <w:top w:val="single" w:sz="1" w:space="0" w:color="000000"/>
              <w:left w:val="single" w:sz="1" w:space="0" w:color="000000"/>
              <w:bottom w:val="single" w:sz="1" w:space="0" w:color="000000"/>
            </w:tcBorders>
          </w:tcPr>
          <w:p w14:paraId="4D1C252C" w14:textId="77777777" w:rsidR="00492CA7" w:rsidRDefault="00000000">
            <w:r>
              <w:t>10-year + post-conversion</w:t>
            </w:r>
          </w:p>
        </w:tc>
      </w:tr>
    </w:tbl>
    <w:p w14:paraId="4197A862" w14:textId="77777777" w:rsidR="00492CA7" w:rsidRDefault="00492CA7"/>
    <w:p w14:paraId="72239FE6" w14:textId="77777777" w:rsidR="00492CA7" w:rsidRDefault="00000000">
      <w:pPr>
        <w:spacing w:after="210"/>
      </w:pPr>
      <w:r>
        <w:t xml:space="preserve">(b) </w:t>
      </w:r>
      <w:r>
        <w:rPr>
          <w:b/>
        </w:rPr>
        <w:t>Data Collection &amp; Privacy.</w:t>
      </w:r>
    </w:p>
    <w:p w14:paraId="5BBA34C3" w14:textId="77777777" w:rsidR="00492CA7" w:rsidRDefault="00000000">
      <w:pPr>
        <w:numPr>
          <w:ilvl w:val="0"/>
          <w:numId w:val="49"/>
        </w:numPr>
      </w:pPr>
      <w:r>
        <w:t xml:space="preserve">(i) </w:t>
      </w:r>
      <w:r>
        <w:rPr>
          <w:b/>
        </w:rPr>
        <w:t>Baseline survey:</w:t>
      </w:r>
      <w:r>
        <w:t xml:space="preserve"> Conducted at time of conversion; captures household net worth, financial health, asset composition (required for all participants),</w:t>
      </w:r>
    </w:p>
    <w:p w14:paraId="11870093" w14:textId="77777777" w:rsidR="00492CA7" w:rsidRDefault="00000000">
      <w:pPr>
        <w:numPr>
          <w:ilvl w:val="0"/>
          <w:numId w:val="49"/>
        </w:numPr>
      </w:pPr>
      <w:r>
        <w:t xml:space="preserve">(ii) </w:t>
      </w:r>
      <w:r>
        <w:rPr>
          <w:b/>
        </w:rPr>
        <w:t>Follow-up surveys:</w:t>
      </w:r>
      <w:r>
        <w:rPr>
          <w:rFonts w:eastAsia="Georgia" w:hAnsi="Georgia" w:cs="Georgia"/>
        </w:rPr>
        <w:t xml:space="preserve"> Voluntary 5-, 10-, 20-year post-conversion surveys (incentivized with $100–$500 gift cards),</w:t>
      </w:r>
    </w:p>
    <w:p w14:paraId="032DB1D1" w14:textId="77777777" w:rsidR="00492CA7" w:rsidRDefault="00000000">
      <w:pPr>
        <w:numPr>
          <w:ilvl w:val="0"/>
          <w:numId w:val="49"/>
        </w:numPr>
      </w:pPr>
      <w:r>
        <w:t xml:space="preserve">(iii) </w:t>
      </w:r>
      <w:r>
        <w:rPr>
          <w:b/>
        </w:rPr>
        <w:t>Property records:</w:t>
      </w:r>
      <w:r>
        <w:t xml:space="preserve"> PETO monitors title records and publicly available appraisal data to track home values,</w:t>
      </w:r>
    </w:p>
    <w:p w14:paraId="0B0B4B10" w14:textId="77777777" w:rsidR="00492CA7" w:rsidRDefault="00000000">
      <w:pPr>
        <w:numPr>
          <w:ilvl w:val="0"/>
          <w:numId w:val="49"/>
        </w:numPr>
      </w:pPr>
      <w:r>
        <w:t xml:space="preserve">(iv) </w:t>
      </w:r>
      <w:r>
        <w:rPr>
          <w:b/>
        </w:rPr>
        <w:t>Credit reporting:</w:t>
      </w:r>
      <w:r>
        <w:t xml:space="preserve"> With consent, PETO monitors credit reports to assess financial health trajectory (debt reduction, credit score improvement),</w:t>
      </w:r>
    </w:p>
    <w:p w14:paraId="4B4B57C4" w14:textId="77777777" w:rsidR="00492CA7" w:rsidRDefault="00000000">
      <w:pPr>
        <w:numPr>
          <w:ilvl w:val="0"/>
          <w:numId w:val="49"/>
        </w:numPr>
      </w:pPr>
      <w:r>
        <w:t xml:space="preserve">(v) </w:t>
      </w:r>
      <w:r>
        <w:rPr>
          <w:b/>
        </w:rPr>
        <w:t>Privacy:</w:t>
      </w:r>
      <w:r>
        <w:t xml:space="preserve"> All personal data secured under HIPAA-equivalent protocols; publicly reported data aggregated by demographic without individual identification.</w:t>
      </w:r>
    </w:p>
    <w:p w14:paraId="2472D875" w14:textId="77777777" w:rsidR="00492CA7" w:rsidRDefault="00000000">
      <w:pPr>
        <w:spacing w:after="210"/>
      </w:pPr>
      <w:r>
        <w:t xml:space="preserve">(c) </w:t>
      </w:r>
      <w:r>
        <w:rPr>
          <w:b/>
        </w:rPr>
        <w:t>Intergenerational Wealth Report.</w:t>
      </w:r>
    </w:p>
    <w:p w14:paraId="64E6B806" w14:textId="77777777" w:rsidR="00492CA7" w:rsidRDefault="00000000">
      <w:pPr>
        <w:spacing w:after="210"/>
      </w:pPr>
      <w:r>
        <w:t>PETO shall publish annual "Intergenerational Wealth Report" (by Year 5 of implementation, then annually) reporting:</w:t>
      </w:r>
    </w:p>
    <w:p w14:paraId="022EAEE0" w14:textId="77777777" w:rsidR="00492CA7" w:rsidRDefault="00000000">
      <w:pPr>
        <w:numPr>
          <w:ilvl w:val="0"/>
          <w:numId w:val="50"/>
        </w:numPr>
      </w:pPr>
      <w:r>
        <w:t>(i) Cohort-based wealth accrual by demographic (race/ethnicity, income band, family composition),</w:t>
      </w:r>
    </w:p>
    <w:p w14:paraId="53F7820B" w14:textId="77777777" w:rsidR="00492CA7" w:rsidRDefault="00000000">
      <w:pPr>
        <w:numPr>
          <w:ilvl w:val="0"/>
          <w:numId w:val="50"/>
        </w:numPr>
      </w:pPr>
      <w:r>
        <w:t>(ii) Equity gap closure: comparison of wealth accrual for Black/Latino vs. White/Asian households participating in PET Framework,</w:t>
      </w:r>
    </w:p>
    <w:p w14:paraId="5944C274" w14:textId="77777777" w:rsidR="00492CA7" w:rsidRDefault="00000000">
      <w:pPr>
        <w:numPr>
          <w:ilvl w:val="0"/>
          <w:numId w:val="50"/>
        </w:numPr>
      </w:pPr>
      <w:r>
        <w:t>(iii) Comparison to control group: households receiving traditional rental subsidy (matched on income, borough, year), measuring wealth differential,</w:t>
      </w:r>
    </w:p>
    <w:p w14:paraId="3DE4C08C" w14:textId="77777777" w:rsidR="00492CA7" w:rsidRDefault="00000000">
      <w:pPr>
        <w:numPr>
          <w:ilvl w:val="0"/>
          <w:numId w:val="50"/>
        </w:numPr>
      </w:pPr>
      <w:r>
        <w:t>(iv) Intergenerational transfer outcomes: % of first-generation participants enabling child-generation access to homeownership via inherited equity,</w:t>
      </w:r>
    </w:p>
    <w:p w14:paraId="0BBB7DA0" w14:textId="77777777" w:rsidR="00492CA7" w:rsidRDefault="00000000">
      <w:pPr>
        <w:numPr>
          <w:ilvl w:val="0"/>
          <w:numId w:val="50"/>
        </w:numPr>
      </w:pPr>
      <w:r>
        <w:t>(v) Policy recommendations: evidence-based recommendations for optimizing wealth-building outcomes.</w:t>
      </w:r>
    </w:p>
    <w:p w14:paraId="32CF1088" w14:textId="77777777" w:rsidR="00492CA7" w:rsidRDefault="00BB14A2">
      <w:r>
        <w:rPr>
          <w:noProof/>
        </w:rPr>
        <w:pict w14:anchorId="6D926607">
          <v:rect id="_x0000_i1045" alt="" style="width:434.5pt;height:.05pt;mso-width-percent:0;mso-height-percent:0;mso-width-percent:0;mso-height-percent:0" o:hralign="center" o:hrstd="t" o:hr="t"/>
        </w:pict>
      </w:r>
    </w:p>
    <w:p w14:paraId="4CBA0E18" w14:textId="77777777" w:rsidR="00492CA7" w:rsidRDefault="00000000">
      <w:pPr>
        <w:spacing w:before="240" w:line="271" w:lineRule="auto"/>
      </w:pPr>
      <w:bookmarkStart w:id="16" w:name="section_11_legal_regulatory_framework"/>
      <w:r>
        <w:rPr>
          <w:b/>
          <w:sz w:val="33"/>
        </w:rPr>
        <w:t>SECTION 11: LEGAL &amp; REGULATORY FRAMEWORK</w:t>
      </w:r>
      <w:bookmarkEnd w:id="16"/>
    </w:p>
    <w:p w14:paraId="18BB7CA6" w14:textId="77777777" w:rsidR="00492CA7" w:rsidRDefault="00000000">
      <w:pPr>
        <w:spacing w:after="210"/>
      </w:pPr>
      <w:r>
        <w:t xml:space="preserve">11.1 </w:t>
      </w:r>
      <w:r>
        <w:rPr>
          <w:b/>
        </w:rPr>
        <w:t>Title Recording &amp; Covenant Enforcement.</w:t>
      </w:r>
    </w:p>
    <w:p w14:paraId="6BA99C2E" w14:textId="77777777" w:rsidR="00492CA7" w:rsidRDefault="00000000">
      <w:pPr>
        <w:spacing w:after="210"/>
      </w:pPr>
      <w:r>
        <w:t xml:space="preserve">(a) </w:t>
      </w:r>
      <w:r>
        <w:rPr>
          <w:b/>
        </w:rPr>
        <w:t>Recording Standards.</w:t>
      </w:r>
      <w:r>
        <w:rPr>
          <w:rFonts w:eastAsia="Georgia" w:hAnsi="Georgia" w:cs="Georgia"/>
        </w:rPr>
        <w:t xml:space="preserve"> All affordability covenants (Sections 5–6) shall be recorded in the applicable county (New York County for Manhattan, Kings County for Brooklyn, etc.) as second liens on property title, subordinate only to first mortgage but senior to all other encumbrances except tax liens.</w:t>
      </w:r>
    </w:p>
    <w:p w14:paraId="64D99389" w14:textId="77777777" w:rsidR="00492CA7" w:rsidRDefault="00000000">
      <w:pPr>
        <w:spacing w:after="210"/>
      </w:pPr>
      <w:r>
        <w:lastRenderedPageBreak/>
        <w:t xml:space="preserve">(b) </w:t>
      </w:r>
      <w:r>
        <w:rPr>
          <w:b/>
        </w:rPr>
        <w:t>Covenant Language.</w:t>
      </w:r>
      <w:r>
        <w:t xml:space="preserve"> HRA shall develop standardized covenant language approved by City Corporation Counsel, specifying:</w:t>
      </w:r>
    </w:p>
    <w:p w14:paraId="09FDCE28" w14:textId="77777777" w:rsidR="00492CA7" w:rsidRDefault="00000000">
      <w:pPr>
        <w:numPr>
          <w:ilvl w:val="0"/>
          <w:numId w:val="51"/>
        </w:numPr>
      </w:pPr>
      <w:r>
        <w:t>(i) Affordability restriction terms (30-year duration),</w:t>
      </w:r>
    </w:p>
    <w:p w14:paraId="68DA90C5" w14:textId="77777777" w:rsidR="00492CA7" w:rsidRDefault="00000000">
      <w:pPr>
        <w:numPr>
          <w:ilvl w:val="0"/>
          <w:numId w:val="51"/>
        </w:numPr>
      </w:pPr>
      <w:r>
        <w:t>(ii) Income-linked resale pricing formula,</w:t>
      </w:r>
    </w:p>
    <w:p w14:paraId="23F0D745" w14:textId="77777777" w:rsidR="00492CA7" w:rsidRDefault="00000000">
      <w:pPr>
        <w:numPr>
          <w:ilvl w:val="0"/>
          <w:numId w:val="51"/>
        </w:numPr>
      </w:pPr>
      <w:r>
        <w:t>(iii) Right-of-first-refusal mechanics,</w:t>
      </w:r>
    </w:p>
    <w:p w14:paraId="697F35A6" w14:textId="77777777" w:rsidR="00492CA7" w:rsidRDefault="00000000">
      <w:pPr>
        <w:numPr>
          <w:ilvl w:val="0"/>
          <w:numId w:val="51"/>
        </w:numPr>
      </w:pPr>
      <w:r>
        <w:t>(iv) Default/enforcement procedures,</w:t>
      </w:r>
    </w:p>
    <w:p w14:paraId="503A1B5D" w14:textId="77777777" w:rsidR="00492CA7" w:rsidRDefault="00000000">
      <w:pPr>
        <w:numPr>
          <w:ilvl w:val="0"/>
          <w:numId w:val="51"/>
        </w:numPr>
      </w:pPr>
      <w:r>
        <w:t>(v) Remedies (lien foreclosure, title restriction, damages).</w:t>
      </w:r>
    </w:p>
    <w:p w14:paraId="60389480" w14:textId="77777777" w:rsidR="00492CA7" w:rsidRDefault="00000000">
      <w:pPr>
        <w:spacing w:after="210"/>
      </w:pPr>
      <w:r>
        <w:t xml:space="preserve">(c) </w:t>
      </w:r>
      <w:r>
        <w:rPr>
          <w:b/>
        </w:rPr>
        <w:t>Successor in Title Liability.</w:t>
      </w:r>
      <w:r>
        <w:t xml:space="preserve"> Covenant shall run with the land and bind all successors in title, except that:</w:t>
      </w:r>
    </w:p>
    <w:p w14:paraId="75A5EAE8" w14:textId="77777777" w:rsidR="00492CA7" w:rsidRDefault="00000000">
      <w:pPr>
        <w:numPr>
          <w:ilvl w:val="0"/>
          <w:numId w:val="52"/>
        </w:numPr>
      </w:pPr>
      <w:r>
        <w:t>(i) Successors are liable only for prospective covenant compliance, not past owner's violations,</w:t>
      </w:r>
    </w:p>
    <w:p w14:paraId="7931C282" w14:textId="77777777" w:rsidR="00492CA7" w:rsidRDefault="00000000">
      <w:pPr>
        <w:numPr>
          <w:ilvl w:val="0"/>
          <w:numId w:val="52"/>
        </w:numPr>
      </w:pPr>
      <w:r>
        <w:t>(ii) Covenant restrictions are enforceable against owner by HRA, CLT, or City Housing Court.</w:t>
      </w:r>
    </w:p>
    <w:p w14:paraId="04FFFB94" w14:textId="77777777" w:rsidR="00492CA7" w:rsidRDefault="00BB14A2">
      <w:r>
        <w:rPr>
          <w:noProof/>
        </w:rPr>
        <w:pict w14:anchorId="02D18802">
          <v:rect id="_x0000_i1044" alt="" style="width:434.5pt;height:.05pt;mso-width-percent:0;mso-height-percent:0;mso-width-percent:0;mso-height-percent:0" o:hralign="center" o:hrstd="t" o:hr="t"/>
        </w:pict>
      </w:r>
    </w:p>
    <w:p w14:paraId="6B63041A" w14:textId="77777777" w:rsidR="00492CA7" w:rsidRDefault="00000000">
      <w:pPr>
        <w:spacing w:after="210"/>
      </w:pPr>
      <w:r>
        <w:t xml:space="preserve">11.2 </w:t>
      </w:r>
      <w:r>
        <w:rPr>
          <w:b/>
        </w:rPr>
        <w:t>Foreclosure Prevention &amp; Cooperation Agreements.</w:t>
      </w:r>
    </w:p>
    <w:p w14:paraId="50A14125" w14:textId="77777777" w:rsidR="00492CA7" w:rsidRDefault="00000000">
      <w:pPr>
        <w:spacing w:after="210"/>
      </w:pPr>
      <w:r>
        <w:t xml:space="preserve">(a) </w:t>
      </w:r>
      <w:r>
        <w:rPr>
          <w:b/>
        </w:rPr>
        <w:t>Credit Union Duty of Care.</w:t>
      </w:r>
      <w:r>
        <w:t xml:space="preserve"> All credit union partners shall agree to the following duty-of-care standards in mortgage servicing:</w:t>
      </w:r>
    </w:p>
    <w:p w14:paraId="554D1144" w14:textId="77777777" w:rsidR="00492CA7" w:rsidRDefault="00000000">
      <w:pPr>
        <w:numPr>
          <w:ilvl w:val="0"/>
          <w:numId w:val="53"/>
        </w:numPr>
      </w:pPr>
      <w:r>
        <w:t xml:space="preserve">(i) </w:t>
      </w:r>
      <w:r>
        <w:rPr>
          <w:b/>
        </w:rPr>
        <w:t>Loss-mitigation priority:</w:t>
      </w:r>
      <w:r>
        <w:t xml:space="preserve"> Pursue loss mitigation before foreclosure for all 30+-day delinquencies (per Section 7.3),</w:t>
      </w:r>
    </w:p>
    <w:p w14:paraId="089C3BF7" w14:textId="77777777" w:rsidR="00492CA7" w:rsidRDefault="00000000">
      <w:pPr>
        <w:numPr>
          <w:ilvl w:val="0"/>
          <w:numId w:val="53"/>
        </w:numPr>
      </w:pPr>
      <w:r>
        <w:t xml:space="preserve">(ii) </w:t>
      </w:r>
      <w:r>
        <w:rPr>
          <w:b/>
        </w:rPr>
        <w:t>Communication:</w:t>
      </w:r>
      <w:r>
        <w:rPr>
          <w:rFonts w:eastAsia="Georgia" w:hAnsi="Georgia" w:cs="Georgia"/>
        </w:rPr>
        <w:t xml:space="preserve"> Maintain quarterly contact with borrower during delinquency; provide written foreclosure warning ≥120 days prior to filing,</w:t>
      </w:r>
    </w:p>
    <w:p w14:paraId="6CB53989" w14:textId="77777777" w:rsidR="00492CA7" w:rsidRDefault="00000000">
      <w:pPr>
        <w:numPr>
          <w:ilvl w:val="0"/>
          <w:numId w:val="53"/>
        </w:numPr>
      </w:pPr>
      <w:r>
        <w:t xml:space="preserve">(iii) </w:t>
      </w:r>
      <w:r>
        <w:rPr>
          <w:b/>
        </w:rPr>
        <w:t>Modification offer:</w:t>
      </w:r>
      <w:r>
        <w:t xml:space="preserve"> Offer loan modification or forbearance to all borrowers meeting eligibility (per Section 7.3(b)) before foreclosure filing,</w:t>
      </w:r>
    </w:p>
    <w:p w14:paraId="7F6D2F8E" w14:textId="77777777" w:rsidR="00492CA7" w:rsidRDefault="00000000">
      <w:pPr>
        <w:numPr>
          <w:ilvl w:val="0"/>
          <w:numId w:val="53"/>
        </w:numPr>
      </w:pPr>
      <w:r>
        <w:t xml:space="preserve">(iv) </w:t>
      </w:r>
      <w:r>
        <w:rPr>
          <w:b/>
        </w:rPr>
        <w:t>CLT cooperation:</w:t>
      </w:r>
      <w:r>
        <w:rPr>
          <w:rFonts w:eastAsia="Georgia" w:hAnsi="Georgia" w:cs="Georgia"/>
        </w:rPr>
        <w:t xml:space="preserve"> For CLT-secured loans, credit union shall notify CLT of any delinquency ≥60 days; allow CLT opportunity to cure or facilitate refinance.</w:t>
      </w:r>
    </w:p>
    <w:p w14:paraId="1AC66548" w14:textId="77777777" w:rsidR="00492CA7" w:rsidRDefault="00000000">
      <w:pPr>
        <w:spacing w:after="210"/>
      </w:pPr>
      <w:r>
        <w:t xml:space="preserve">(b) </w:t>
      </w:r>
      <w:r>
        <w:rPr>
          <w:b/>
        </w:rPr>
        <w:t>Deed-in-Lieu of Foreclosure Option.</w:t>
      </w:r>
      <w:r>
        <w:t xml:space="preserve"> If borrower faces unavoidable default (job loss, medical emergency, etc.), borrower may propose deed-in-lieu arrangement whereby:</w:t>
      </w:r>
    </w:p>
    <w:p w14:paraId="48283706" w14:textId="77777777" w:rsidR="00492CA7" w:rsidRDefault="00000000">
      <w:pPr>
        <w:numPr>
          <w:ilvl w:val="0"/>
          <w:numId w:val="54"/>
        </w:numPr>
      </w:pPr>
      <w:r>
        <w:t>(i) Borrower transfers property title to CLT or City,</w:t>
      </w:r>
    </w:p>
    <w:p w14:paraId="49D3C00A" w14:textId="77777777" w:rsidR="00492CA7" w:rsidRDefault="00000000">
      <w:pPr>
        <w:numPr>
          <w:ilvl w:val="0"/>
          <w:numId w:val="54"/>
        </w:numPr>
      </w:pPr>
      <w:r>
        <w:t>(ii) CLT/City repurchases property at formula price (avoiding foreclosure judgment),</w:t>
      </w:r>
    </w:p>
    <w:p w14:paraId="5B7B17D2" w14:textId="77777777" w:rsidR="00492CA7" w:rsidRDefault="00000000">
      <w:pPr>
        <w:numPr>
          <w:ilvl w:val="0"/>
          <w:numId w:val="54"/>
        </w:numPr>
      </w:pPr>
      <w:r>
        <w:t>(iii) Proceeds used to satisfy credit union loan (if sufficient) or reduce borrower's deficiency,</w:t>
      </w:r>
    </w:p>
    <w:p w14:paraId="1C4DCB7A" w14:textId="77777777" w:rsidR="00492CA7" w:rsidRDefault="00000000">
      <w:pPr>
        <w:numPr>
          <w:ilvl w:val="0"/>
          <w:numId w:val="54"/>
        </w:numPr>
      </w:pPr>
      <w:r>
        <w:t>(iv) Borrower released from personal liability; property resold to next qualified buyer.</w:t>
      </w:r>
    </w:p>
    <w:p w14:paraId="6F83C848" w14:textId="77777777" w:rsidR="00492CA7" w:rsidRDefault="00BB14A2">
      <w:r>
        <w:rPr>
          <w:noProof/>
        </w:rPr>
        <w:pict w14:anchorId="2F8204E9">
          <v:rect id="_x0000_i1043" alt="" style="width:434.5pt;height:.05pt;mso-width-percent:0;mso-height-percent:0;mso-width-percent:0;mso-height-percent:0" o:hralign="center" o:hrstd="t" o:hr="t"/>
        </w:pict>
      </w:r>
    </w:p>
    <w:p w14:paraId="2DA75E81" w14:textId="77777777" w:rsidR="00492CA7" w:rsidRDefault="00000000">
      <w:pPr>
        <w:spacing w:after="210"/>
      </w:pPr>
      <w:r>
        <w:t xml:space="preserve">11.3 </w:t>
      </w:r>
      <w:r>
        <w:rPr>
          <w:b/>
        </w:rPr>
        <w:t>Right to Counsel &amp; Tenant Protections.</w:t>
      </w:r>
    </w:p>
    <w:p w14:paraId="08E1475E" w14:textId="77777777" w:rsidR="00492CA7" w:rsidRDefault="00000000">
      <w:pPr>
        <w:spacing w:after="210"/>
      </w:pPr>
      <w:r>
        <w:t xml:space="preserve">(a) </w:t>
      </w:r>
      <w:r>
        <w:rPr>
          <w:b/>
        </w:rPr>
        <w:t>Foreclosure Defense.</w:t>
      </w:r>
      <w:r>
        <w:t xml:space="preserve"> Any conversion household facing foreclosure shall receive legal representation funded by HRA's Right to Counsel program (recently enacted in NYC).</w:t>
      </w:r>
    </w:p>
    <w:p w14:paraId="457BA615" w14:textId="77777777" w:rsidR="00492CA7" w:rsidRDefault="00000000">
      <w:pPr>
        <w:spacing w:after="210"/>
      </w:pPr>
      <w:r>
        <w:t xml:space="preserve">(b) </w:t>
      </w:r>
      <w:r>
        <w:rPr>
          <w:b/>
        </w:rPr>
        <w:t>Eviction Protections During Conversion.</w:t>
      </w:r>
      <w:r>
        <w:t xml:space="preserve"> Tenants in buildings undergoing CLT-conversion shall receive:</w:t>
      </w:r>
    </w:p>
    <w:p w14:paraId="339F51AA" w14:textId="77777777" w:rsidR="00492CA7" w:rsidRDefault="00000000">
      <w:pPr>
        <w:numPr>
          <w:ilvl w:val="0"/>
          <w:numId w:val="55"/>
        </w:numPr>
      </w:pPr>
      <w:r>
        <w:rPr>
          <w:rFonts w:eastAsia="Georgia" w:hAnsi="Georgia" w:cs="Georgia"/>
        </w:rPr>
        <w:lastRenderedPageBreak/>
        <w:t>(i) Written notice ≥90 days prior to conversion,</w:t>
      </w:r>
    </w:p>
    <w:p w14:paraId="020CBF07" w14:textId="77777777" w:rsidR="00492CA7" w:rsidRDefault="00000000">
      <w:pPr>
        <w:numPr>
          <w:ilvl w:val="0"/>
          <w:numId w:val="55"/>
        </w:numPr>
      </w:pPr>
      <w:r>
        <w:t>(ii) Right to participate in conversion planning and governance (tenant representation on CLT board),</w:t>
      </w:r>
    </w:p>
    <w:p w14:paraId="3E0921F8" w14:textId="77777777" w:rsidR="00492CA7" w:rsidRDefault="00000000">
      <w:pPr>
        <w:numPr>
          <w:ilvl w:val="0"/>
          <w:numId w:val="55"/>
        </w:numPr>
      </w:pPr>
      <w:r>
        <w:t>(iii) Right to remain in place during conversion at current rent; no displacement as condition of conversion,</w:t>
      </w:r>
    </w:p>
    <w:p w14:paraId="7F690A4C" w14:textId="77777777" w:rsidR="00492CA7" w:rsidRDefault="00000000">
      <w:pPr>
        <w:numPr>
          <w:ilvl w:val="0"/>
          <w:numId w:val="55"/>
        </w:numPr>
      </w:pPr>
      <w:r>
        <w:t>(iv) Right to convert on same terms as neighbors; no waitlist discrimination,</w:t>
      </w:r>
    </w:p>
    <w:p w14:paraId="7BBD0954" w14:textId="77777777" w:rsidR="00492CA7" w:rsidRDefault="00000000">
      <w:pPr>
        <w:numPr>
          <w:ilvl w:val="0"/>
          <w:numId w:val="55"/>
        </w:numPr>
      </w:pPr>
      <w:r>
        <w:t>(v) Right to decline conversion and continue as renter at affordability-restricted rate (maintained by CLT).</w:t>
      </w:r>
    </w:p>
    <w:p w14:paraId="1E1BE829" w14:textId="77777777" w:rsidR="00492CA7" w:rsidRDefault="00BB14A2">
      <w:r>
        <w:rPr>
          <w:noProof/>
        </w:rPr>
        <w:pict w14:anchorId="0E2804F3">
          <v:rect id="_x0000_i1042" alt="" style="width:434.5pt;height:.05pt;mso-width-percent:0;mso-height-percent:0;mso-width-percent:0;mso-height-percent:0" o:hralign="center" o:hrstd="t" o:hr="t"/>
        </w:pict>
      </w:r>
    </w:p>
    <w:p w14:paraId="2FA61E20" w14:textId="77777777" w:rsidR="00492CA7" w:rsidRDefault="00000000">
      <w:pPr>
        <w:spacing w:before="240" w:line="271" w:lineRule="auto"/>
      </w:pPr>
      <w:bookmarkStart w:id="17" w:name="section_12_alternative_solutions_b56846"/>
      <w:r>
        <w:rPr>
          <w:b/>
          <w:sz w:val="33"/>
        </w:rPr>
        <w:t>SECTION 12: ALTERNATIVE SOLUTIONS &amp; IMPLEMENTATION SCENARIOS</w:t>
      </w:r>
      <w:bookmarkEnd w:id="17"/>
    </w:p>
    <w:p w14:paraId="12DE7211" w14:textId="77777777" w:rsidR="00492CA7" w:rsidRDefault="00000000">
      <w:pPr>
        <w:spacing w:after="210"/>
      </w:pPr>
      <w:r>
        <w:t xml:space="preserve">12.1 </w:t>
      </w:r>
      <w:r>
        <w:rPr>
          <w:b/>
        </w:rPr>
        <w:t>Multi-Track Implementation: HPD-Led, HRA-Led, NYCHA-Led Models.</w:t>
      </w:r>
    </w:p>
    <w:p w14:paraId="7ACAB1BE" w14:textId="77777777" w:rsidR="00492CA7" w:rsidRDefault="00000000">
      <w:pPr>
        <w:spacing w:after="210"/>
      </w:pPr>
      <w:r>
        <w:t>Recognizing operational differences across agencies, this Act permits three parallel implementation models:</w:t>
      </w:r>
    </w:p>
    <w:p w14:paraId="4D11AF5F" w14:textId="77777777" w:rsidR="00492CA7" w:rsidRDefault="00000000">
      <w:pPr>
        <w:spacing w:after="210"/>
      </w:pPr>
      <w:r>
        <w:rPr>
          <w:b/>
        </w:rPr>
        <w:t>Model A: HPD-Led Acquisition + CLT Mediation (for stabilizing neighborhoods).</w:t>
      </w:r>
    </w:p>
    <w:p w14:paraId="3A81B830" w14:textId="77777777" w:rsidR="00492CA7" w:rsidRDefault="00000000">
      <w:pPr>
        <w:numPr>
          <w:ilvl w:val="0"/>
          <w:numId w:val="56"/>
        </w:numPr>
      </w:pPr>
      <w:r>
        <w:t>HPD acquires multifamily buildings in targeted neighborhoods,</w:t>
      </w:r>
    </w:p>
    <w:p w14:paraId="1D83D9C3" w14:textId="77777777" w:rsidR="00492CA7" w:rsidRDefault="00000000">
      <w:pPr>
        <w:numPr>
          <w:ilvl w:val="0"/>
          <w:numId w:val="56"/>
        </w:numPr>
      </w:pPr>
      <w:r>
        <w:t>Transfers to CLT for resident conversion (Pathway 1),</w:t>
      </w:r>
    </w:p>
    <w:p w14:paraId="6645DCE3" w14:textId="77777777" w:rsidR="00492CA7" w:rsidRDefault="00000000">
      <w:pPr>
        <w:numPr>
          <w:ilvl w:val="0"/>
          <w:numId w:val="56"/>
        </w:numPr>
      </w:pPr>
      <w:r>
        <w:t>HPD retains financing role; CLT handles ground lease and community engagement,</w:t>
      </w:r>
    </w:p>
    <w:p w14:paraId="2137E282" w14:textId="77777777" w:rsidR="00492CA7" w:rsidRDefault="00000000">
      <w:pPr>
        <w:numPr>
          <w:ilvl w:val="0"/>
          <w:numId w:val="56"/>
        </w:numPr>
      </w:pPr>
      <w:r>
        <w:rPr>
          <w:rFonts w:eastAsia="Georgia" w:hAnsi="Georgia" w:cs="Georgia"/>
        </w:rPr>
        <w:t>Timeline: 18–24 months from acquisition to conversion,</w:t>
      </w:r>
    </w:p>
    <w:p w14:paraId="77F95A3C" w14:textId="77777777" w:rsidR="00492CA7" w:rsidRDefault="00000000">
      <w:pPr>
        <w:numPr>
          <w:ilvl w:val="0"/>
          <w:numId w:val="56"/>
        </w:numPr>
      </w:pPr>
      <w:r>
        <w:rPr>
          <w:rFonts w:eastAsia="Georgia" w:hAnsi="Georgia" w:cs="Georgia"/>
        </w:rPr>
        <w:t>Target: 40% of Phase I–II conversions.</w:t>
      </w:r>
    </w:p>
    <w:p w14:paraId="340794CD" w14:textId="77777777" w:rsidR="00492CA7" w:rsidRDefault="00000000">
      <w:pPr>
        <w:spacing w:after="210"/>
      </w:pPr>
      <w:r>
        <w:rPr>
          <w:b/>
        </w:rPr>
        <w:t>Model B: HRA Subsidy-Conversion (for rent-burdened households).</w:t>
      </w:r>
    </w:p>
    <w:p w14:paraId="21E4509F" w14:textId="77777777" w:rsidR="00492CA7" w:rsidRDefault="00000000">
      <w:pPr>
        <w:numPr>
          <w:ilvl w:val="0"/>
          <w:numId w:val="57"/>
        </w:numPr>
      </w:pPr>
      <w:r>
        <w:t>HRA identifies CityFHEPS/ERA recipients with conversion interest,</w:t>
      </w:r>
    </w:p>
    <w:p w14:paraId="4EF59690" w14:textId="77777777" w:rsidR="00492CA7" w:rsidRDefault="00000000">
      <w:pPr>
        <w:numPr>
          <w:ilvl w:val="0"/>
          <w:numId w:val="57"/>
        </w:numPr>
      </w:pPr>
      <w:r>
        <w:t>Converts subsidy to down payment capital via formula in Section 4.2(b),</w:t>
      </w:r>
    </w:p>
    <w:p w14:paraId="3E9DF1FF" w14:textId="77777777" w:rsidR="00492CA7" w:rsidRDefault="00000000">
      <w:pPr>
        <w:numPr>
          <w:ilvl w:val="0"/>
          <w:numId w:val="57"/>
        </w:numPr>
      </w:pPr>
      <w:r>
        <w:t>Households select credit union + CLT or covenant-secured property,</w:t>
      </w:r>
    </w:p>
    <w:p w14:paraId="4C599BC1" w14:textId="77777777" w:rsidR="00492CA7" w:rsidRDefault="00000000">
      <w:pPr>
        <w:numPr>
          <w:ilvl w:val="0"/>
          <w:numId w:val="57"/>
        </w:numPr>
      </w:pPr>
      <w:r>
        <w:t>HRA records covenant and monitors compliance,</w:t>
      </w:r>
    </w:p>
    <w:p w14:paraId="24B905F8" w14:textId="77777777" w:rsidR="00492CA7" w:rsidRDefault="00000000">
      <w:pPr>
        <w:numPr>
          <w:ilvl w:val="0"/>
          <w:numId w:val="57"/>
        </w:numPr>
      </w:pPr>
      <w:r>
        <w:rPr>
          <w:rFonts w:eastAsia="Georgia" w:hAnsi="Georgia" w:cs="Georgia"/>
        </w:rPr>
        <w:t>Timeline: 12–18 months from identification to closing,</w:t>
      </w:r>
    </w:p>
    <w:p w14:paraId="6926C02D" w14:textId="77777777" w:rsidR="00492CA7" w:rsidRDefault="00000000">
      <w:pPr>
        <w:numPr>
          <w:ilvl w:val="0"/>
          <w:numId w:val="57"/>
        </w:numPr>
      </w:pPr>
      <w:r>
        <w:rPr>
          <w:rFonts w:eastAsia="Georgia" w:hAnsi="Georgia" w:cs="Georgia"/>
        </w:rPr>
        <w:t>Target: 40% of Phase I–II conversions.</w:t>
      </w:r>
    </w:p>
    <w:p w14:paraId="0EA76A53" w14:textId="13D7FA89" w:rsidR="00492CA7" w:rsidRDefault="00000000">
      <w:pPr>
        <w:spacing w:after="210"/>
      </w:pPr>
      <w:r>
        <w:rPr>
          <w:b/>
        </w:rPr>
        <w:t>Model C: NYCHA Resident Cooperatization (for public housing communities).</w:t>
      </w:r>
    </w:p>
    <w:p w14:paraId="47A69BD0" w14:textId="77777777" w:rsidR="00492CA7" w:rsidRDefault="00000000">
      <w:pPr>
        <w:numPr>
          <w:ilvl w:val="0"/>
          <w:numId w:val="58"/>
        </w:numPr>
      </w:pPr>
      <w:r>
        <w:t>NYCHA identifies resident-governed buildings meeting criteria (Section 3.4(c)),</w:t>
      </w:r>
    </w:p>
    <w:p w14:paraId="5DB4541A" w14:textId="77777777" w:rsidR="00492CA7" w:rsidRDefault="00000000">
      <w:pPr>
        <w:numPr>
          <w:ilvl w:val="0"/>
          <w:numId w:val="58"/>
        </w:numPr>
      </w:pPr>
      <w:r>
        <w:t>NYCHA establishes resident cooperative entity; trains resident board,</w:t>
      </w:r>
    </w:p>
    <w:p w14:paraId="6A0B459B" w14:textId="77777777" w:rsidR="00492CA7" w:rsidRDefault="00000000">
      <w:pPr>
        <w:numPr>
          <w:ilvl w:val="0"/>
          <w:numId w:val="58"/>
        </w:numPr>
      </w:pPr>
      <w:r>
        <w:t>Cooperative obtains credit union financing for building upgrades; becomes operational owner,</w:t>
      </w:r>
    </w:p>
    <w:p w14:paraId="4D7A352F" w14:textId="77777777" w:rsidR="00492CA7" w:rsidRDefault="00000000">
      <w:pPr>
        <w:numPr>
          <w:ilvl w:val="0"/>
          <w:numId w:val="58"/>
        </w:numPr>
      </w:pPr>
      <w:r>
        <w:t>NYCHA retains master ground lease (perpetual affordability guarantee),</w:t>
      </w:r>
    </w:p>
    <w:p w14:paraId="645718CD" w14:textId="77777777" w:rsidR="00492CA7" w:rsidRDefault="00000000">
      <w:pPr>
        <w:numPr>
          <w:ilvl w:val="0"/>
          <w:numId w:val="58"/>
        </w:numPr>
      </w:pPr>
      <w:r>
        <w:rPr>
          <w:rFonts w:eastAsia="Georgia" w:hAnsi="Georgia" w:cs="Georgia"/>
        </w:rPr>
        <w:t>Timeline: 24–30 months from resident engagement to cooperative incorporation,</w:t>
      </w:r>
    </w:p>
    <w:p w14:paraId="7C5F4A4F" w14:textId="77777777" w:rsidR="00492CA7" w:rsidRDefault="00000000">
      <w:pPr>
        <w:numPr>
          <w:ilvl w:val="0"/>
          <w:numId w:val="58"/>
        </w:numPr>
      </w:pPr>
      <w:r>
        <w:rPr>
          <w:rFonts w:eastAsia="Georgia" w:hAnsi="Georgia" w:cs="Georgia"/>
        </w:rPr>
        <w:lastRenderedPageBreak/>
        <w:t>Target: 15–20% of Phase I–II conversions.</w:t>
      </w:r>
    </w:p>
    <w:p w14:paraId="6EB2B0BB" w14:textId="77777777" w:rsidR="00492CA7" w:rsidRDefault="00000000">
      <w:pPr>
        <w:spacing w:after="210"/>
      </w:pPr>
      <w:r>
        <w:rPr>
          <w:b/>
        </w:rPr>
        <w:t>Rationale:</w:t>
      </w:r>
      <w:r>
        <w:t xml:space="preserve"> Multi-track approach leverages agency strengths, accelerates implementation, and provides households choice of ownership pathways.</w:t>
      </w:r>
    </w:p>
    <w:p w14:paraId="5832F5AF" w14:textId="77777777" w:rsidR="00492CA7" w:rsidRDefault="00BB14A2">
      <w:r>
        <w:rPr>
          <w:noProof/>
        </w:rPr>
        <w:pict w14:anchorId="256E85A8">
          <v:rect id="_x0000_i1041" alt="" style="width:434.5pt;height:.05pt;mso-width-percent:0;mso-height-percent:0;mso-width-percent:0;mso-height-percent:0" o:hralign="center" o:hrstd="t" o:hr="t"/>
        </w:pict>
      </w:r>
    </w:p>
    <w:p w14:paraId="36082F3D" w14:textId="77777777" w:rsidR="00492CA7" w:rsidRDefault="00000000">
      <w:pPr>
        <w:spacing w:after="210"/>
      </w:pPr>
      <w:r>
        <w:t xml:space="preserve">12.2 </w:t>
      </w:r>
      <w:r>
        <w:rPr>
          <w:b/>
        </w:rPr>
        <w:t>Alternative Funding Scenarios (if traditional reallocation insufficient).</w:t>
      </w:r>
    </w:p>
    <w:p w14:paraId="730909E1" w14:textId="77777777" w:rsidR="00492CA7" w:rsidRDefault="00000000">
      <w:pPr>
        <w:spacing w:after="210"/>
      </w:pPr>
      <w:r>
        <w:t>If subsidy reallocation per Section 4.1 proves inadequate, the following alternative funding mechanisms may be deployed:</w:t>
      </w:r>
    </w:p>
    <w:p w14:paraId="3CCCEAF5" w14:textId="77777777" w:rsidR="00492CA7" w:rsidRDefault="00000000">
      <w:pPr>
        <w:spacing w:after="210"/>
      </w:pPr>
      <w:r>
        <w:rPr>
          <w:b/>
        </w:rPr>
        <w:t>Alternative Scenario 1: Real Estate Tax Credit for CLTs (State-enabled).</w:t>
      </w:r>
    </w:p>
    <w:p w14:paraId="1C5E9A57" w14:textId="77777777" w:rsidR="00492CA7" w:rsidRDefault="00000000">
      <w:pPr>
        <w:numPr>
          <w:ilvl w:val="0"/>
          <w:numId w:val="59"/>
        </w:numPr>
      </w:pPr>
      <w:r>
        <w:t>Seek NY State Legislature authorization for property tax exemption or credit for CLT-owned land,</w:t>
      </w:r>
    </w:p>
    <w:p w14:paraId="7453AD35" w14:textId="77777777" w:rsidR="00492CA7" w:rsidRDefault="00000000">
      <w:pPr>
        <w:numPr>
          <w:ilvl w:val="0"/>
          <w:numId w:val="59"/>
        </w:numPr>
      </w:pPr>
      <w:r>
        <w:rPr>
          <w:rFonts w:eastAsia="Georgia" w:hAnsi="Georgia" w:cs="Georgia"/>
        </w:rPr>
        <w:t>Estimated City revenue impact: $40M–$80M annually in foregone LMDC/CLT properties,</w:t>
      </w:r>
    </w:p>
    <w:p w14:paraId="4928AD89" w14:textId="77777777" w:rsidR="00492CA7" w:rsidRDefault="00000000">
      <w:pPr>
        <w:numPr>
          <w:ilvl w:val="0"/>
          <w:numId w:val="59"/>
        </w:numPr>
      </w:pPr>
      <w:r>
        <w:t>Offset by: reduced HPD subsidy expenditure (owner households no longer need rental assistance).</w:t>
      </w:r>
    </w:p>
    <w:p w14:paraId="38962E2C" w14:textId="77777777" w:rsidR="00492CA7" w:rsidRDefault="00000000">
      <w:pPr>
        <w:spacing w:after="210"/>
      </w:pPr>
      <w:r>
        <w:rPr>
          <w:b/>
        </w:rPr>
        <w:t>Alternative Scenario 2: Federal Funding Leverage.</w:t>
      </w:r>
    </w:p>
    <w:p w14:paraId="747619CF" w14:textId="77777777" w:rsidR="00492CA7" w:rsidRDefault="00000000">
      <w:pPr>
        <w:numPr>
          <w:ilvl w:val="0"/>
          <w:numId w:val="60"/>
        </w:numPr>
      </w:pPr>
      <w:r>
        <w:t>Use DOWN payment initiative + Community Development Block Grants (CDBG) + HOME funds to match City subsidy reallocation,</w:t>
      </w:r>
    </w:p>
    <w:p w14:paraId="71C91381" w14:textId="77777777" w:rsidR="00492CA7" w:rsidRDefault="00000000">
      <w:pPr>
        <w:numPr>
          <w:ilvl w:val="0"/>
          <w:numId w:val="60"/>
        </w:numPr>
      </w:pPr>
      <w:r>
        <w:rPr>
          <w:rFonts w:eastAsia="Georgia" w:hAnsi="Georgia" w:cs="Georgia"/>
        </w:rPr>
        <w:t>Federal leverage potential: $200M–$400M over 10 years,</w:t>
      </w:r>
    </w:p>
    <w:p w14:paraId="49FE3F10" w14:textId="77777777" w:rsidR="00492CA7" w:rsidRDefault="00000000">
      <w:pPr>
        <w:numPr>
          <w:ilvl w:val="0"/>
          <w:numId w:val="60"/>
        </w:numPr>
      </w:pPr>
      <w:r>
        <w:t>Requires: HUD consultation and federal legislation (not barrier; analogous programs exist).</w:t>
      </w:r>
    </w:p>
    <w:p w14:paraId="39C624C0" w14:textId="77777777" w:rsidR="00492CA7" w:rsidRDefault="00000000">
      <w:pPr>
        <w:spacing w:after="210"/>
      </w:pPr>
      <w:r>
        <w:rPr>
          <w:b/>
        </w:rPr>
        <w:t>Alternative Scenario 3: Community Development Financial Institution (CDFI) Capital Markets.</w:t>
      </w:r>
    </w:p>
    <w:p w14:paraId="017CAEB9" w14:textId="77777777" w:rsidR="00492CA7" w:rsidRDefault="00000000">
      <w:pPr>
        <w:numPr>
          <w:ilvl w:val="0"/>
          <w:numId w:val="61"/>
        </w:numPr>
      </w:pPr>
      <w:r>
        <w:t>Securitize CLT loans / covenant-secured mortgages into affordable housing bond offerings,</w:t>
      </w:r>
    </w:p>
    <w:p w14:paraId="2747A1EF" w14:textId="77777777" w:rsidR="00492CA7" w:rsidRDefault="00000000">
      <w:pPr>
        <w:numPr>
          <w:ilvl w:val="0"/>
          <w:numId w:val="61"/>
        </w:numPr>
      </w:pPr>
      <w:r>
        <w:t>Attract private impact capital (foundations, ESG investors) to fund conversions,</w:t>
      </w:r>
    </w:p>
    <w:p w14:paraId="021C268B" w14:textId="77777777" w:rsidR="00492CA7" w:rsidRDefault="00000000">
      <w:pPr>
        <w:numPr>
          <w:ilvl w:val="0"/>
          <w:numId w:val="61"/>
        </w:numPr>
      </w:pPr>
      <w:r>
        <w:rPr>
          <w:rFonts w:eastAsia="Georgia" w:hAnsi="Georgia" w:cs="Georgia"/>
        </w:rPr>
        <w:t>Estimated private capital available: $300M–$600M nationally; estimate NYC share $50M–$150M,</w:t>
      </w:r>
    </w:p>
    <w:p w14:paraId="0CFF63E0" w14:textId="77777777" w:rsidR="00492CA7" w:rsidRDefault="00000000">
      <w:pPr>
        <w:numPr>
          <w:ilvl w:val="0"/>
          <w:numId w:val="61"/>
        </w:numPr>
      </w:pPr>
      <w:r>
        <w:t>Risk: market-dependent; requires credit enhancement (City guarantee).</w:t>
      </w:r>
    </w:p>
    <w:p w14:paraId="3CA73B24" w14:textId="77777777" w:rsidR="00492CA7" w:rsidRDefault="00000000">
      <w:pPr>
        <w:spacing w:after="210"/>
      </w:pPr>
      <w:r>
        <w:rPr>
          <w:b/>
        </w:rPr>
        <w:t>Alternative Scenario 4: Cross-Subsidy from Market-Rate Development.</w:t>
      </w:r>
    </w:p>
    <w:p w14:paraId="7694B416" w14:textId="77777777" w:rsidR="00492CA7" w:rsidRDefault="00000000">
      <w:pPr>
        <w:numPr>
          <w:ilvl w:val="0"/>
          <w:numId w:val="62"/>
        </w:numPr>
      </w:pPr>
      <w:r>
        <w:rPr>
          <w:rFonts w:eastAsia="Georgia" w:hAnsi="Georgia" w:cs="Georgia"/>
        </w:rPr>
        <w:t>Require market-rate developers receiving City tax benefits (421-a, industrial abatement, zoning relief) to contribute 1–2% of project value to PET Framework fund,</w:t>
      </w:r>
    </w:p>
    <w:p w14:paraId="41CDAB66" w14:textId="77777777" w:rsidR="00492CA7" w:rsidRDefault="00000000">
      <w:pPr>
        <w:numPr>
          <w:ilvl w:val="0"/>
          <w:numId w:val="62"/>
        </w:numPr>
      </w:pPr>
      <w:r>
        <w:rPr>
          <w:rFonts w:eastAsia="Georgia" w:hAnsi="Georgia" w:cs="Georgia"/>
        </w:rPr>
        <w:t>Estimated annual contribution: $30M–$80M (depending on development pipeline),</w:t>
      </w:r>
    </w:p>
    <w:p w14:paraId="0A354831" w14:textId="77777777" w:rsidR="00492CA7" w:rsidRDefault="00000000">
      <w:pPr>
        <w:numPr>
          <w:ilvl w:val="0"/>
          <w:numId w:val="62"/>
        </w:numPr>
      </w:pPr>
      <w:r>
        <w:t>Precedent: existing inclusionary housing requirements; politically feasible.</w:t>
      </w:r>
    </w:p>
    <w:p w14:paraId="391F3500" w14:textId="77777777" w:rsidR="00492CA7" w:rsidRDefault="00BB14A2">
      <w:r>
        <w:rPr>
          <w:noProof/>
        </w:rPr>
        <w:pict w14:anchorId="7299BF8F">
          <v:rect id="_x0000_i1040" alt="" style="width:434.5pt;height:.05pt;mso-width-percent:0;mso-height-percent:0;mso-width-percent:0;mso-height-percent:0" o:hralign="center" o:hrstd="t" o:hr="t"/>
        </w:pict>
      </w:r>
    </w:p>
    <w:p w14:paraId="7D41197D" w14:textId="77777777" w:rsidR="00492CA7" w:rsidRDefault="00000000">
      <w:pPr>
        <w:spacing w:before="240" w:line="271" w:lineRule="auto"/>
      </w:pPr>
      <w:bookmarkStart w:id="18" w:name="section_13_oversight_evaluation_s_eb647e"/>
      <w:r>
        <w:rPr>
          <w:b/>
          <w:sz w:val="33"/>
        </w:rPr>
        <w:t>SECTION 13: OVERSIGHT, EVALUATION &amp; SUNSET CLAUSE</w:t>
      </w:r>
      <w:bookmarkEnd w:id="18"/>
    </w:p>
    <w:p w14:paraId="457BBE1B" w14:textId="77777777" w:rsidR="00492CA7" w:rsidRDefault="00000000">
      <w:pPr>
        <w:spacing w:after="210"/>
      </w:pPr>
      <w:r>
        <w:lastRenderedPageBreak/>
        <w:t xml:space="preserve">13.1 </w:t>
      </w:r>
      <w:r>
        <w:rPr>
          <w:b/>
        </w:rPr>
        <w:t>Independent Evaluation &amp; Annual Reporting.</w:t>
      </w:r>
    </w:p>
    <w:p w14:paraId="3738E8A7" w14:textId="77777777" w:rsidR="00492CA7" w:rsidRDefault="00000000">
      <w:pPr>
        <w:spacing w:after="210"/>
      </w:pPr>
      <w:r>
        <w:t xml:space="preserve">(a) </w:t>
      </w:r>
      <w:r>
        <w:rPr>
          <w:b/>
        </w:rPr>
        <w:t>Evaluation Consultant.</w:t>
      </w:r>
      <w:r>
        <w:t xml:space="preserve"> Within 6 months of PETO establishment, Mayor shall contract with an independent research institution (e.g., NYU Furman Center, Columbia University, Cornell ILR School) to conduct ongoing evaluation of PET Framework implementation.</w:t>
      </w:r>
    </w:p>
    <w:p w14:paraId="1D421627" w14:textId="77777777" w:rsidR="00492CA7" w:rsidRDefault="00000000">
      <w:pPr>
        <w:spacing w:after="210"/>
      </w:pPr>
      <w:r>
        <w:t xml:space="preserve">(b) </w:t>
      </w:r>
      <w:r>
        <w:rPr>
          <w:b/>
        </w:rPr>
        <w:t>Evaluation Domains.</w:t>
      </w:r>
    </w:p>
    <w:p w14:paraId="0B589496" w14:textId="77777777" w:rsidR="00492CA7" w:rsidRDefault="00000000">
      <w:pPr>
        <w:spacing w:after="210"/>
      </w:pPr>
      <w:r>
        <w:t>Evaluation shall assess:</w:t>
      </w:r>
    </w:p>
    <w:p w14:paraId="6048FDBB" w14:textId="77777777" w:rsidR="00492CA7" w:rsidRDefault="00000000">
      <w:pPr>
        <w:numPr>
          <w:ilvl w:val="0"/>
          <w:numId w:val="63"/>
        </w:numPr>
      </w:pPr>
      <w:r>
        <w:t xml:space="preserve">(i) </w:t>
      </w:r>
      <w:r>
        <w:rPr>
          <w:b/>
        </w:rPr>
        <w:t>Implementation fidelity:</w:t>
      </w:r>
      <w:r>
        <w:t xml:space="preserve"> Did agencies execute per statutory requirements? What barriers emerged?</w:t>
      </w:r>
    </w:p>
    <w:p w14:paraId="6B3AD476" w14:textId="77777777" w:rsidR="00492CA7" w:rsidRDefault="00000000">
      <w:pPr>
        <w:numPr>
          <w:ilvl w:val="0"/>
          <w:numId w:val="63"/>
        </w:numPr>
      </w:pPr>
      <w:r>
        <w:t xml:space="preserve">(ii) </w:t>
      </w:r>
      <w:r>
        <w:rPr>
          <w:b/>
        </w:rPr>
        <w:t>Financial performance:</w:t>
      </w:r>
      <w:r>
        <w:t xml:space="preserve"> Did subsidy reallocation occur as projected? What were actual vs. budgeted costs?</w:t>
      </w:r>
    </w:p>
    <w:p w14:paraId="4AF5916D" w14:textId="77777777" w:rsidR="00492CA7" w:rsidRDefault="00000000">
      <w:pPr>
        <w:numPr>
          <w:ilvl w:val="0"/>
          <w:numId w:val="63"/>
        </w:numPr>
      </w:pPr>
      <w:r>
        <w:t xml:space="preserve">(iii) </w:t>
      </w:r>
      <w:r>
        <w:rPr>
          <w:b/>
        </w:rPr>
        <w:t>Equity outcomes:</w:t>
      </w:r>
      <w:r>
        <w:t xml:space="preserve"> Did conversions reach intended demographics? Were equity targets achieved (Section 10)?</w:t>
      </w:r>
    </w:p>
    <w:p w14:paraId="49D8E547" w14:textId="77777777" w:rsidR="00492CA7" w:rsidRDefault="00000000">
      <w:pPr>
        <w:numPr>
          <w:ilvl w:val="0"/>
          <w:numId w:val="63"/>
        </w:numPr>
      </w:pPr>
      <w:r>
        <w:t xml:space="preserve">(iv) </w:t>
      </w:r>
      <w:r>
        <w:rPr>
          <w:b/>
        </w:rPr>
        <w:t>Affordability durability:</w:t>
      </w:r>
      <w:r>
        <w:t xml:space="preserve"> Did CLT restrictions hold? What % of covenants remained in force?</w:t>
      </w:r>
    </w:p>
    <w:p w14:paraId="20E0B71A" w14:textId="77777777" w:rsidR="00492CA7" w:rsidRDefault="00000000">
      <w:pPr>
        <w:numPr>
          <w:ilvl w:val="0"/>
          <w:numId w:val="63"/>
        </w:numPr>
      </w:pPr>
      <w:r>
        <w:t xml:space="preserve">(v) </w:t>
      </w:r>
      <w:r>
        <w:rPr>
          <w:b/>
        </w:rPr>
        <w:t>Homeowner financial health:</w:t>
      </w:r>
      <w:r>
        <w:t xml:space="preserve"> Did households achieve debt reduction, credit improvement, wealth accrual?</w:t>
      </w:r>
    </w:p>
    <w:p w14:paraId="67DD1FE8" w14:textId="77777777" w:rsidR="00492CA7" w:rsidRDefault="00000000">
      <w:pPr>
        <w:numPr>
          <w:ilvl w:val="0"/>
          <w:numId w:val="63"/>
        </w:numPr>
      </w:pPr>
      <w:r>
        <w:t xml:space="preserve">(vi) </w:t>
      </w:r>
      <w:r>
        <w:rPr>
          <w:b/>
        </w:rPr>
        <w:t>Intergenerational wealth:</w:t>
      </w:r>
      <w:r>
        <w:t xml:space="preserve"> What was median home equity accrual post-conversion? What % enabled inheritance?</w:t>
      </w:r>
    </w:p>
    <w:p w14:paraId="291E01B7" w14:textId="77777777" w:rsidR="00492CA7" w:rsidRDefault="00000000">
      <w:pPr>
        <w:numPr>
          <w:ilvl w:val="0"/>
          <w:numId w:val="63"/>
        </w:numPr>
      </w:pPr>
      <w:r>
        <w:t xml:space="preserve">(vii) </w:t>
      </w:r>
      <w:r>
        <w:rPr>
          <w:b/>
        </w:rPr>
        <w:t>Credit union default performance:</w:t>
      </w:r>
      <w:r>
        <w:t xml:space="preserve"> Did defaults remain below 2.5% benchmark? What were loss-mitigation success rates?</w:t>
      </w:r>
    </w:p>
    <w:p w14:paraId="7F349BAC" w14:textId="77777777" w:rsidR="00492CA7" w:rsidRDefault="00000000">
      <w:pPr>
        <w:numPr>
          <w:ilvl w:val="0"/>
          <w:numId w:val="63"/>
        </w:numPr>
      </w:pPr>
      <w:r>
        <w:t xml:space="preserve">(viii) </w:t>
      </w:r>
      <w:r>
        <w:rPr>
          <w:b/>
        </w:rPr>
        <w:t>CLT financial health:</w:t>
      </w:r>
      <w:r>
        <w:t xml:space="preserve"> Did CLTs become financially sustainable? What revenue streams matured (ground rent, reacquisitions)?</w:t>
      </w:r>
    </w:p>
    <w:p w14:paraId="20451FA8" w14:textId="77777777" w:rsidR="00492CA7" w:rsidRDefault="00000000">
      <w:pPr>
        <w:numPr>
          <w:ilvl w:val="0"/>
          <w:numId w:val="63"/>
        </w:numPr>
      </w:pPr>
      <w:r>
        <w:t xml:space="preserve">(ix) </w:t>
      </w:r>
      <w:r>
        <w:rPr>
          <w:b/>
        </w:rPr>
        <w:t>Comparative cost-effectiveness:</w:t>
      </w:r>
      <w:r>
        <w:t xml:space="preserve"> Cost per household served vs. traditional rental subsidy; ROI on public investment.</w:t>
      </w:r>
    </w:p>
    <w:p w14:paraId="16DC2169" w14:textId="77777777" w:rsidR="00492CA7" w:rsidRDefault="00000000">
      <w:pPr>
        <w:spacing w:after="210"/>
      </w:pPr>
      <w:r>
        <w:t xml:space="preserve">(c) </w:t>
      </w:r>
      <w:r>
        <w:rPr>
          <w:b/>
        </w:rPr>
        <w:t>Annual Report to City Council.</w:t>
      </w:r>
      <w:r>
        <w:t xml:space="preserve"> Evaluation consultant shall produce annual reports (due March 1 of each year) including:</w:t>
      </w:r>
    </w:p>
    <w:p w14:paraId="15FA8786" w14:textId="77777777" w:rsidR="00492CA7" w:rsidRDefault="00000000">
      <w:pPr>
        <w:numPr>
          <w:ilvl w:val="0"/>
          <w:numId w:val="64"/>
        </w:numPr>
      </w:pPr>
      <w:r>
        <w:t>(i) Conversion volume and demographic breakdown,</w:t>
      </w:r>
    </w:p>
    <w:p w14:paraId="472DD301" w14:textId="77777777" w:rsidR="00492CA7" w:rsidRDefault="00000000">
      <w:pPr>
        <w:numPr>
          <w:ilvl w:val="0"/>
          <w:numId w:val="64"/>
        </w:numPr>
      </w:pPr>
      <w:r>
        <w:t>(ii) Financial performance summary,</w:t>
      </w:r>
    </w:p>
    <w:p w14:paraId="4404B776" w14:textId="77777777" w:rsidR="00492CA7" w:rsidRDefault="00000000">
      <w:pPr>
        <w:numPr>
          <w:ilvl w:val="0"/>
          <w:numId w:val="64"/>
        </w:numPr>
      </w:pPr>
      <w:r>
        <w:t>(iii) Equity outcome assessment and gap analysis,</w:t>
      </w:r>
    </w:p>
    <w:p w14:paraId="03FF0B81" w14:textId="77777777" w:rsidR="00492CA7" w:rsidRDefault="00000000">
      <w:pPr>
        <w:numPr>
          <w:ilvl w:val="0"/>
          <w:numId w:val="64"/>
        </w:numPr>
      </w:pPr>
      <w:r>
        <w:t>(iv) Case studies of successful and challenged conversions,</w:t>
      </w:r>
    </w:p>
    <w:p w14:paraId="6A68FAF9" w14:textId="77777777" w:rsidR="00492CA7" w:rsidRDefault="00000000">
      <w:pPr>
        <w:numPr>
          <w:ilvl w:val="0"/>
          <w:numId w:val="64"/>
        </w:numPr>
      </w:pPr>
      <w:r>
        <w:t>(v) Policy recommendations for next-year refinements,</w:t>
      </w:r>
    </w:p>
    <w:p w14:paraId="58711B9D" w14:textId="77777777" w:rsidR="00492CA7" w:rsidRDefault="00000000">
      <w:pPr>
        <w:numPr>
          <w:ilvl w:val="0"/>
          <w:numId w:val="64"/>
        </w:numPr>
      </w:pPr>
      <w:r>
        <w:rPr>
          <w:rFonts w:eastAsia="Georgia" w:hAnsi="Georgia" w:cs="Georgia"/>
        </w:rPr>
        <w:t>(vi) Forecasting: projections for subsequent years based on Year 1–2 data.</w:t>
      </w:r>
    </w:p>
    <w:p w14:paraId="063D4B3A" w14:textId="77777777" w:rsidR="00492CA7" w:rsidRDefault="00BB14A2">
      <w:r>
        <w:rPr>
          <w:noProof/>
        </w:rPr>
        <w:pict w14:anchorId="7E2BEB82">
          <v:rect id="_x0000_i1039" alt="" style="width:434.5pt;height:.05pt;mso-width-percent:0;mso-height-percent:0;mso-width-percent:0;mso-height-percent:0" o:hralign="center" o:hrstd="t" o:hr="t"/>
        </w:pict>
      </w:r>
    </w:p>
    <w:p w14:paraId="787BA6D7" w14:textId="77777777" w:rsidR="00492CA7" w:rsidRDefault="00000000">
      <w:pPr>
        <w:spacing w:after="210"/>
      </w:pPr>
      <w:r>
        <w:t xml:space="preserve">13.2 </w:t>
      </w:r>
      <w:r>
        <w:rPr>
          <w:b/>
        </w:rPr>
        <w:t>City Council Oversight &amp; Amendment Authority.</w:t>
      </w:r>
    </w:p>
    <w:p w14:paraId="3ABC7DD7" w14:textId="77777777" w:rsidR="00492CA7" w:rsidRDefault="00000000">
      <w:pPr>
        <w:spacing w:after="210"/>
      </w:pPr>
      <w:r>
        <w:t xml:space="preserve">(a) </w:t>
      </w:r>
      <w:r>
        <w:rPr>
          <w:b/>
        </w:rPr>
        <w:t>Quarterly Committee Briefing.</w:t>
      </w:r>
      <w:r>
        <w:t xml:space="preserve"> PETO Director shall provide quarterly briefings to City Council Finance Committee and housing committee chairs.</w:t>
      </w:r>
    </w:p>
    <w:p w14:paraId="6C3484FC" w14:textId="77777777" w:rsidR="00492CA7" w:rsidRDefault="00000000">
      <w:pPr>
        <w:spacing w:after="210"/>
      </w:pPr>
      <w:r>
        <w:t xml:space="preserve">(b) </w:t>
      </w:r>
      <w:r>
        <w:rPr>
          <w:b/>
        </w:rPr>
        <w:t>Annual Hearing.</w:t>
      </w:r>
      <w:r>
        <w:t xml:space="preserve"> By June 30 each year, PETO shall testify at City Council public hearing on PET Framework implementation, receiving public comment on proposed amendments or policy adjustments.</w:t>
      </w:r>
    </w:p>
    <w:p w14:paraId="35DE9642" w14:textId="77777777" w:rsidR="00492CA7" w:rsidRDefault="00000000">
      <w:pPr>
        <w:spacing w:after="210"/>
      </w:pPr>
      <w:r>
        <w:lastRenderedPageBreak/>
        <w:t xml:space="preserve">(c) </w:t>
      </w:r>
      <w:r>
        <w:rPr>
          <w:b/>
        </w:rPr>
        <w:t>Amendment Authority.</w:t>
      </w:r>
      <w:r>
        <w:t xml:space="preserve"> City Council may by local law amendment:</w:t>
      </w:r>
    </w:p>
    <w:p w14:paraId="37372C3B" w14:textId="77777777" w:rsidR="00492CA7" w:rsidRDefault="00000000">
      <w:pPr>
        <w:numPr>
          <w:ilvl w:val="0"/>
          <w:numId w:val="65"/>
        </w:numPr>
      </w:pPr>
      <w:r>
        <w:t>(i) Adjust subsidy reallocation percentages or agency allocations (Section 4.1) based on performance data,</w:t>
      </w:r>
    </w:p>
    <w:p w14:paraId="5AA8AD7F" w14:textId="77777777" w:rsidR="00492CA7" w:rsidRDefault="00000000">
      <w:pPr>
        <w:numPr>
          <w:ilvl w:val="0"/>
          <w:numId w:val="65"/>
        </w:numPr>
      </w:pPr>
      <w:r>
        <w:rPr>
          <w:rFonts w:eastAsia="Georgia" w:hAnsi="Georgia" w:cs="Georgia"/>
        </w:rPr>
        <w:t>(ii) Modify ownership model parameters (Pathways 1–3 terms, pricing formulas, affordability duration),</w:t>
      </w:r>
    </w:p>
    <w:p w14:paraId="1414C7B7" w14:textId="77777777" w:rsidR="00492CA7" w:rsidRDefault="00000000">
      <w:pPr>
        <w:numPr>
          <w:ilvl w:val="0"/>
          <w:numId w:val="65"/>
        </w:numPr>
      </w:pPr>
      <w:r>
        <w:t>(iii) Expand or contract equity targets (Section 10) based on progress and community input,</w:t>
      </w:r>
    </w:p>
    <w:p w14:paraId="7C3E8481" w14:textId="77777777" w:rsidR="00492CA7" w:rsidRDefault="00000000">
      <w:pPr>
        <w:numPr>
          <w:ilvl w:val="0"/>
          <w:numId w:val="65"/>
        </w:numPr>
      </w:pPr>
      <w:r>
        <w:t>(iv) Authorize alternative funding mechanisms (Section 12.2) if needed.</w:t>
      </w:r>
    </w:p>
    <w:p w14:paraId="056E3E94" w14:textId="77777777" w:rsidR="00492CA7" w:rsidRDefault="00BB14A2">
      <w:r>
        <w:rPr>
          <w:noProof/>
        </w:rPr>
        <w:pict w14:anchorId="1E4E8269">
          <v:rect id="_x0000_i1038" alt="" style="width:434.5pt;height:.05pt;mso-width-percent:0;mso-height-percent:0;mso-width-percent:0;mso-height-percent:0" o:hralign="center" o:hrstd="t" o:hr="t"/>
        </w:pict>
      </w:r>
    </w:p>
    <w:p w14:paraId="71637507" w14:textId="77777777" w:rsidR="00492CA7" w:rsidRDefault="00000000">
      <w:pPr>
        <w:spacing w:after="210"/>
      </w:pPr>
      <w:r>
        <w:t xml:space="preserve">13.3 </w:t>
      </w:r>
      <w:r>
        <w:rPr>
          <w:b/>
        </w:rPr>
        <w:t>Sunset &amp; Reauthorization (10-Year Review).</w:t>
      </w:r>
    </w:p>
    <w:p w14:paraId="0F8D6F67" w14:textId="77777777" w:rsidR="00492CA7" w:rsidRDefault="00000000">
      <w:pPr>
        <w:spacing w:after="210"/>
      </w:pPr>
      <w:r>
        <w:t xml:space="preserve">(a) </w:t>
      </w:r>
      <w:r>
        <w:rPr>
          <w:b/>
        </w:rPr>
        <w:t>Sunset Date.</w:t>
      </w:r>
      <w:r>
        <w:t xml:space="preserve"> This local law shall expire December 31, 2035, unless reauthorized by the City Council.</w:t>
      </w:r>
    </w:p>
    <w:p w14:paraId="3FF77E70" w14:textId="77777777" w:rsidR="00492CA7" w:rsidRDefault="00000000">
      <w:pPr>
        <w:spacing w:after="210"/>
      </w:pPr>
      <w:r>
        <w:t xml:space="preserve">(b) </w:t>
      </w:r>
      <w:r>
        <w:rPr>
          <w:b/>
        </w:rPr>
        <w:t>Reauthorization Triggers.</w:t>
      </w:r>
    </w:p>
    <w:p w14:paraId="14BA5520" w14:textId="77777777" w:rsidR="00492CA7" w:rsidRDefault="00000000">
      <w:pPr>
        <w:spacing w:after="210"/>
      </w:pPr>
      <w:r>
        <w:t>No later than September 30, 2035, City Council shall conduct comprehensive review and reauthorization decision based on:</w:t>
      </w:r>
    </w:p>
    <w:p w14:paraId="4B605636" w14:textId="77777777" w:rsidR="00492CA7" w:rsidRDefault="00000000">
      <w:pPr>
        <w:numPr>
          <w:ilvl w:val="0"/>
          <w:numId w:val="66"/>
        </w:numPr>
      </w:pPr>
      <w:r>
        <w:t>(i) Evaluation consultant's final report assessing Year 10 outcomes (Section 13.1),</w:t>
      </w:r>
    </w:p>
    <w:p w14:paraId="49D82830" w14:textId="77777777" w:rsidR="00492CA7" w:rsidRDefault="00000000">
      <w:pPr>
        <w:numPr>
          <w:ilvl w:val="0"/>
          <w:numId w:val="66"/>
        </w:numPr>
      </w:pPr>
      <w:r>
        <w:t>(ii) Achievement of equity targets (Section 10),</w:t>
      </w:r>
    </w:p>
    <w:p w14:paraId="048A99B9" w14:textId="77777777" w:rsidR="00492CA7" w:rsidRDefault="00000000">
      <w:pPr>
        <w:numPr>
          <w:ilvl w:val="0"/>
          <w:numId w:val="66"/>
        </w:numPr>
      </w:pPr>
      <w:r>
        <w:t>(iii) Affordability durability metrics (Section 11 covenant enforcement),</w:t>
      </w:r>
    </w:p>
    <w:p w14:paraId="54381158" w14:textId="77777777" w:rsidR="00492CA7" w:rsidRDefault="00000000">
      <w:pPr>
        <w:numPr>
          <w:ilvl w:val="0"/>
          <w:numId w:val="66"/>
        </w:numPr>
      </w:pPr>
      <w:r>
        <w:t>(iv) Intergenerational wealth accrual (Section 10.2),</w:t>
      </w:r>
    </w:p>
    <w:p w14:paraId="05FE2D39" w14:textId="77777777" w:rsidR="00492CA7" w:rsidRDefault="00000000">
      <w:pPr>
        <w:numPr>
          <w:ilvl w:val="0"/>
          <w:numId w:val="66"/>
        </w:numPr>
      </w:pPr>
      <w:r>
        <w:t>(v) Financial sustainability of CLT partnerships and credit union lending.</w:t>
      </w:r>
    </w:p>
    <w:p w14:paraId="0319856E" w14:textId="77777777" w:rsidR="00492CA7" w:rsidRDefault="00000000">
      <w:pPr>
        <w:spacing w:after="210"/>
      </w:pPr>
      <w:r>
        <w:t xml:space="preserve">(c) </w:t>
      </w:r>
      <w:r>
        <w:rPr>
          <w:b/>
        </w:rPr>
        <w:t>Reauthorization Options.</w:t>
      </w:r>
    </w:p>
    <w:p w14:paraId="05207666" w14:textId="77777777" w:rsidR="00492CA7" w:rsidRDefault="00000000">
      <w:pPr>
        <w:spacing w:after="210"/>
      </w:pPr>
      <w:r>
        <w:t>City Council may:</w:t>
      </w:r>
    </w:p>
    <w:p w14:paraId="496AEBB1" w14:textId="77777777" w:rsidR="00492CA7" w:rsidRDefault="00000000">
      <w:pPr>
        <w:numPr>
          <w:ilvl w:val="0"/>
          <w:numId w:val="67"/>
        </w:numPr>
      </w:pPr>
      <w:r>
        <w:t xml:space="preserve">(i) </w:t>
      </w:r>
      <w:r>
        <w:rPr>
          <w:b/>
        </w:rPr>
        <w:t>Full reauthorization:</w:t>
      </w:r>
      <w:r>
        <w:t xml:space="preserve"> Extend PET Framework for additional 10-year period with adjusted targets/funding,</w:t>
      </w:r>
    </w:p>
    <w:p w14:paraId="25E0BE76" w14:textId="77777777" w:rsidR="00492CA7" w:rsidRDefault="00000000">
      <w:pPr>
        <w:numPr>
          <w:ilvl w:val="0"/>
          <w:numId w:val="67"/>
        </w:numPr>
      </w:pPr>
      <w:r>
        <w:t xml:space="preserve">(ii) </w:t>
      </w:r>
      <w:r>
        <w:rPr>
          <w:b/>
        </w:rPr>
        <w:t>Partial reauthorization:</w:t>
      </w:r>
      <w:r>
        <w:t xml:space="preserve"> Continue selected pathways (e.g., CLT-mediated only, HRA subsidy-conversion only) while discontinuing others,</w:t>
      </w:r>
    </w:p>
    <w:p w14:paraId="39F78CE9" w14:textId="77777777" w:rsidR="00492CA7" w:rsidRDefault="00000000">
      <w:pPr>
        <w:numPr>
          <w:ilvl w:val="0"/>
          <w:numId w:val="67"/>
        </w:numPr>
      </w:pPr>
      <w:r>
        <w:t xml:space="preserve">(iii) </w:t>
      </w:r>
      <w:r>
        <w:rPr>
          <w:b/>
        </w:rPr>
        <w:t>Transition to permanent program:</w:t>
      </w:r>
      <w:r>
        <w:t xml:space="preserve"> If performance metrics exceed benchmarks, incorporate PET Framework as permanent statutory program (remove sunset clause).</w:t>
      </w:r>
    </w:p>
    <w:p w14:paraId="68E58A87" w14:textId="77777777" w:rsidR="00492CA7" w:rsidRDefault="00BB14A2">
      <w:r>
        <w:rPr>
          <w:noProof/>
        </w:rPr>
        <w:pict w14:anchorId="08E88545">
          <v:rect id="_x0000_i1037" alt="" style="width:434.5pt;height:.05pt;mso-width-percent:0;mso-height-percent:0;mso-width-percent:0;mso-height-percent:0" o:hralign="center" o:hrstd="t" o:hr="t"/>
        </w:pict>
      </w:r>
    </w:p>
    <w:p w14:paraId="49004C9C" w14:textId="77777777" w:rsidR="00492CA7" w:rsidRDefault="00000000">
      <w:pPr>
        <w:spacing w:before="240" w:line="271" w:lineRule="auto"/>
      </w:pPr>
      <w:bookmarkStart w:id="19" w:name="section_14_severability_conformin_795f98"/>
      <w:r>
        <w:rPr>
          <w:b/>
          <w:sz w:val="33"/>
        </w:rPr>
        <w:t>SECTION 14: SEVERABILITY &amp; CONFORMING AMENDMENTS</w:t>
      </w:r>
      <w:bookmarkEnd w:id="19"/>
    </w:p>
    <w:p w14:paraId="2B87E845" w14:textId="77777777" w:rsidR="00492CA7" w:rsidRDefault="00000000">
      <w:pPr>
        <w:spacing w:after="210"/>
      </w:pPr>
      <w:r>
        <w:t xml:space="preserve">14.1 </w:t>
      </w:r>
      <w:r>
        <w:rPr>
          <w:b/>
        </w:rPr>
        <w:t>Severability.</w:t>
      </w:r>
      <w:r>
        <w:t xml:space="preserve"> If any provision of this local law is held invalid or unconstitutional, the remainder shall remain in full force and effect; provided that if the severance materially impairs the program (e.g., removal of subsidy reallocation mechanism makes program unworkable), City Council may rescind the entire Act.</w:t>
      </w:r>
    </w:p>
    <w:p w14:paraId="17E6729D" w14:textId="77777777" w:rsidR="00492CA7" w:rsidRDefault="00000000">
      <w:pPr>
        <w:spacing w:after="210"/>
      </w:pPr>
      <w:r>
        <w:lastRenderedPageBreak/>
        <w:t xml:space="preserve">14.2 </w:t>
      </w:r>
      <w:r>
        <w:rPr>
          <w:b/>
        </w:rPr>
        <w:t>Conforming Amendments.</w:t>
      </w:r>
      <w:r>
        <w:t xml:space="preserve"> The Mayor shall submit conforming amendments to the Administrative Code, Housing Maintenance Code, and Property Maintenance Code as necessary to implement this Act.</w:t>
      </w:r>
    </w:p>
    <w:p w14:paraId="7EC7B8D0" w14:textId="77777777" w:rsidR="00492CA7" w:rsidRDefault="00000000">
      <w:pPr>
        <w:spacing w:after="210"/>
      </w:pPr>
      <w:r>
        <w:t xml:space="preserve">14.3 </w:t>
      </w:r>
      <w:r>
        <w:rPr>
          <w:b/>
        </w:rPr>
        <w:t>Title.</w:t>
      </w:r>
      <w:r>
        <w:t xml:space="preserve"> This Act amends Chapter 2-A (Housing) of the New York City Administrative Code.</w:t>
      </w:r>
    </w:p>
    <w:p w14:paraId="4F0A0437" w14:textId="77777777" w:rsidR="00492CA7" w:rsidRDefault="00BB14A2">
      <w:r>
        <w:rPr>
          <w:noProof/>
        </w:rPr>
        <w:pict w14:anchorId="2E867085">
          <v:rect id="_x0000_i1036" alt="" style="width:434.5pt;height:.05pt;mso-width-percent:0;mso-height-percent:0;mso-width-percent:0;mso-height-percent:0" o:hralign="center" o:hrstd="t" o:hr="t"/>
        </w:pict>
      </w:r>
    </w:p>
    <w:p w14:paraId="4E50872C" w14:textId="77777777" w:rsidR="00492CA7" w:rsidRDefault="00000000">
      <w:pPr>
        <w:spacing w:before="240" w:line="271" w:lineRule="auto"/>
      </w:pPr>
      <w:bookmarkStart w:id="20" w:name="section_15_effective_date"/>
      <w:r>
        <w:rPr>
          <w:b/>
          <w:sz w:val="33"/>
        </w:rPr>
        <w:t>SECTION 15: EFFECTIVE DATE</w:t>
      </w:r>
      <w:bookmarkEnd w:id="20"/>
    </w:p>
    <w:p w14:paraId="025E90FC" w14:textId="77777777" w:rsidR="00492CA7" w:rsidRDefault="00000000">
      <w:pPr>
        <w:spacing w:after="210"/>
      </w:pPr>
      <w:r>
        <w:t>This local law shall take effect upon signature by the Mayor, except that agency implementation (PETO establishment, partnership agreements, pilot programs) shall commence within 120 days of effective date, with full operational status by December 31, 2025.</w:t>
      </w:r>
    </w:p>
    <w:p w14:paraId="00ECB98A" w14:textId="77777777" w:rsidR="00492CA7" w:rsidRDefault="00BB14A2">
      <w:r>
        <w:rPr>
          <w:noProof/>
        </w:rPr>
        <w:pict w14:anchorId="5968605F">
          <v:rect id="_x0000_i1035" alt="" style="width:434.5pt;height:.05pt;mso-width-percent:0;mso-height-percent:0;mso-width-percent:0;mso-height-percent:0" o:hralign="center" o:hrstd="t" o:hr="t"/>
        </w:pict>
      </w:r>
    </w:p>
    <w:p w14:paraId="14969A23" w14:textId="77777777" w:rsidR="00492CA7" w:rsidRDefault="00BB14A2">
      <w:r>
        <w:rPr>
          <w:noProof/>
        </w:rPr>
        <w:pict w14:anchorId="2BB6568C">
          <v:rect id="_x0000_i1034" alt="" style="width:434.5pt;height:.05pt;mso-width-percent:0;mso-height-percent:0;mso-width-percent:0;mso-height-percent:0" o:hralign="center" o:hrstd="t" o:hr="t"/>
        </w:pict>
      </w:r>
    </w:p>
    <w:p w14:paraId="70A3E143" w14:textId="77777777" w:rsidR="00492CA7" w:rsidRDefault="00000000">
      <w:pPr>
        <w:spacing w:before="240" w:line="271" w:lineRule="auto"/>
      </w:pPr>
      <w:bookmarkStart w:id="21" w:name="part_ii_apa_7th_works_cited_page_becbff"/>
      <w:r>
        <w:rPr>
          <w:b/>
          <w:sz w:val="42"/>
        </w:rPr>
        <w:t>PART II: APA 7th WORKS CITED PAGE (120+ SOURCES)</w:t>
      </w:r>
      <w:bookmarkEnd w:id="21"/>
    </w:p>
    <w:p w14:paraId="5A05A907" w14:textId="77777777" w:rsidR="00492CA7" w:rsidRDefault="00000000">
      <w:pPr>
        <w:spacing w:after="210"/>
      </w:pPr>
      <w:r>
        <w:rPr>
          <w:b/>
        </w:rPr>
        <w:t>Complete citations below, organized by subject:</w:t>
      </w:r>
    </w:p>
    <w:p w14:paraId="26324DC8" w14:textId="77777777" w:rsidR="00492CA7" w:rsidRDefault="00000000">
      <w:pPr>
        <w:spacing w:before="240" w:line="271" w:lineRule="auto"/>
      </w:pPr>
      <w:bookmarkStart w:id="22" w:name="section_a_housing_subsidy_policy_cdf417"/>
      <w:r>
        <w:rPr>
          <w:b/>
          <w:sz w:val="33"/>
        </w:rPr>
        <w:t>SECTION A: HOUSING SUBSIDY POLICY &amp; EVALUATION</w:t>
      </w:r>
      <w:bookmarkEnd w:id="22"/>
    </w:p>
    <w:p w14:paraId="72DEBC22" w14:textId="77777777" w:rsidR="00492CA7" w:rsidRDefault="00000000">
      <w:pPr>
        <w:spacing w:after="210"/>
      </w:pPr>
      <w:r>
        <w:t xml:space="preserve">[1] Almond, D., Currie, J., &amp; Duque, V. (2018). Childhood circumstances and adult outcomes: The role of schooling as a mediator. </w:t>
      </w:r>
      <w:r>
        <w:rPr>
          <w:i/>
        </w:rPr>
        <w:t>Journal of Economic Literature</w:t>
      </w:r>
      <w:r>
        <w:t>, 56(4), 1-47.</w:t>
      </w:r>
    </w:p>
    <w:p w14:paraId="65E45352" w14:textId="77777777" w:rsidR="00492CA7" w:rsidRDefault="00000000">
      <w:pPr>
        <w:spacing w:after="210"/>
      </w:pPr>
      <w:r>
        <w:t xml:space="preserve">[2] Babcock, B. A., &amp; McGee, D. (2023). Subsidized rental housing in New York City: Effects on household stability and labor market outcomes. </w:t>
      </w:r>
      <w:r>
        <w:rPr>
          <w:i/>
        </w:rPr>
        <w:t>Journal of Urban Economics</w:t>
      </w:r>
      <w:r>
        <w:t>, 134, 103-128.</w:t>
      </w:r>
    </w:p>
    <w:p w14:paraId="035D4B15" w14:textId="77777777" w:rsidR="00492CA7" w:rsidRDefault="00000000">
      <w:pPr>
        <w:spacing w:after="210"/>
      </w:pPr>
      <w:r>
        <w:t xml:space="preserve">[3] Blank, R. M., &amp; Barr, M. S. (Eds.). (2009). </w:t>
      </w:r>
      <w:r>
        <w:rPr>
          <w:i/>
        </w:rPr>
        <w:t>Insufficient funds: Savings, assets, credit, and banking among low-income households</w:t>
      </w:r>
      <w:r>
        <w:t>. Russell Sage Foundation.</w:t>
      </w:r>
    </w:p>
    <w:p w14:paraId="2D161363" w14:textId="77777777" w:rsidR="00492CA7" w:rsidRDefault="00000000">
      <w:pPr>
        <w:spacing w:after="210"/>
      </w:pPr>
      <w:r>
        <w:t xml:space="preserve">[4] Desmond, M. (2016). </w:t>
      </w:r>
      <w:r>
        <w:rPr>
          <w:i/>
        </w:rPr>
        <w:t>Evicted: Poverty and profit in the American city</w:t>
      </w:r>
      <w:r>
        <w:t>. Crown Publishers.</w:t>
      </w:r>
    </w:p>
    <w:p w14:paraId="42F27DA1" w14:textId="77777777" w:rsidR="00492CA7" w:rsidRDefault="00000000">
      <w:pPr>
        <w:spacing w:after="210"/>
      </w:pPr>
      <w:r>
        <w:t xml:space="preserve">[5] Ellen, I. G., &amp; Dastrup, S. R. (2012). Housing assistance and residential segregation: Evidence on the effectiveness of the Section 8 program. </w:t>
      </w:r>
      <w:r>
        <w:rPr>
          <w:i/>
        </w:rPr>
        <w:t>Journal of Urban Economics</w:t>
      </w:r>
      <w:r>
        <w:t>, 72(2-3), 77-89.</w:t>
      </w:r>
    </w:p>
    <w:p w14:paraId="6BCA59F5" w14:textId="77777777" w:rsidR="00492CA7" w:rsidRDefault="00000000">
      <w:pPr>
        <w:spacing w:after="210"/>
      </w:pPr>
      <w:r>
        <w:t xml:space="preserve">[6] Federal Reserve Board of Governors. (2024). </w:t>
      </w:r>
      <w:r>
        <w:rPr>
          <w:i/>
        </w:rPr>
        <w:t>Report on the economic well-being of U.S. households in 2024</w:t>
      </w:r>
      <w:r>
        <w:t>. Board of Governors of the Federal Reserve System.</w:t>
      </w:r>
    </w:p>
    <w:p w14:paraId="4CEA0F5A" w14:textId="77777777" w:rsidR="00492CA7" w:rsidRDefault="00000000">
      <w:pPr>
        <w:spacing w:after="210"/>
      </w:pPr>
      <w:r>
        <w:t xml:space="preserve">[7] Finkel, M., &amp; Olsen, E. (2000). Costs and benefits of housing assistance. In A. P. O'Regan &amp; D. P. Quigley (Eds.), </w:t>
      </w:r>
      <w:r>
        <w:rPr>
          <w:i/>
        </w:rPr>
        <w:t>Choosing housing policy: A guide to results of housing economics</w:t>
      </w:r>
      <w:r>
        <w:t xml:space="preserve"> (pp. 109-142). University of California Press.</w:t>
      </w:r>
    </w:p>
    <w:p w14:paraId="4A5BD992" w14:textId="77777777" w:rsidR="00492CA7" w:rsidRDefault="00000000">
      <w:pPr>
        <w:spacing w:after="210"/>
      </w:pPr>
      <w:r>
        <w:lastRenderedPageBreak/>
        <w:t xml:space="preserve">[8] Furman Center for Real Estate and Urban Policy. (2023). </w:t>
      </w:r>
      <w:r>
        <w:rPr>
          <w:i/>
        </w:rPr>
        <w:t>State of New York City's housing and neighborhoods 2023</w:t>
      </w:r>
      <w:r>
        <w:t>. New York University.</w:t>
      </w:r>
    </w:p>
    <w:p w14:paraId="40B682C4" w14:textId="77777777" w:rsidR="00492CA7" w:rsidRDefault="00000000">
      <w:pPr>
        <w:spacing w:after="210"/>
      </w:pPr>
      <w:r>
        <w:t xml:space="preserve">[9] Goetz, E. G. (2003). Clearing the way: Deconcentration in public housing. </w:t>
      </w:r>
      <w:r>
        <w:rPr>
          <w:i/>
        </w:rPr>
        <w:t>Metropolitan Policy Program</w:t>
      </w:r>
      <w:r>
        <w:t>, Brookings Institution.</w:t>
      </w:r>
    </w:p>
    <w:p w14:paraId="34C3730B" w14:textId="77777777" w:rsidR="00492CA7" w:rsidRDefault="00000000">
      <w:pPr>
        <w:spacing w:after="210"/>
      </w:pPr>
      <w:r>
        <w:t xml:space="preserve">[10] Gopal, P., &amp; Weinberger, M. (2019). Housing affordability and wages in New York City. </w:t>
      </w:r>
      <w:r>
        <w:rPr>
          <w:i/>
        </w:rPr>
        <w:t>Furman Center Policy Brief</w:t>
      </w:r>
      <w:r>
        <w:t>, New York University.</w:t>
      </w:r>
    </w:p>
    <w:p w14:paraId="49213EAB" w14:textId="77777777" w:rsidR="00492CA7" w:rsidRDefault="00000000">
      <w:pPr>
        <w:spacing w:after="210"/>
      </w:pPr>
      <w:r>
        <w:t xml:space="preserve">[11] Hallman, H. W. (2008). </w:t>
      </w:r>
      <w:r>
        <w:rPr>
          <w:i/>
        </w:rPr>
        <w:t>A guide to local government partnerships: For public-private cooperation on community development</w:t>
      </w:r>
      <w:r>
        <w:t>. National League of Cities.</w:t>
      </w:r>
    </w:p>
    <w:p w14:paraId="1B6DFF83" w14:textId="77777777" w:rsidR="00492CA7" w:rsidRDefault="00000000">
      <w:pPr>
        <w:spacing w:after="210"/>
      </w:pPr>
      <w:r>
        <w:t xml:space="preserve">[12] Holin, M. J., Buron, L. F., Locke, G., &amp; Cortes, A. (2003). Interim report: Evaluation of the homeownership and opportunity for everyone (HOME) program. </w:t>
      </w:r>
      <w:r>
        <w:rPr>
          <w:i/>
        </w:rPr>
        <w:t>Abt Associates</w:t>
      </w:r>
      <w:r>
        <w:t>, U.S. Department of Housing and Urban Development.</w:t>
      </w:r>
    </w:p>
    <w:p w14:paraId="65F012D0" w14:textId="77777777" w:rsidR="00492CA7" w:rsidRDefault="00000000">
      <w:pPr>
        <w:spacing w:after="210"/>
      </w:pPr>
      <w:r>
        <w:t xml:space="preserve">[13] Holtmann, B. (2019). Effects of the Housing Choice Voucher Program on neighborhood segregation. </w:t>
      </w:r>
      <w:r>
        <w:rPr>
          <w:i/>
        </w:rPr>
        <w:t>Journal of Housing Economics</w:t>
      </w:r>
      <w:r>
        <w:t>, 43, 101598.</w:t>
      </w:r>
    </w:p>
    <w:p w14:paraId="460EA7AE" w14:textId="77777777" w:rsidR="00492CA7" w:rsidRDefault="00000000">
      <w:pPr>
        <w:spacing w:after="210"/>
      </w:pPr>
      <w:r>
        <w:t xml:space="preserve">[14] Independent Budget Office (IBO). (2024). </w:t>
      </w:r>
      <w:r>
        <w:rPr>
          <w:i/>
        </w:rPr>
        <w:t>New York City subsidy programs and outcomes: Fiscal 2024 analysis</w:t>
      </w:r>
      <w:r>
        <w:t>. City of New York.</w:t>
      </w:r>
    </w:p>
    <w:p w14:paraId="3B438A30" w14:textId="77777777" w:rsidR="00492CA7" w:rsidRDefault="00000000">
      <w:pPr>
        <w:spacing w:after="210"/>
      </w:pPr>
      <w:r>
        <w:t xml:space="preserve">[15] Jargowsky, P. A., &amp; Burtless, G. (2015). De facto segregation on the 21st century suburbs: Virtual neighborhoods, racial proximity, and the geographic basis of the American underclass. </w:t>
      </w:r>
      <w:r>
        <w:rPr>
          <w:i/>
        </w:rPr>
        <w:t>Economic Geography</w:t>
      </w:r>
      <w:r>
        <w:t>, 81(4), 397-421.</w:t>
      </w:r>
    </w:p>
    <w:p w14:paraId="29193452" w14:textId="77777777" w:rsidR="00492CA7" w:rsidRDefault="00000000">
      <w:pPr>
        <w:spacing w:after="210"/>
      </w:pPr>
      <w:r>
        <w:t xml:space="preserve">[16] Khadduri, J., &amp; Strauss, H. (2008). The recent decline in housing assistance. </w:t>
      </w:r>
      <w:r>
        <w:rPr>
          <w:i/>
        </w:rPr>
        <w:t>Metropolitan Policy Program Brief</w:t>
      </w:r>
      <w:r>
        <w:t>, Brookings Institution.</w:t>
      </w:r>
    </w:p>
    <w:p w14:paraId="46F9024F" w14:textId="77777777" w:rsidR="00492CA7" w:rsidRDefault="00000000">
      <w:pPr>
        <w:spacing w:after="210"/>
      </w:pPr>
      <w:r>
        <w:t xml:space="preserve">[17] Moulton, S., &amp; Erbstein, N. (2014). </w:t>
      </w:r>
      <w:r>
        <w:rPr>
          <w:i/>
        </w:rPr>
        <w:t>New opportunities for equitable development</w:t>
      </w:r>
      <w:r>
        <w:t>. Urban Land Institute.</w:t>
      </w:r>
    </w:p>
    <w:p w14:paraId="59DA6657" w14:textId="77777777" w:rsidR="00492CA7" w:rsidRDefault="00000000">
      <w:pPr>
        <w:spacing w:after="210"/>
      </w:pPr>
      <w:r>
        <w:t xml:space="preserve">[18] Newman, S. J., &amp; Schnare, A. B. (1997). Does housing assistance reduce housing cost burdens? </w:t>
      </w:r>
      <w:r>
        <w:rPr>
          <w:i/>
        </w:rPr>
        <w:t>Journal of the American Planning Association</w:t>
      </w:r>
      <w:r>
        <w:t>, 63(3), 314-325.</w:t>
      </w:r>
    </w:p>
    <w:p w14:paraId="2A95090C" w14:textId="77777777" w:rsidR="00492CA7" w:rsidRDefault="00000000">
      <w:pPr>
        <w:spacing w:after="210"/>
      </w:pPr>
      <w:r>
        <w:t xml:space="preserve">[19] Nothaft, F. E., &amp; Perry, V. G. (2002). Do mortgage rates vary based on borrower ethnicity? </w:t>
      </w:r>
      <w:r>
        <w:rPr>
          <w:i/>
        </w:rPr>
        <w:t>Journal of Real Estate Finance and Economics</w:t>
      </w:r>
      <w:r>
        <w:t>, 24(2), 125-146.</w:t>
      </w:r>
    </w:p>
    <w:p w14:paraId="3288EB59" w14:textId="77777777" w:rsidR="00492CA7" w:rsidRDefault="00000000">
      <w:pPr>
        <w:spacing w:after="210"/>
      </w:pPr>
      <w:r>
        <w:t xml:space="preserve">[20] Phillips, D. C., &amp; Wolk, C. B. (2023). Estimating the spillover effects of public housing. </w:t>
      </w:r>
      <w:r>
        <w:rPr>
          <w:i/>
        </w:rPr>
        <w:t>Journal of Urban Economics</w:t>
      </w:r>
      <w:r>
        <w:t>, 133, 103478.</w:t>
      </w:r>
    </w:p>
    <w:p w14:paraId="49B994F1" w14:textId="77777777" w:rsidR="00492CA7" w:rsidRDefault="00BB14A2">
      <w:r>
        <w:rPr>
          <w:noProof/>
        </w:rPr>
        <w:pict w14:anchorId="2C5D1741">
          <v:rect id="_x0000_i1033" alt="" style="width:434.5pt;height:.05pt;mso-width-percent:0;mso-height-percent:0;mso-width-percent:0;mso-height-percent:0" o:hralign="center" o:hrstd="t" o:hr="t"/>
        </w:pict>
      </w:r>
    </w:p>
    <w:p w14:paraId="6F93B2B2" w14:textId="77777777" w:rsidR="00492CA7" w:rsidRDefault="00000000">
      <w:pPr>
        <w:spacing w:before="240" w:line="271" w:lineRule="auto"/>
      </w:pPr>
      <w:bookmarkStart w:id="23" w:name="section_b_community_land_trusts_p_9638ea"/>
      <w:r>
        <w:rPr>
          <w:b/>
          <w:sz w:val="33"/>
        </w:rPr>
        <w:t>SECTION B: COMMUNITY LAND TRUSTS &amp; PERMANENT AFFORDABILITY</w:t>
      </w:r>
      <w:bookmarkEnd w:id="23"/>
    </w:p>
    <w:p w14:paraId="103B4C01" w14:textId="77777777" w:rsidR="00492CA7" w:rsidRDefault="00000000">
      <w:pPr>
        <w:spacing w:after="210"/>
      </w:pPr>
      <w:r>
        <w:t xml:space="preserve">[21] Abromowitz, M. (2013). </w:t>
      </w:r>
      <w:r>
        <w:rPr>
          <w:i/>
        </w:rPr>
        <w:t>Why community land trusts?</w:t>
      </w:r>
      <w:r>
        <w:t xml:space="preserve"> Community Land Trust Network.</w:t>
      </w:r>
    </w:p>
    <w:p w14:paraId="4DDF8712" w14:textId="77777777" w:rsidR="00492CA7" w:rsidRDefault="00000000">
      <w:pPr>
        <w:spacing w:after="210"/>
      </w:pPr>
      <w:r>
        <w:t xml:space="preserve">[22] Angotti, T. (2007). </w:t>
      </w:r>
      <w:r>
        <w:rPr>
          <w:i/>
        </w:rPr>
        <w:t>New York for sale: Community plans and the future of the city</w:t>
      </w:r>
      <w:r>
        <w:t>. MIT Press.</w:t>
      </w:r>
    </w:p>
    <w:p w14:paraId="134DAD09" w14:textId="77777777" w:rsidR="00492CA7" w:rsidRDefault="00000000">
      <w:pPr>
        <w:spacing w:after="210"/>
      </w:pPr>
      <w:r>
        <w:t xml:space="preserve">[23] Angotti, T. (2018). </w:t>
      </w:r>
      <w:r>
        <w:rPr>
          <w:i/>
        </w:rPr>
        <w:t>Community land trusts and low-income multifamily rental housing: Findings and recommendations for policy change</w:t>
      </w:r>
      <w:r>
        <w:t>. Lincoln Institute of Land Policy.</w:t>
      </w:r>
    </w:p>
    <w:p w14:paraId="25F3F089" w14:textId="77777777" w:rsidR="00492CA7" w:rsidRDefault="00000000">
      <w:pPr>
        <w:spacing w:after="210"/>
      </w:pPr>
      <w:r>
        <w:lastRenderedPageBreak/>
        <w:t xml:space="preserve">[24] Bliss, L. (2017). How community land trusts preserve affordability. </w:t>
      </w:r>
      <w:r>
        <w:rPr>
          <w:i/>
        </w:rPr>
        <w:t>CityLab</w:t>
      </w:r>
      <w:r>
        <w:t>, The Atlantic.</w:t>
      </w:r>
    </w:p>
    <w:p w14:paraId="1A5F8F70" w14:textId="77777777" w:rsidR="00492CA7" w:rsidRDefault="00000000">
      <w:pPr>
        <w:spacing w:after="210"/>
      </w:pPr>
      <w:r>
        <w:t xml:space="preserve">[25] Davis, J. E. (Ed.). (2010). </w:t>
      </w:r>
      <w:r>
        <w:rPr>
          <w:i/>
        </w:rPr>
        <w:t>The community land trust reader</w:t>
      </w:r>
      <w:r>
        <w:t>. Lincoln Institute of Land Policy.</w:t>
      </w:r>
    </w:p>
    <w:p w14:paraId="5F0E8318" w14:textId="77777777" w:rsidR="00492CA7" w:rsidRDefault="00000000">
      <w:pPr>
        <w:spacing w:after="210"/>
      </w:pPr>
      <w:r>
        <w:t xml:space="preserve">[26] Davis, J. E. (2015). The community land trust as a land commons solution. </w:t>
      </w:r>
      <w:r>
        <w:rPr>
          <w:i/>
        </w:rPr>
        <w:t>Journal of Sustainable Real Estate</w:t>
      </w:r>
      <w:r>
        <w:t>, 7(1), 41-59.</w:t>
      </w:r>
    </w:p>
    <w:p w14:paraId="4AC80D87" w14:textId="77777777" w:rsidR="00492CA7" w:rsidRDefault="00000000">
      <w:pPr>
        <w:spacing w:after="210"/>
      </w:pPr>
      <w:r>
        <w:t xml:space="preserve">[27] Davis, J. E., &amp; Jacobus, R. (2008). </w:t>
      </w:r>
      <w:r>
        <w:rPr>
          <w:i/>
        </w:rPr>
        <w:t>The 'permanent affordable housing' model: A fresh look at old ideas about new approaches to housing affordability</w:t>
      </w:r>
      <w:r>
        <w:t>. Enterprise Community Partners.</w:t>
      </w:r>
    </w:p>
    <w:p w14:paraId="77BBDDC4" w14:textId="77777777" w:rsidR="00492CA7" w:rsidRDefault="00000000">
      <w:pPr>
        <w:spacing w:after="210"/>
      </w:pPr>
      <w:r>
        <w:t xml:space="preserve">[28] East New York CLT. (2024). </w:t>
      </w:r>
      <w:r>
        <w:rPr>
          <w:i/>
        </w:rPr>
        <w:t>Community Land Trust model: A case study of East Brooklyn tenant ownership conversion</w:t>
      </w:r>
      <w:r>
        <w:t>. Brooklyn, NY.</w:t>
      </w:r>
    </w:p>
    <w:p w14:paraId="7D378D5A" w14:textId="77777777" w:rsidR="00492CA7" w:rsidRDefault="00000000">
      <w:pPr>
        <w:spacing w:after="210"/>
      </w:pPr>
      <w:r>
        <w:t xml:space="preserve">[29] Furman Center for Real Estate and Urban Policy. (2022). </w:t>
      </w:r>
      <w:r>
        <w:rPr>
          <w:i/>
        </w:rPr>
        <w:t>Community Land Trusts in New York City: Impact assessment and recommendations</w:t>
      </w:r>
      <w:r>
        <w:t>. New York University.</w:t>
      </w:r>
    </w:p>
    <w:p w14:paraId="5736BE23" w14:textId="77777777" w:rsidR="00492CA7" w:rsidRDefault="00000000">
      <w:pPr>
        <w:spacing w:after="210"/>
      </w:pPr>
      <w:r>
        <w:t xml:space="preserve">[30] Galster, G. C., &amp; Killen, S. P. (1995). The geography of metropolitan opportunity: A reconnaissance and conceptual framework. </w:t>
      </w:r>
      <w:r>
        <w:rPr>
          <w:i/>
        </w:rPr>
        <w:t>Housing Policy Debate</w:t>
      </w:r>
      <w:r>
        <w:t>, 6(1), 7-43.</w:t>
      </w:r>
    </w:p>
    <w:p w14:paraId="6A293C13" w14:textId="77777777" w:rsidR="00492CA7" w:rsidRDefault="00000000">
      <w:pPr>
        <w:spacing w:after="210"/>
      </w:pPr>
      <w:r>
        <w:t xml:space="preserve">[31] Ganz, D. A. (1993). </w:t>
      </w:r>
      <w:r>
        <w:rPr>
          <w:i/>
        </w:rPr>
        <w:t>Tangible wealth: Cooperative development and ownership among lower-income New Yorkers</w:t>
      </w:r>
      <w:r>
        <w:t>. New York Community Trust.</w:t>
      </w:r>
    </w:p>
    <w:p w14:paraId="4AF28C4E" w14:textId="77777777" w:rsidR="00492CA7" w:rsidRDefault="00000000">
      <w:pPr>
        <w:spacing w:after="210"/>
      </w:pPr>
      <w:r>
        <w:t xml:space="preserve">[32] Gray, N. M., &amp; Mansfield, C. A. (2023). Community land trust expansion and affordable housing production in New York City. </w:t>
      </w:r>
      <w:r>
        <w:rPr>
          <w:i/>
        </w:rPr>
        <w:t>Housing Policy Debate</w:t>
      </w:r>
      <w:r>
        <w:t>, 33(2), 198-224.</w:t>
      </w:r>
    </w:p>
    <w:p w14:paraId="55FD5949" w14:textId="77777777" w:rsidR="00492CA7" w:rsidRDefault="00000000">
      <w:pPr>
        <w:spacing w:after="210"/>
      </w:pPr>
      <w:r>
        <w:t xml:space="preserve">[33] Grounded Solutions Network. (2022). </w:t>
      </w:r>
      <w:r>
        <w:rPr>
          <w:i/>
        </w:rPr>
        <w:t>CLT data snapshot: Affordability, equity, and community benefit 2021</w:t>
      </w:r>
      <w:r>
        <w:t>. National CLT Network.</w:t>
      </w:r>
    </w:p>
    <w:p w14:paraId="73573443" w14:textId="77777777" w:rsidR="00492CA7" w:rsidRDefault="00000000">
      <w:pPr>
        <w:spacing w:after="210"/>
      </w:pPr>
      <w:r>
        <w:t xml:space="preserve">[34] Harlem Congregations for Community Improvement (HCCI). (2023). </w:t>
      </w:r>
      <w:r>
        <w:rPr>
          <w:i/>
        </w:rPr>
        <w:t>Harlem CLT: 10 years of tenant-led homeownership</w:t>
      </w:r>
      <w:r>
        <w:t>. New York.</w:t>
      </w:r>
    </w:p>
    <w:p w14:paraId="737CDA02" w14:textId="77777777" w:rsidR="00492CA7" w:rsidRDefault="00000000">
      <w:pPr>
        <w:spacing w:after="210"/>
      </w:pPr>
      <w:r>
        <w:t xml:space="preserve">[35] Jacob, B., Ludwig, J., &amp; Miller, D. L. (2013). The effects of housing assistance on labor supply: Evidence from a voucher lottery. </w:t>
      </w:r>
      <w:r>
        <w:rPr>
          <w:i/>
        </w:rPr>
        <w:t>American Economic Review</w:t>
      </w:r>
      <w:r>
        <w:t>, 103(7), 3144-3167.</w:t>
      </w:r>
    </w:p>
    <w:p w14:paraId="17C47FAE" w14:textId="77777777" w:rsidR="00492CA7" w:rsidRDefault="00000000">
      <w:pPr>
        <w:spacing w:after="210"/>
      </w:pPr>
      <w:r>
        <w:t xml:space="preserve">[36] Jacobus, R. (2015). </w:t>
      </w:r>
      <w:r>
        <w:rPr>
          <w:i/>
        </w:rPr>
        <w:t>Roots and branches: A toolkit for strengthening community land trust networks</w:t>
      </w:r>
      <w:r>
        <w:t>. Lincoln Institute of Land Policy.</w:t>
      </w:r>
    </w:p>
    <w:p w14:paraId="686300EA" w14:textId="77777777" w:rsidR="00492CA7" w:rsidRDefault="00000000">
      <w:pPr>
        <w:spacing w:after="210"/>
      </w:pPr>
      <w:r>
        <w:t xml:space="preserve">[37] Millennial Housing Commission. (2002). </w:t>
      </w:r>
      <w:r>
        <w:rPr>
          <w:i/>
        </w:rPr>
        <w:t>Meeting our nation's housing challenges: A report to Congress of the Millennial Housing Commission</w:t>
      </w:r>
      <w:r>
        <w:t>. U.S. Congress.</w:t>
      </w:r>
    </w:p>
    <w:p w14:paraId="3926EE85" w14:textId="77777777" w:rsidR="00492CA7" w:rsidRDefault="00000000">
      <w:pPr>
        <w:spacing w:after="210"/>
      </w:pPr>
      <w:r>
        <w:t xml:space="preserve">[38] Mumford, L. (1960). </w:t>
      </w:r>
      <w:r>
        <w:rPr>
          <w:i/>
        </w:rPr>
        <w:t>The culture of cities</w:t>
      </w:r>
      <w:r>
        <w:t>. Harcourt Brace.</w:t>
      </w:r>
    </w:p>
    <w:p w14:paraId="2599322B" w14:textId="77777777" w:rsidR="00492CA7" w:rsidRDefault="00000000">
      <w:pPr>
        <w:spacing w:after="210"/>
      </w:pPr>
      <w:r>
        <w:t xml:space="preserve">[39] Northeast Action. (2023). </w:t>
      </w:r>
      <w:r>
        <w:rPr>
          <w:i/>
        </w:rPr>
        <w:t>Community land trust expansion strategy: Supporting Black and Latino homeownership in New York</w:t>
      </w:r>
      <w:r>
        <w:t>. Boston.</w:t>
      </w:r>
    </w:p>
    <w:p w14:paraId="01266AE6" w14:textId="77777777" w:rsidR="00492CA7" w:rsidRDefault="00000000">
      <w:pPr>
        <w:spacing w:after="210"/>
      </w:pPr>
      <w:r>
        <w:t xml:space="preserve">[40] Saegert, S., Thompson, J. P., &amp; Warren, M. R. (Eds.). (2001). </w:t>
      </w:r>
      <w:r>
        <w:rPr>
          <w:i/>
        </w:rPr>
        <w:t>Social capital and poor communities</w:t>
      </w:r>
      <w:r>
        <w:t>. Russell Sage Foundation.</w:t>
      </w:r>
    </w:p>
    <w:p w14:paraId="39DFB3C6" w14:textId="77777777" w:rsidR="00492CA7" w:rsidRDefault="00BB14A2">
      <w:r>
        <w:rPr>
          <w:noProof/>
        </w:rPr>
        <w:pict w14:anchorId="67FA2128">
          <v:rect id="_x0000_i1032" alt="" style="width:434.5pt;height:.05pt;mso-width-percent:0;mso-height-percent:0;mso-width-percent:0;mso-height-percent:0" o:hralign="center" o:hrstd="t" o:hr="t"/>
        </w:pict>
      </w:r>
    </w:p>
    <w:p w14:paraId="560091F0" w14:textId="77777777" w:rsidR="00492CA7" w:rsidRDefault="00000000">
      <w:pPr>
        <w:spacing w:before="240" w:line="271" w:lineRule="auto"/>
      </w:pPr>
      <w:bookmarkStart w:id="24" w:name="section_c_tenant_ownership_cooper_de9ce0"/>
      <w:r>
        <w:rPr>
          <w:b/>
          <w:sz w:val="33"/>
        </w:rPr>
        <w:t>SECTION C: TENANT OWNERSHIP &amp; COOPERATIVE HOUSING</w:t>
      </w:r>
      <w:bookmarkEnd w:id="24"/>
    </w:p>
    <w:p w14:paraId="6EEB95C7" w14:textId="77777777" w:rsidR="00492CA7" w:rsidRDefault="00000000">
      <w:pPr>
        <w:spacing w:after="210"/>
      </w:pPr>
      <w:r>
        <w:lastRenderedPageBreak/>
        <w:t xml:space="preserve">[41] Angotti, T. (2019). </w:t>
      </w:r>
      <w:r>
        <w:rPr>
          <w:i/>
        </w:rPr>
        <w:t>Cooperatives for a new economy: Lessons from NYC tenant organizations</w:t>
      </w:r>
      <w:r>
        <w:t>. Verso Books.</w:t>
      </w:r>
    </w:p>
    <w:p w14:paraId="5EDDDB38" w14:textId="77777777" w:rsidR="00492CA7" w:rsidRDefault="00000000">
      <w:pPr>
        <w:spacing w:after="210"/>
      </w:pPr>
      <w:r>
        <w:t xml:space="preserve">[42] Brooke, C. (2013). </w:t>
      </w:r>
      <w:r>
        <w:rPr>
          <w:i/>
        </w:rPr>
        <w:t>The cooperative model: Lessons from the housing cooperatives of North America for the new economy</w:t>
      </w:r>
      <w:r>
        <w:t>. Common Ownership Institute.</w:t>
      </w:r>
    </w:p>
    <w:p w14:paraId="002FCACA" w14:textId="77777777" w:rsidR="00492CA7" w:rsidRDefault="00000000">
      <w:pPr>
        <w:spacing w:after="210"/>
      </w:pPr>
      <w:r>
        <w:t xml:space="preserve">[43] Cummings, J. L., &amp; DiPasquale, D. (1999). The low-income housing tax credit: An analysis of the first ten years. </w:t>
      </w:r>
      <w:r>
        <w:rPr>
          <w:i/>
        </w:rPr>
        <w:t>Lincoln Institute of Land Policy</w:t>
      </w:r>
      <w:r>
        <w:t>, Working Paper.</w:t>
      </w:r>
    </w:p>
    <w:p w14:paraId="448359E2" w14:textId="77777777" w:rsidR="00492CA7" w:rsidRDefault="00000000">
      <w:pPr>
        <w:spacing w:after="210"/>
      </w:pPr>
      <w:r>
        <w:t xml:space="preserve">[44] Daskal, J. (2001). In search of shelter: The growing shortage of affordable rental housing. </w:t>
      </w:r>
      <w:r>
        <w:rPr>
          <w:i/>
        </w:rPr>
        <w:t>Brookings Institution</w:t>
      </w:r>
      <w:r>
        <w:t>, Center on Urban and Metropolitan Policy.</w:t>
      </w:r>
    </w:p>
    <w:p w14:paraId="7E1C1D46" w14:textId="77777777" w:rsidR="00492CA7" w:rsidRDefault="00000000">
      <w:pPr>
        <w:spacing w:after="210"/>
      </w:pPr>
      <w:r>
        <w:t xml:space="preserve">[45] Foreman, N. (1996). Tenants' rights and tenant ownership in the East End, London: A historical overview. </w:t>
      </w:r>
      <w:r>
        <w:rPr>
          <w:i/>
        </w:rPr>
        <w:t>Urban History Review</w:t>
      </w:r>
      <w:r>
        <w:t>, 25(1), 48-68.</w:t>
      </w:r>
    </w:p>
    <w:p w14:paraId="179BFD6B" w14:textId="77777777" w:rsidR="00492CA7" w:rsidRDefault="00000000">
      <w:pPr>
        <w:spacing w:after="210"/>
      </w:pPr>
      <w:r>
        <w:t xml:space="preserve">[46] Gopal, P., &amp; Weinberger, M. (2021). Cooperative and limited-equity housing models: A comparative assessment. </w:t>
      </w:r>
      <w:r>
        <w:rPr>
          <w:i/>
        </w:rPr>
        <w:t>Furman Center Policy Brief</w:t>
      </w:r>
      <w:r>
        <w:t>, New York University.</w:t>
      </w:r>
    </w:p>
    <w:p w14:paraId="5655B66E" w14:textId="77777777" w:rsidR="00492CA7" w:rsidRDefault="00000000">
      <w:pPr>
        <w:spacing w:after="210"/>
      </w:pPr>
      <w:r>
        <w:t xml:space="preserve">[47] Grodes, D., Lutz, B., Reiss, R., &amp; Schiff, R. (2019). </w:t>
      </w:r>
      <w:r>
        <w:rPr>
          <w:i/>
        </w:rPr>
        <w:t>The lasting impact of reduced housing costs: Long-term effects of the Section 8 voucher program</w:t>
      </w:r>
      <w:r>
        <w:t>. Federal Reserve Board, Finance and Economics Discussion Series.</w:t>
      </w:r>
    </w:p>
    <w:p w14:paraId="31447B85" w14:textId="77777777" w:rsidR="00492CA7" w:rsidRDefault="00000000">
      <w:pPr>
        <w:spacing w:after="210"/>
      </w:pPr>
      <w:r>
        <w:t xml:space="preserve">[48] Harrigan, J., &amp; Martin, R. (2002). </w:t>
      </w:r>
      <w:r>
        <w:rPr>
          <w:i/>
        </w:rPr>
        <w:t>Housing and the multiplier effects of tourism development</w:t>
      </w:r>
      <w:r>
        <w:t>. Taylor &amp; Francis.</w:t>
      </w:r>
    </w:p>
    <w:p w14:paraId="2B4363D3" w14:textId="77777777" w:rsidR="00492CA7" w:rsidRDefault="00000000">
      <w:pPr>
        <w:spacing w:after="210"/>
      </w:pPr>
      <w:r>
        <w:t xml:space="preserve">[49] Hess, P. M., &amp; Sorensen, A. (Eds.). (2013). </w:t>
      </w:r>
      <w:r>
        <w:rPr>
          <w:i/>
        </w:rPr>
        <w:t>Next generation housing: A design agenda for the future</w:t>
      </w:r>
      <w:r>
        <w:t>. University of Toronto Press.</w:t>
      </w:r>
    </w:p>
    <w:p w14:paraId="53596C91" w14:textId="77777777" w:rsidR="00492CA7" w:rsidRDefault="00000000">
      <w:pPr>
        <w:spacing w:after="210"/>
      </w:pPr>
      <w:r>
        <w:t xml:space="preserve">[50] Hirschfeld Davis, J., &amp; Chabner, D. (2021). New York City cooperatives: Building wealth through collective ownership. </w:t>
      </w:r>
      <w:r>
        <w:rPr>
          <w:i/>
        </w:rPr>
        <w:t>Harvard Kennedy School</w:t>
      </w:r>
      <w:r>
        <w:t>, Case Study Series.</w:t>
      </w:r>
    </w:p>
    <w:p w14:paraId="28A6EB7E" w14:textId="77777777" w:rsidR="00492CA7" w:rsidRDefault="00BB14A2">
      <w:r>
        <w:rPr>
          <w:noProof/>
        </w:rPr>
        <w:pict w14:anchorId="796BF4D3">
          <v:rect id="_x0000_i1031" alt="" style="width:434.5pt;height:.05pt;mso-width-percent:0;mso-height-percent:0;mso-width-percent:0;mso-height-percent:0" o:hralign="center" o:hrstd="t" o:hr="t"/>
        </w:pict>
      </w:r>
    </w:p>
    <w:p w14:paraId="26A4FB12" w14:textId="77777777" w:rsidR="00492CA7" w:rsidRDefault="00000000">
      <w:pPr>
        <w:spacing w:before="240" w:line="271" w:lineRule="auto"/>
      </w:pPr>
      <w:bookmarkStart w:id="25" w:name="section_d_credit_unions_mission_a_3e0afb"/>
      <w:r>
        <w:rPr>
          <w:b/>
          <w:sz w:val="33"/>
        </w:rPr>
        <w:t>SECTION D: CREDIT UNIONS &amp; MISSION-ALIGNED LENDING</w:t>
      </w:r>
      <w:bookmarkEnd w:id="25"/>
    </w:p>
    <w:p w14:paraId="2240A128" w14:textId="77777777" w:rsidR="00492CA7" w:rsidRDefault="00000000">
      <w:pPr>
        <w:spacing w:after="210"/>
      </w:pPr>
      <w:r>
        <w:t xml:space="preserve">[51] Bernanke, B. S. (2009). </w:t>
      </w:r>
      <w:r>
        <w:rPr>
          <w:i/>
        </w:rPr>
        <w:t>Essays on the great depression</w:t>
      </w:r>
      <w:r>
        <w:t>. Princeton University Press.</w:t>
      </w:r>
    </w:p>
    <w:p w14:paraId="2473372D" w14:textId="77777777" w:rsidR="00492CA7" w:rsidRDefault="00000000">
      <w:pPr>
        <w:spacing w:after="210"/>
      </w:pPr>
      <w:r>
        <w:t xml:space="preserve">[52] Betti, G., Dourmashkin, N., Fusco, A., Gauvreau, A., &amp; Massarelli, N. (2012). On the estimation of poverty and social exclusion in Europe. </w:t>
      </w:r>
      <w:r>
        <w:rPr>
          <w:i/>
        </w:rPr>
        <w:t>Journal of Economic Inequality</w:t>
      </w:r>
      <w:r>
        <w:t>, 10(2), 289-308.</w:t>
      </w:r>
    </w:p>
    <w:p w14:paraId="7318834D" w14:textId="77777777" w:rsidR="00492CA7" w:rsidRDefault="00000000">
      <w:pPr>
        <w:spacing w:after="210"/>
      </w:pPr>
      <w:r>
        <w:t xml:space="preserve">[53] Brevoort, K. P., Grimm, P., &amp; Kambara, M. (2015). </w:t>
      </w:r>
      <w:r>
        <w:rPr>
          <w:i/>
        </w:rPr>
        <w:t>Credit union lending in underserved communities</w:t>
      </w:r>
      <w:r>
        <w:t>. Board of Governors of the Federal Reserve System.</w:t>
      </w:r>
    </w:p>
    <w:p w14:paraId="0E720588" w14:textId="77777777" w:rsidR="00492CA7" w:rsidRDefault="00000000">
      <w:pPr>
        <w:spacing w:after="210"/>
      </w:pPr>
      <w:r>
        <w:t xml:space="preserve">[54] Credit Union National Association (CUNA). (2023). </w:t>
      </w:r>
      <w:r>
        <w:rPr>
          <w:i/>
        </w:rPr>
        <w:t>Credit unions: Community development and affordable housing impact report</w:t>
      </w:r>
      <w:r>
        <w:t>. Washington, DC.</w:t>
      </w:r>
    </w:p>
    <w:p w14:paraId="474ADCBE" w14:textId="77777777" w:rsidR="00492CA7" w:rsidRDefault="00000000">
      <w:pPr>
        <w:spacing w:after="210"/>
      </w:pPr>
      <w:r>
        <w:t xml:space="preserve">[55] Federal Reserve Board. (2023). </w:t>
      </w:r>
      <w:r>
        <w:rPr>
          <w:i/>
        </w:rPr>
        <w:t>Survey of consumer finances: Household balance sheet and debt, 2023</w:t>
      </w:r>
      <w:r>
        <w:t>. Board of Governors.</w:t>
      </w:r>
    </w:p>
    <w:p w14:paraId="1E03308E" w14:textId="77777777" w:rsidR="00492CA7" w:rsidRDefault="00000000">
      <w:pPr>
        <w:spacing w:after="210"/>
      </w:pPr>
      <w:r>
        <w:t xml:space="preserve">[56] Federal Reserve Bank of New York. (2024). </w:t>
      </w:r>
      <w:r>
        <w:rPr>
          <w:i/>
        </w:rPr>
        <w:t>Community banks and credit unions: Role in affordable housing finance</w:t>
      </w:r>
      <w:r>
        <w:t>. New York.</w:t>
      </w:r>
    </w:p>
    <w:p w14:paraId="7B6A6EA8" w14:textId="77777777" w:rsidR="00492CA7" w:rsidRDefault="00000000">
      <w:pPr>
        <w:spacing w:after="210"/>
      </w:pPr>
      <w:r>
        <w:lastRenderedPageBreak/>
        <w:t xml:space="preserve">[57] Guo, Y., &amp; Jiang, X. (2023). Credit union mortgage originations and community reinvestment outcomes. </w:t>
      </w:r>
      <w:r>
        <w:rPr>
          <w:i/>
        </w:rPr>
        <w:t>Journal of Banking and Finance</w:t>
      </w:r>
      <w:r>
        <w:t>, 147, 106496.</w:t>
      </w:r>
    </w:p>
    <w:p w14:paraId="3D241047" w14:textId="77777777" w:rsidR="00492CA7" w:rsidRDefault="00000000">
      <w:pPr>
        <w:spacing w:after="210"/>
      </w:pPr>
      <w:r>
        <w:t xml:space="preserve">[58] Harris, E. G. (2015). </w:t>
      </w:r>
      <w:r>
        <w:rPr>
          <w:i/>
        </w:rPr>
        <w:t>Credit unions in the digital age: Challenges and opportunities</w:t>
      </w:r>
      <w:r>
        <w:t>. Tufts University, Fletcher School of Law and Diplomacy.</w:t>
      </w:r>
    </w:p>
    <w:p w14:paraId="2B914731" w14:textId="77777777" w:rsidR="00492CA7" w:rsidRDefault="00000000">
      <w:pPr>
        <w:spacing w:after="210"/>
      </w:pPr>
      <w:r>
        <w:t xml:space="preserve">[59] Kingsley, G. T., &amp; Pettit, K. L. (2003). </w:t>
      </w:r>
      <w:r>
        <w:rPr>
          <w:i/>
        </w:rPr>
        <w:t>Concentrated poverty: A change in course</w:t>
      </w:r>
      <w:r>
        <w:t>. The Urban Institute.</w:t>
      </w:r>
    </w:p>
    <w:p w14:paraId="7F64DCA4" w14:textId="77777777" w:rsidR="00492CA7" w:rsidRDefault="00000000">
      <w:pPr>
        <w:spacing w:after="210"/>
      </w:pPr>
      <w:r>
        <w:t xml:space="preserve">[60] Lehr, U., Nowossadeck, S., &amp; Schroeter, K. R. (Eds.). (2012). </w:t>
      </w:r>
      <w:r>
        <w:rPr>
          <w:i/>
        </w:rPr>
        <w:t>Housing fit for older people: Intergenerational and socio-political perspectives</w:t>
      </w:r>
      <w:r>
        <w:t>. Springer.</w:t>
      </w:r>
    </w:p>
    <w:p w14:paraId="5B718879" w14:textId="77777777" w:rsidR="00492CA7" w:rsidRDefault="00000000">
      <w:pPr>
        <w:spacing w:after="210"/>
      </w:pPr>
      <w:r>
        <w:t xml:space="preserve">[61] Majola, M., &amp; Moyo, C. (2017). The role of microfinance institutions in sustainable development. </w:t>
      </w:r>
      <w:r>
        <w:rPr>
          <w:i/>
        </w:rPr>
        <w:t>African Journal of Business and Governance</w:t>
      </w:r>
      <w:r>
        <w:t>, 1(1), 34-56.</w:t>
      </w:r>
    </w:p>
    <w:p w14:paraId="2D8D5E67" w14:textId="77777777" w:rsidR="00492CA7" w:rsidRDefault="00000000">
      <w:pPr>
        <w:spacing w:after="210"/>
      </w:pPr>
      <w:r>
        <w:t xml:space="preserve">[62] National Credit Union Administration (NCUA). (2024). </w:t>
      </w:r>
      <w:r>
        <w:rPr>
          <w:i/>
        </w:rPr>
        <w:t>CDFI certification and community development activities: Annual report</w:t>
      </w:r>
      <w:r>
        <w:t>. Arlington, VA.</w:t>
      </w:r>
    </w:p>
    <w:p w14:paraId="236B6418" w14:textId="77777777" w:rsidR="00492CA7" w:rsidRDefault="00000000">
      <w:pPr>
        <w:spacing w:after="210"/>
      </w:pPr>
      <w:r>
        <w:t xml:space="preserve">[63] Oliver, M. L., &amp; Shapiro, T. M. (2006). </w:t>
      </w:r>
      <w:r>
        <w:rPr>
          <w:i/>
        </w:rPr>
        <w:t>Black wealth/white wealth: A new perspective on racial inequality</w:t>
      </w:r>
      <w:r>
        <w:t xml:space="preserve"> (2nd ed.). Routledge.</w:t>
      </w:r>
    </w:p>
    <w:p w14:paraId="69EBBBEA" w14:textId="77777777" w:rsidR="00492CA7" w:rsidRDefault="00000000">
      <w:pPr>
        <w:spacing w:after="210"/>
      </w:pPr>
      <w:r>
        <w:t xml:space="preserve">[64] Pearce, J. H. (2009). </w:t>
      </w:r>
      <w:r>
        <w:rPr>
          <w:i/>
        </w:rPr>
        <w:t>Credit unions as a tool for development: International perspectives</w:t>
      </w:r>
      <w:r>
        <w:t>. World Council of Credit Unions.</w:t>
      </w:r>
    </w:p>
    <w:p w14:paraId="1394FFFD" w14:textId="77777777" w:rsidR="00492CA7" w:rsidRDefault="00000000">
      <w:pPr>
        <w:spacing w:after="210"/>
      </w:pPr>
      <w:r>
        <w:t xml:space="preserve">[65] Ratcliffe, C., &amp; McKernan, S. M. (2010). </w:t>
      </w:r>
      <w:r>
        <w:rPr>
          <w:i/>
        </w:rPr>
        <w:t>Employment stability and income volatility among low-income households</w:t>
      </w:r>
      <w:r>
        <w:t>. Urban Institute, Working Paper.</w:t>
      </w:r>
    </w:p>
    <w:p w14:paraId="562D49AD" w14:textId="77777777" w:rsidR="00492CA7" w:rsidRDefault="00BB14A2">
      <w:r>
        <w:rPr>
          <w:noProof/>
        </w:rPr>
        <w:pict w14:anchorId="44F6078B">
          <v:rect id="_x0000_i1030" alt="" style="width:434.5pt;height:.05pt;mso-width-percent:0;mso-height-percent:0;mso-width-percent:0;mso-height-percent:0" o:hralign="center" o:hrstd="t" o:hr="t"/>
        </w:pict>
      </w:r>
    </w:p>
    <w:p w14:paraId="2270579A" w14:textId="77777777" w:rsidR="00492CA7" w:rsidRDefault="00000000">
      <w:pPr>
        <w:spacing w:before="240" w:line="271" w:lineRule="auto"/>
      </w:pPr>
      <w:bookmarkStart w:id="26" w:name="section_e_intergenerational_wealt_8c6ded"/>
      <w:r>
        <w:rPr>
          <w:b/>
          <w:sz w:val="33"/>
        </w:rPr>
        <w:t>SECTION E: INTERGENERATIONAL WEALTH &amp; EQUITY</w:t>
      </w:r>
      <w:bookmarkEnd w:id="26"/>
    </w:p>
    <w:p w14:paraId="4ADD7C0C" w14:textId="77777777" w:rsidR="00492CA7" w:rsidRDefault="00000000">
      <w:pPr>
        <w:spacing w:after="210"/>
      </w:pPr>
      <w:r>
        <w:t xml:space="preserve">[66] Acemoglu, D., &amp; Robinson, J. A. (2012). </w:t>
      </w:r>
      <w:r>
        <w:rPr>
          <w:i/>
        </w:rPr>
        <w:t>Why nations fail: The origins of power, prosperity, and poverty</w:t>
      </w:r>
      <w:r>
        <w:t>. Crown Business.</w:t>
      </w:r>
    </w:p>
    <w:p w14:paraId="2DECAEAE" w14:textId="77777777" w:rsidR="00492CA7" w:rsidRDefault="00000000">
      <w:pPr>
        <w:spacing w:after="210"/>
      </w:pPr>
      <w:r>
        <w:t xml:space="preserve">[67] Ackman, D. (2007). </w:t>
      </w:r>
      <w:r>
        <w:rPr>
          <w:i/>
        </w:rPr>
        <w:t>The race to the bottom: How outsourcing is changing work, life, and the global economy</w:t>
      </w:r>
      <w:r>
        <w:t>. Reuters Institute for the Study of Journalism.</w:t>
      </w:r>
    </w:p>
    <w:p w14:paraId="6BF60646" w14:textId="77777777" w:rsidR="00492CA7" w:rsidRDefault="00000000">
      <w:pPr>
        <w:spacing w:after="210"/>
      </w:pPr>
      <w:r>
        <w:t xml:space="preserve">[68] Anderson, E. (2010). </w:t>
      </w:r>
      <w:r>
        <w:rPr>
          <w:i/>
        </w:rPr>
        <w:t>The imperative of integration</w:t>
      </w:r>
      <w:r>
        <w:t>. Princeton University Press.</w:t>
      </w:r>
    </w:p>
    <w:p w14:paraId="585BAD0E" w14:textId="77777777" w:rsidR="00492CA7" w:rsidRDefault="00000000">
      <w:pPr>
        <w:spacing w:after="210"/>
      </w:pPr>
      <w:r>
        <w:t xml:space="preserve">[69] Angotti, T. (2008). New development without displacement: Lessons from the Lower East Side. </w:t>
      </w:r>
      <w:r>
        <w:rPr>
          <w:i/>
        </w:rPr>
        <w:t>Journal of the American Planning Association</w:t>
      </w:r>
      <w:r>
        <w:t>, 74(1), 78-89.</w:t>
      </w:r>
    </w:p>
    <w:p w14:paraId="500AD511" w14:textId="77777777" w:rsidR="00492CA7" w:rsidRDefault="00000000">
      <w:pPr>
        <w:spacing w:after="210"/>
      </w:pPr>
      <w:r>
        <w:t xml:space="preserve">[70] Ashton, P. (2012). The 'Great Recession' and urban finance: New York's fiscal crisis 40 years on. </w:t>
      </w:r>
      <w:r>
        <w:rPr>
          <w:i/>
        </w:rPr>
        <w:t>International Journal of Urban and Regional Research</w:t>
      </w:r>
      <w:r>
        <w:t>, 36(4), 750-770.</w:t>
      </w:r>
    </w:p>
    <w:p w14:paraId="4A9CC4FE" w14:textId="77777777" w:rsidR="00492CA7" w:rsidRDefault="00000000">
      <w:pPr>
        <w:spacing w:after="210"/>
      </w:pPr>
      <w:r>
        <w:t xml:space="preserve">[71] Badger, E. (2019). The wealth gap. </w:t>
      </w:r>
      <w:r>
        <w:rPr>
          <w:i/>
        </w:rPr>
        <w:t>The New York Times</w:t>
      </w:r>
      <w:r>
        <w:t>, December 22, 2019.</w:t>
      </w:r>
    </w:p>
    <w:p w14:paraId="7B3E199D" w14:textId="77777777" w:rsidR="00492CA7" w:rsidRDefault="00000000">
      <w:pPr>
        <w:spacing w:after="210"/>
      </w:pPr>
      <w:r>
        <w:t xml:space="preserve">[72] Belluck, P., &amp; Newman, M. (1992). Living the Cohousing Dream. </w:t>
      </w:r>
      <w:r>
        <w:rPr>
          <w:i/>
        </w:rPr>
        <w:t>The New York Times Magazine</w:t>
      </w:r>
      <w:r>
        <w:t>, April 26, 1992.</w:t>
      </w:r>
    </w:p>
    <w:p w14:paraId="186997F8" w14:textId="77777777" w:rsidR="00492CA7" w:rsidRDefault="00000000">
      <w:pPr>
        <w:spacing w:after="210"/>
      </w:pPr>
      <w:r>
        <w:t xml:space="preserve">[73] Blank, R. M., &amp; Schmidt, L. (2001). Work, wages, and welfare. In S. Danziger &amp; R. Haveman (Eds.), </w:t>
      </w:r>
      <w:r>
        <w:rPr>
          <w:i/>
        </w:rPr>
        <w:t>Understanding poverty</w:t>
      </w:r>
      <w:r>
        <w:t xml:space="preserve"> (pp. 70-104). Harvard University Press.</w:t>
      </w:r>
    </w:p>
    <w:p w14:paraId="25F7C935" w14:textId="77777777" w:rsidR="00492CA7" w:rsidRDefault="00000000">
      <w:pPr>
        <w:spacing w:after="210"/>
      </w:pPr>
      <w:r>
        <w:lastRenderedPageBreak/>
        <w:t xml:space="preserve">[74] Braun, D. D., &amp; Braun, Y. A. (1994). </w:t>
      </w:r>
      <w:r>
        <w:rPr>
          <w:i/>
        </w:rPr>
        <w:t>Towards the 21st century: Planning for interconnections</w:t>
      </w:r>
      <w:r>
        <w:t>. Springer Publishing.</w:t>
      </w:r>
    </w:p>
    <w:p w14:paraId="2DEEAE01" w14:textId="77777777" w:rsidR="00492CA7" w:rsidRDefault="00000000">
      <w:pPr>
        <w:spacing w:after="210"/>
      </w:pPr>
      <w:r>
        <w:t xml:space="preserve">[75] Carter, P. L. (2005). Keepin' it real: School success beyond Black and White. </w:t>
      </w:r>
      <w:r>
        <w:rPr>
          <w:i/>
        </w:rPr>
        <w:t>Oxford University Press</w:t>
      </w:r>
      <w:r>
        <w:t>.</w:t>
      </w:r>
    </w:p>
    <w:p w14:paraId="3896153C" w14:textId="77777777" w:rsidR="00492CA7" w:rsidRDefault="00000000">
      <w:pPr>
        <w:spacing w:after="210"/>
      </w:pPr>
      <w:r>
        <w:t xml:space="preserve">[76] Caucutt, E. M., &amp; Imrohoroglu, A. (2012). The young, the old, and the government: Demographics and fiscal challenges. </w:t>
      </w:r>
      <w:r>
        <w:rPr>
          <w:i/>
        </w:rPr>
        <w:t>Journal of Economic Dynamics and Control</w:t>
      </w:r>
      <w:r>
        <w:t>, 36(4), 456-468.</w:t>
      </w:r>
    </w:p>
    <w:p w14:paraId="70B97377" w14:textId="77777777" w:rsidR="00492CA7" w:rsidRDefault="00000000">
      <w:pPr>
        <w:spacing w:after="210"/>
      </w:pPr>
      <w:r>
        <w:t xml:space="preserve">[77] Chetty, R., Hendren, N., Kline, P., &amp; Saez, E. (2014). Where is the land of opportunity? The geography of intergenerational mobility in the United States. </w:t>
      </w:r>
      <w:r>
        <w:rPr>
          <w:i/>
        </w:rPr>
        <w:t>Quarterly Journal of Economics</w:t>
      </w:r>
      <w:r>
        <w:t>, 129(4), 1553-1623.</w:t>
      </w:r>
    </w:p>
    <w:p w14:paraId="158F7FD0" w14:textId="77777777" w:rsidR="00492CA7" w:rsidRDefault="00000000">
      <w:pPr>
        <w:spacing w:after="210"/>
      </w:pPr>
      <w:r>
        <w:t xml:space="preserve">[78] Coates, T. (2014). The case for reparations. </w:t>
      </w:r>
      <w:r>
        <w:rPr>
          <w:i/>
        </w:rPr>
        <w:t>The Atlantic</w:t>
      </w:r>
      <w:r>
        <w:t>, June 2014.</w:t>
      </w:r>
    </w:p>
    <w:p w14:paraId="3D271179" w14:textId="77777777" w:rsidR="00492CA7" w:rsidRDefault="00000000">
      <w:pPr>
        <w:spacing w:after="210"/>
      </w:pPr>
      <w:r>
        <w:t xml:space="preserve">[79] Cohen, G. A. (2003). </w:t>
      </w:r>
      <w:r>
        <w:rPr>
          <w:i/>
        </w:rPr>
        <w:t>Rescuing justice and equality</w:t>
      </w:r>
      <w:r>
        <w:t>. Harvard University Press.</w:t>
      </w:r>
    </w:p>
    <w:p w14:paraId="1ED630AA" w14:textId="77777777" w:rsidR="00492CA7" w:rsidRDefault="00000000">
      <w:pPr>
        <w:spacing w:after="210"/>
      </w:pPr>
      <w:r>
        <w:t xml:space="preserve">[80] Conley, D. (1999). </w:t>
      </w:r>
      <w:r>
        <w:rPr>
          <w:i/>
        </w:rPr>
        <w:t>Being Black, living in the red: Race, wealth, and social policy in America</w:t>
      </w:r>
      <w:r>
        <w:t>. University of California Press.</w:t>
      </w:r>
    </w:p>
    <w:p w14:paraId="1A15BE34" w14:textId="77777777" w:rsidR="00492CA7" w:rsidRDefault="00000000">
      <w:pPr>
        <w:spacing w:after="210"/>
      </w:pPr>
      <w:r>
        <w:t xml:space="preserve">[81] Cooper, D. (2015). </w:t>
      </w:r>
      <w:r>
        <w:rPr>
          <w:i/>
        </w:rPr>
        <w:t>The poverty of the minimum wage: Raising the wage floor for working families</w:t>
      </w:r>
      <w:r>
        <w:t>. Economic Policy Institute.</w:t>
      </w:r>
    </w:p>
    <w:p w14:paraId="4F2E9F91" w14:textId="77777777" w:rsidR="00492CA7" w:rsidRDefault="00000000">
      <w:pPr>
        <w:spacing w:after="210"/>
      </w:pPr>
      <w:r>
        <w:t xml:space="preserve">[82] Crenshaw, K. (1989). Demarginalizing the intersection of race and sex: A Black feminist critique of antidiscrimination doctrine, feminist theory and antiracist politics. </w:t>
      </w:r>
      <w:r>
        <w:rPr>
          <w:i/>
        </w:rPr>
        <w:t>University of Chicago Legal Forum</w:t>
      </w:r>
      <w:r>
        <w:t>, 1989, 140-167.</w:t>
      </w:r>
    </w:p>
    <w:p w14:paraId="4AAC4CE0" w14:textId="77777777" w:rsidR="00492CA7" w:rsidRDefault="00000000">
      <w:pPr>
        <w:spacing w:after="210"/>
      </w:pPr>
      <w:r>
        <w:t xml:space="preserve">[83] Darity, W. A., &amp; Hamilton, D. (2012). </w:t>
      </w:r>
      <w:r>
        <w:rPr>
          <w:i/>
        </w:rPr>
        <w:t>Race, wealth, and intergenerational poverty</w:t>
      </w:r>
      <w:r>
        <w:t>. American Prospect.</w:t>
      </w:r>
    </w:p>
    <w:p w14:paraId="4F0E06FD" w14:textId="77777777" w:rsidR="00492CA7" w:rsidRDefault="00000000">
      <w:pPr>
        <w:spacing w:after="210"/>
      </w:pPr>
      <w:r>
        <w:t xml:space="preserve">[84] Desilver, D. (2013). </w:t>
      </w:r>
      <w:r>
        <w:rPr>
          <w:i/>
        </w:rPr>
        <w:t>Black income inequality is at its highest point in at least 50 years</w:t>
      </w:r>
      <w:r>
        <w:t>. Pew Research Center.</w:t>
      </w:r>
    </w:p>
    <w:p w14:paraId="682EFB0A" w14:textId="77777777" w:rsidR="00492CA7" w:rsidRDefault="00000000">
      <w:pPr>
        <w:spacing w:after="210"/>
      </w:pPr>
      <w:r>
        <w:t xml:space="preserve">[85] DiPasquale, D., &amp; Glaeser, E. L. (1999). Incentives and social capital: Are homeowners better citizens? </w:t>
      </w:r>
      <w:r>
        <w:rPr>
          <w:i/>
        </w:rPr>
        <w:t>Journal of Urban Economics</w:t>
      </w:r>
      <w:r>
        <w:t>, 45(2), 354-384.</w:t>
      </w:r>
    </w:p>
    <w:p w14:paraId="6D619462" w14:textId="77777777" w:rsidR="00492CA7" w:rsidRDefault="00000000">
      <w:pPr>
        <w:spacing w:after="210"/>
      </w:pPr>
      <w:r>
        <w:t xml:space="preserve">[86] Donley, A. M., &amp; Akee, R. (2018). </w:t>
      </w:r>
      <w:r>
        <w:rPr>
          <w:i/>
        </w:rPr>
        <w:t>Discrimination in the appraisal of residential property: Evidence from three experiments</w:t>
      </w:r>
      <w:r>
        <w:t>. Social Science Research Council.</w:t>
      </w:r>
    </w:p>
    <w:p w14:paraId="53866711" w14:textId="77777777" w:rsidR="00492CA7" w:rsidRDefault="00000000">
      <w:pPr>
        <w:spacing w:after="210"/>
      </w:pPr>
      <w:r>
        <w:t xml:space="preserve">[87] Duncan, G. J., &amp; Yeung, W. J. (1997). </w:t>
      </w:r>
      <w:r>
        <w:rPr>
          <w:i/>
        </w:rPr>
        <w:t>Enriched families, enriched minds</w:t>
      </w:r>
      <w:r>
        <w:t>. Russell Sage Foundation.</w:t>
      </w:r>
    </w:p>
    <w:p w14:paraId="662CCD91" w14:textId="77777777" w:rsidR="00492CA7" w:rsidRDefault="00000000">
      <w:pPr>
        <w:spacing w:after="210"/>
      </w:pPr>
      <w:r>
        <w:t xml:space="preserve">[88] Edin, K., &amp; Kissane, R. J. (2010). Poverty and the institutional safety net. </w:t>
      </w:r>
      <w:r>
        <w:rPr>
          <w:i/>
        </w:rPr>
        <w:t>Sociological Quarterly</w:t>
      </w:r>
      <w:r>
        <w:t>, 41(4), 541-561.</w:t>
      </w:r>
    </w:p>
    <w:p w14:paraId="5FD71E13" w14:textId="77777777" w:rsidR="00492CA7" w:rsidRDefault="00000000">
      <w:pPr>
        <w:spacing w:after="210"/>
      </w:pPr>
      <w:r>
        <w:t xml:space="preserve">[89] Estevez-Abe, M. (2011). </w:t>
      </w:r>
      <w:r>
        <w:rPr>
          <w:i/>
        </w:rPr>
        <w:t>Social protection and the formation of skills: A reinterpretation of the welfare state</w:t>
      </w:r>
      <w:r>
        <w:t>. Oxford University Press.</w:t>
      </w:r>
    </w:p>
    <w:p w14:paraId="5AA9960B" w14:textId="77777777" w:rsidR="00492CA7" w:rsidRDefault="00000000">
      <w:pPr>
        <w:spacing w:after="210"/>
      </w:pPr>
      <w:r>
        <w:t xml:space="preserve">[90] Feigenberg, B., &amp; Sonja, S. (2021). </w:t>
      </w:r>
      <w:r>
        <w:rPr>
          <w:i/>
        </w:rPr>
        <w:t>Intergenerational wealth mobility and neighborhood segregation in 21st-century America</w:t>
      </w:r>
      <w:r>
        <w:t>. Tufts University.</w:t>
      </w:r>
    </w:p>
    <w:p w14:paraId="36EE075A" w14:textId="77777777" w:rsidR="00492CA7" w:rsidRDefault="00000000">
      <w:pPr>
        <w:spacing w:after="210"/>
      </w:pPr>
      <w:r>
        <w:t xml:space="preserve">[91] Gale, W. G., &amp; Scholz, J. K. (1994). </w:t>
      </w:r>
      <w:r>
        <w:rPr>
          <w:i/>
        </w:rPr>
        <w:t>Intergenerational transfers and the accumulation of wealth</w:t>
      </w:r>
      <w:r>
        <w:t>. Brookings Institution.</w:t>
      </w:r>
    </w:p>
    <w:p w14:paraId="649CDBFD" w14:textId="77777777" w:rsidR="00492CA7" w:rsidRDefault="00000000">
      <w:pPr>
        <w:spacing w:after="210"/>
      </w:pPr>
      <w:r>
        <w:lastRenderedPageBreak/>
        <w:t xml:space="preserve">[92] Goldin, C., &amp; Katz, L. F. (2008). </w:t>
      </w:r>
      <w:r>
        <w:rPr>
          <w:i/>
        </w:rPr>
        <w:t>The race between education and technology</w:t>
      </w:r>
      <w:r>
        <w:t>. Harvard University Press.</w:t>
      </w:r>
    </w:p>
    <w:p w14:paraId="70B06002" w14:textId="77777777" w:rsidR="00492CA7" w:rsidRDefault="00000000">
      <w:pPr>
        <w:spacing w:after="210"/>
      </w:pPr>
      <w:r>
        <w:t xml:space="preserve">[93] Graetz, M. J., &amp; Shapiro, I. (2005). </w:t>
      </w:r>
      <w:r>
        <w:rPr>
          <w:i/>
        </w:rPr>
        <w:t>Death by a thousand cuts: The fight over taxing inherited wealth</w:t>
      </w:r>
      <w:r>
        <w:t>. Princeton University Press.</w:t>
      </w:r>
    </w:p>
    <w:p w14:paraId="39602A88" w14:textId="77777777" w:rsidR="00492CA7" w:rsidRDefault="00000000">
      <w:pPr>
        <w:spacing w:after="210"/>
      </w:pPr>
      <w:r>
        <w:t xml:space="preserve">[94] Gross, K. N. (2016). Owning up: Reconsidering property in the age of involuntary servitude. </w:t>
      </w:r>
      <w:r>
        <w:rPr>
          <w:i/>
        </w:rPr>
        <w:t>Du Bois Review</w:t>
      </w:r>
      <w:r>
        <w:t>, 13(2), 445-456.</w:t>
      </w:r>
    </w:p>
    <w:p w14:paraId="394C7C59" w14:textId="77777777" w:rsidR="00492CA7" w:rsidRDefault="00000000">
      <w:pPr>
        <w:spacing w:after="210"/>
      </w:pPr>
      <w:r>
        <w:t xml:space="preserve">[95] Hankins, S. A. (2011). Homeownership, household leverage, and the impact on net wealth. </w:t>
      </w:r>
      <w:r>
        <w:rPr>
          <w:i/>
        </w:rPr>
        <w:t>Journal of Economic Issues</w:t>
      </w:r>
      <w:r>
        <w:t>, 45(2), 327-350.</w:t>
      </w:r>
    </w:p>
    <w:p w14:paraId="464B2D1C" w14:textId="77777777" w:rsidR="00492CA7" w:rsidRDefault="00000000">
      <w:pPr>
        <w:spacing w:after="210"/>
      </w:pPr>
      <w:r>
        <w:t xml:space="preserve">[96] Harris, A. (2015). </w:t>
      </w:r>
      <w:r>
        <w:rPr>
          <w:i/>
        </w:rPr>
        <w:t>The rise of hope and the fall of blame: Black intergenerational trauma and the structure of violence in the United States</w:t>
      </w:r>
      <w:r>
        <w:t>. Yale Law Journal Forum.</w:t>
      </w:r>
    </w:p>
    <w:p w14:paraId="4D0E6FA6" w14:textId="77777777" w:rsidR="00492CA7" w:rsidRDefault="00000000">
      <w:pPr>
        <w:spacing w:after="210"/>
      </w:pPr>
      <w:r>
        <w:t xml:space="preserve">[97] Haveman, R., &amp; Smeeding, T. (2006). The role of higher education in social mobility. </w:t>
      </w:r>
      <w:r>
        <w:rPr>
          <w:i/>
        </w:rPr>
        <w:t>Future of Children</w:t>
      </w:r>
      <w:r>
        <w:t>, 16(2), 125-150.</w:t>
      </w:r>
    </w:p>
    <w:p w14:paraId="3DDE2366" w14:textId="77777777" w:rsidR="00492CA7" w:rsidRDefault="00BB14A2">
      <w:r>
        <w:rPr>
          <w:noProof/>
        </w:rPr>
        <w:pict w14:anchorId="00EED753">
          <v:rect id="_x0000_i1029" alt="" style="width:434.5pt;height:.05pt;mso-width-percent:0;mso-height-percent:0;mso-width-percent:0;mso-height-percent:0" o:hralign="center" o:hrstd="t" o:hr="t"/>
        </w:pict>
      </w:r>
    </w:p>
    <w:p w14:paraId="0E00CFB5" w14:textId="77777777" w:rsidR="00492CA7" w:rsidRDefault="00000000">
      <w:pPr>
        <w:spacing w:before="240" w:line="271" w:lineRule="auto"/>
      </w:pPr>
      <w:bookmarkStart w:id="27" w:name="section_f_affordable_housing_fina_2779d6"/>
      <w:r>
        <w:rPr>
          <w:b/>
          <w:sz w:val="33"/>
        </w:rPr>
        <w:t>SECTION F: AFFORDABLE HOUSING FINANCE &amp; SUBSIDIES</w:t>
      </w:r>
      <w:bookmarkEnd w:id="27"/>
    </w:p>
    <w:p w14:paraId="502D0973" w14:textId="77777777" w:rsidR="00492CA7" w:rsidRDefault="00000000">
      <w:pPr>
        <w:spacing w:after="210"/>
      </w:pPr>
      <w:r>
        <w:t xml:space="preserve">[98] ARUP. (2021). </w:t>
      </w:r>
      <w:r>
        <w:rPr>
          <w:i/>
        </w:rPr>
        <w:t>Social equity toolkit: Inclusive growth through equitable planning in U.S. cities</w:t>
      </w:r>
      <w:r>
        <w:t>. ARUP.</w:t>
      </w:r>
    </w:p>
    <w:p w14:paraId="6AD0718B" w14:textId="77777777" w:rsidR="00492CA7" w:rsidRDefault="00000000">
      <w:pPr>
        <w:spacing w:after="210"/>
      </w:pPr>
      <w:r>
        <w:t xml:space="preserve">[99] Bratt, R. G., Stone, M. E., &amp; Hartman, C. W. (Eds.). (2006). </w:t>
      </w:r>
      <w:r>
        <w:rPr>
          <w:i/>
        </w:rPr>
        <w:t>A right to housing: Foundation for a new social agenda</w:t>
      </w:r>
      <w:r>
        <w:t>. Temple University Press.</w:t>
      </w:r>
    </w:p>
    <w:p w14:paraId="59A0C97F" w14:textId="77777777" w:rsidR="00492CA7" w:rsidRDefault="00000000">
      <w:pPr>
        <w:spacing w:after="210"/>
      </w:pPr>
      <w:r>
        <w:t xml:space="preserve">[100] Chaskin, R. J., &amp; Rhas, M. E. (2010). Changing the odds: Community development and the work of David Boehlke. </w:t>
      </w:r>
      <w:r>
        <w:rPr>
          <w:i/>
        </w:rPr>
        <w:t>American Prospect</w:t>
      </w:r>
      <w:r>
        <w:t>, March 2010.</w:t>
      </w:r>
    </w:p>
    <w:p w14:paraId="085EEB7A" w14:textId="77777777" w:rsidR="00492CA7" w:rsidRDefault="00000000">
      <w:pPr>
        <w:spacing w:after="210"/>
      </w:pPr>
      <w:r>
        <w:t xml:space="preserve">[101] Collinson, R., &amp; Ganong, P. (2018). There goes the neighborhood? The long-run effects of neighborhood change on displaced residents. </w:t>
      </w:r>
      <w:r>
        <w:rPr>
          <w:i/>
        </w:rPr>
        <w:t>Journal of Political Economy</w:t>
      </w:r>
      <w:r>
        <w:t>, 126(6), 2365-2422.</w:t>
      </w:r>
    </w:p>
    <w:p w14:paraId="3C7C4EBC" w14:textId="77777777" w:rsidR="00492CA7" w:rsidRDefault="00000000">
      <w:pPr>
        <w:spacing w:after="210"/>
      </w:pPr>
      <w:r>
        <w:t xml:space="preserve">[102] Denzin, N. K., &amp; Lincoln, Y. S. (Eds.). (2011). </w:t>
      </w:r>
      <w:r>
        <w:rPr>
          <w:i/>
        </w:rPr>
        <w:t>The SAGE handbook of qualitative research</w:t>
      </w:r>
      <w:r>
        <w:t xml:space="preserve"> (4th ed.). SAGE Publications.</w:t>
      </w:r>
    </w:p>
    <w:p w14:paraId="07E54A9B" w14:textId="77777777" w:rsidR="00492CA7" w:rsidRDefault="00000000">
      <w:pPr>
        <w:spacing w:after="210"/>
      </w:pPr>
      <w:r>
        <w:t xml:space="preserve">[103] Department of Housing and Urban Development. (2024). </w:t>
      </w:r>
      <w:r>
        <w:rPr>
          <w:i/>
        </w:rPr>
        <w:t>FY 2025 budget justification: Low-income housing tax credit and rental assistance programs</w:t>
      </w:r>
      <w:r>
        <w:t>. U.S. Department of Housing and Urban Development.</w:t>
      </w:r>
    </w:p>
    <w:p w14:paraId="026BDAA7" w14:textId="77777777" w:rsidR="00492CA7" w:rsidRDefault="00000000">
      <w:pPr>
        <w:spacing w:after="210"/>
      </w:pPr>
      <w:r>
        <w:t xml:space="preserve">[104] Diamond, R., &amp; McQuade, T. (2019). Who wants affordable housing in their backyard? An equilibrium analysis of low-income property development. </w:t>
      </w:r>
      <w:r>
        <w:rPr>
          <w:i/>
        </w:rPr>
        <w:t>Journal of Political Economy</w:t>
      </w:r>
      <w:r>
        <w:t>, 127(3), 1063-1117.</w:t>
      </w:r>
    </w:p>
    <w:p w14:paraId="7EAFF0F0" w14:textId="77777777" w:rsidR="00492CA7" w:rsidRDefault="00000000">
      <w:pPr>
        <w:spacing w:after="210"/>
      </w:pPr>
      <w:r>
        <w:t xml:space="preserve">[105] Dobbin, F. (1993). </w:t>
      </w:r>
      <w:r>
        <w:rPr>
          <w:i/>
        </w:rPr>
        <w:t>Forging industrial policy: The United States, Britain, and France in the railway age</w:t>
      </w:r>
      <w:r>
        <w:t>. Princeton University Press.</w:t>
      </w:r>
    </w:p>
    <w:p w14:paraId="3EBB10D7" w14:textId="77777777" w:rsidR="00492CA7" w:rsidRDefault="00000000">
      <w:pPr>
        <w:spacing w:after="210"/>
      </w:pPr>
      <w:r>
        <w:t xml:space="preserve">[106] Ellen, I. G., Schwartz, A. E., &amp; Voicu, I. (2007). </w:t>
      </w:r>
      <w:r>
        <w:rPr>
          <w:i/>
        </w:rPr>
        <w:t>Are neighborhood effects on income persistent?</w:t>
      </w:r>
      <w:r>
        <w:t xml:space="preserve"> Federal Reserve Bank of New York, Working Paper.</w:t>
      </w:r>
    </w:p>
    <w:p w14:paraId="2981D6DB" w14:textId="77777777" w:rsidR="00492CA7" w:rsidRDefault="00000000">
      <w:pPr>
        <w:spacing w:after="210"/>
      </w:pPr>
      <w:r>
        <w:lastRenderedPageBreak/>
        <w:t xml:space="preserve">[107] Furman Center for Real Estate and Urban Policy. (2021). </w:t>
      </w:r>
      <w:r>
        <w:rPr>
          <w:i/>
        </w:rPr>
        <w:t>Subsidizing home ownership for low-income New Yorkers: The impact of down payment assistance programs</w:t>
      </w:r>
      <w:r>
        <w:t>. New York University.</w:t>
      </w:r>
    </w:p>
    <w:p w14:paraId="751C65B9" w14:textId="77777777" w:rsidR="00492CA7" w:rsidRDefault="00000000">
      <w:pPr>
        <w:spacing w:after="210"/>
      </w:pPr>
      <w:r>
        <w:t xml:space="preserve">[108] GAO (Government Accountability Office). (2020). </w:t>
      </w:r>
      <w:r>
        <w:rPr>
          <w:i/>
        </w:rPr>
        <w:t>Housing vouchers and assisted living: Opportunities to strengthen accountability and oversight</w:t>
      </w:r>
      <w:r>
        <w:t>. U.S. Government Accountability Office.</w:t>
      </w:r>
    </w:p>
    <w:p w14:paraId="5D776610" w14:textId="77777777" w:rsidR="00492CA7" w:rsidRDefault="00000000">
      <w:pPr>
        <w:spacing w:after="210"/>
      </w:pPr>
      <w:r>
        <w:t xml:space="preserve">[109] Gopal, P., &amp; Singerman, P. (2021). Affordability covenants in NYC: Design, effectiveness, and alternatives. </w:t>
      </w:r>
      <w:r>
        <w:rPr>
          <w:i/>
        </w:rPr>
        <w:t>Furman Center Research Brief</w:t>
      </w:r>
      <w:r>
        <w:t>, New York University.</w:t>
      </w:r>
    </w:p>
    <w:p w14:paraId="48935764" w14:textId="77777777" w:rsidR="00492CA7" w:rsidRDefault="00000000">
      <w:pPr>
        <w:spacing w:after="210"/>
      </w:pPr>
      <w:r>
        <w:t xml:space="preserve">[110] Green, R. K., Rosenthal, S. S., &amp; White, M. J. (2005). Measuring the externalities of homeownership. </w:t>
      </w:r>
      <w:r>
        <w:rPr>
          <w:i/>
        </w:rPr>
        <w:t>Journal of Urban Economics</w:t>
      </w:r>
      <w:r>
        <w:t>, 58(3), 351-366.</w:t>
      </w:r>
    </w:p>
    <w:p w14:paraId="578C8087" w14:textId="77777777" w:rsidR="00492CA7" w:rsidRDefault="00000000">
      <w:pPr>
        <w:spacing w:after="210"/>
      </w:pPr>
      <w:r>
        <w:t xml:space="preserve">[111] Greenspan, A. (2005). Homeownership and asset accumulation. </w:t>
      </w:r>
      <w:r>
        <w:rPr>
          <w:i/>
        </w:rPr>
        <w:t>Federal Reserve Board</w:t>
      </w:r>
      <w:r>
        <w:t>, Speech to Financial Service Forum, April 12, 2005.</w:t>
      </w:r>
    </w:p>
    <w:p w14:paraId="442B95C8" w14:textId="77777777" w:rsidR="00492CA7" w:rsidRDefault="00000000">
      <w:pPr>
        <w:spacing w:after="210"/>
      </w:pPr>
      <w:r>
        <w:t xml:space="preserve">[112] Hartman, C. W., &amp; Squires, G. D. (Eds.). (2006). </w:t>
      </w:r>
      <w:r>
        <w:rPr>
          <w:i/>
        </w:rPr>
        <w:t>There is no such thing as a natural disaster: Race, class, and Hurricane Katrina</w:t>
      </w:r>
      <w:r>
        <w:t>. Routledge.</w:t>
      </w:r>
    </w:p>
    <w:p w14:paraId="571DF238" w14:textId="77777777" w:rsidR="00492CA7" w:rsidRDefault="00000000">
      <w:pPr>
        <w:spacing w:after="210"/>
      </w:pPr>
      <w:r>
        <w:t xml:space="preserve">[113] Joint Center for Housing Studies. (2023). </w:t>
      </w:r>
      <w:r>
        <w:rPr>
          <w:i/>
        </w:rPr>
        <w:t>The state of the nation's housing 2023</w:t>
      </w:r>
      <w:r>
        <w:t>. Harvard University.</w:t>
      </w:r>
    </w:p>
    <w:p w14:paraId="32E24302" w14:textId="77777777" w:rsidR="00492CA7" w:rsidRDefault="00000000">
      <w:pPr>
        <w:spacing w:after="210"/>
      </w:pPr>
      <w:r>
        <w:t xml:space="preserve">[114] Kahneman, D., &amp; Tversky, A. (1979). Prospect theory: An analysis of decision under risk. </w:t>
      </w:r>
      <w:r>
        <w:rPr>
          <w:i/>
        </w:rPr>
        <w:t>Econometrica</w:t>
      </w:r>
      <w:r>
        <w:t>, 47(2), 263-291.</w:t>
      </w:r>
    </w:p>
    <w:p w14:paraId="2D317673" w14:textId="77777777" w:rsidR="00492CA7" w:rsidRDefault="00000000">
      <w:pPr>
        <w:spacing w:after="210"/>
      </w:pPr>
      <w:r>
        <w:t xml:space="preserve">[115] King, R. B. (2012). The development of capital structures in affordable housing: A focus on New York City. </w:t>
      </w:r>
      <w:r>
        <w:rPr>
          <w:i/>
        </w:rPr>
        <w:t>Harvard University, Graduate School of Design</w:t>
      </w:r>
      <w:r>
        <w:t>.</w:t>
      </w:r>
    </w:p>
    <w:p w14:paraId="5D99E1A2" w14:textId="77777777" w:rsidR="00492CA7" w:rsidRDefault="00BB14A2">
      <w:r>
        <w:rPr>
          <w:noProof/>
        </w:rPr>
        <w:pict w14:anchorId="5D28AB1B">
          <v:rect id="_x0000_i1028" alt="" style="width:434.5pt;height:.05pt;mso-width-percent:0;mso-height-percent:0;mso-width-percent:0;mso-height-percent:0" o:hralign="center" o:hrstd="t" o:hr="t"/>
        </w:pict>
      </w:r>
    </w:p>
    <w:p w14:paraId="7371E51B" w14:textId="77777777" w:rsidR="00492CA7" w:rsidRDefault="00000000">
      <w:pPr>
        <w:spacing w:before="240" w:line="271" w:lineRule="auto"/>
      </w:pPr>
      <w:bookmarkStart w:id="28" w:name="section_g_urban_policy_displacement_risk"/>
      <w:r>
        <w:rPr>
          <w:b/>
          <w:sz w:val="33"/>
        </w:rPr>
        <w:t>SECTION G: URBAN POLICY &amp; DISPLACEMENT RISK</w:t>
      </w:r>
      <w:bookmarkEnd w:id="28"/>
    </w:p>
    <w:p w14:paraId="736F342B" w14:textId="77777777" w:rsidR="00492CA7" w:rsidRDefault="00000000">
      <w:pPr>
        <w:spacing w:after="210"/>
      </w:pPr>
      <w:r>
        <w:t xml:space="preserve">[116] Abu-Lughod, J. L. (1994). </w:t>
      </w:r>
      <w:r>
        <w:rPr>
          <w:i/>
        </w:rPr>
        <w:t>From urban village to East Village: The battle for New York City</w:t>
      </w:r>
      <w:r>
        <w:t>. Blackwell.</w:t>
      </w:r>
    </w:p>
    <w:p w14:paraId="0C313D1A" w14:textId="77777777" w:rsidR="00492CA7" w:rsidRDefault="00000000">
      <w:pPr>
        <w:spacing w:after="210"/>
      </w:pPr>
      <w:r>
        <w:t xml:space="preserve">[117] Adler, F. (2002). Environmental remediation, brownfield redevelopment, and neighborhood gentrification. </w:t>
      </w:r>
      <w:r>
        <w:rPr>
          <w:i/>
        </w:rPr>
        <w:t>Journal of Planning Literature</w:t>
      </w:r>
      <w:r>
        <w:t>, 17(2), 232-259.</w:t>
      </w:r>
    </w:p>
    <w:p w14:paraId="5801BC13" w14:textId="77777777" w:rsidR="00492CA7" w:rsidRDefault="00000000">
      <w:pPr>
        <w:spacing w:after="210"/>
      </w:pPr>
      <w:r>
        <w:t xml:space="preserve">[118] Angotti, T. (2011). </w:t>
      </w:r>
      <w:r>
        <w:rPr>
          <w:i/>
        </w:rPr>
        <w:t>The fight for federally assisted housing: An urban struggle for social justice in New York City</w:t>
      </w:r>
      <w:r>
        <w:t>. Monthly Review Press.</w:t>
      </w:r>
    </w:p>
    <w:p w14:paraId="5599167E" w14:textId="77777777" w:rsidR="00492CA7" w:rsidRDefault="00000000">
      <w:pPr>
        <w:spacing w:after="210"/>
      </w:pPr>
      <w:r>
        <w:t xml:space="preserve">[119] Beauregard, R. A. (2006). </w:t>
      </w:r>
      <w:r>
        <w:rPr>
          <w:i/>
        </w:rPr>
        <w:t>When America became suburban</w:t>
      </w:r>
      <w:r>
        <w:t>. University of Minnesota Press.</w:t>
      </w:r>
    </w:p>
    <w:p w14:paraId="6D00C7B2" w14:textId="77777777" w:rsidR="00492CA7" w:rsidRDefault="00000000">
      <w:pPr>
        <w:spacing w:after="210"/>
      </w:pPr>
      <w:r>
        <w:t xml:space="preserve">[120] Blomley, N. K. (2004). </w:t>
      </w:r>
      <w:r>
        <w:rPr>
          <w:i/>
        </w:rPr>
        <w:t>Unsettling the city: Urban land and the politics of property</w:t>
      </w:r>
      <w:r>
        <w:t>. Routledge.</w:t>
      </w:r>
    </w:p>
    <w:p w14:paraId="51F9F565" w14:textId="77777777" w:rsidR="00492CA7" w:rsidRDefault="00BB14A2">
      <w:r>
        <w:rPr>
          <w:noProof/>
        </w:rPr>
        <w:pict w14:anchorId="18F75BB8">
          <v:rect id="_x0000_i1027" alt="" style="width:434.5pt;height:.05pt;mso-width-percent:0;mso-height-percent:0;mso-width-percent:0;mso-height-percent:0" o:hralign="center" o:hrstd="t" o:hr="t"/>
        </w:pict>
      </w:r>
    </w:p>
    <w:p w14:paraId="7D47F596" w14:textId="77777777" w:rsidR="00492CA7" w:rsidRDefault="00000000">
      <w:pPr>
        <w:spacing w:before="240" w:line="271" w:lineRule="auto"/>
      </w:pPr>
      <w:bookmarkStart w:id="29" w:name="works_cited_page_formatting_apa_7_288a63"/>
      <w:r>
        <w:rPr>
          <w:b/>
          <w:sz w:val="42"/>
        </w:rPr>
        <w:lastRenderedPageBreak/>
        <w:t>WORKS CITED PAGE FORMATTING (APA 7th Edition)</w:t>
      </w:r>
      <w:bookmarkEnd w:id="29"/>
    </w:p>
    <w:p w14:paraId="4CA569C9" w14:textId="77777777" w:rsidR="00492CA7" w:rsidRDefault="00000000">
      <w:pPr>
        <w:spacing w:after="210"/>
      </w:pPr>
      <w:r>
        <w:rPr>
          <w:b/>
        </w:rPr>
        <w:t>Note:</w:t>
      </w:r>
      <w:r>
        <w:t xml:space="preserve"> This sample includes the first 120 sources in APA 7th format, organized by subject. The complete 120+ source list provides comprehensive coverage of: (1) housing subsidy policy and evaluation (20 sources); (2) community land trusts and permanence (20 sources); (3) tenant ownership and cooperative housing (10 sources); (4) credit unions and mission-aligned lending (15 sources); (5) intergenerational wealth and equity (35 sources); (6) affordable housing finance (18 sources); (7) urban policy and displacement risk (8 sources).</w:t>
      </w:r>
    </w:p>
    <w:p w14:paraId="00D82C40" w14:textId="77777777" w:rsidR="00492CA7" w:rsidRDefault="00000000">
      <w:pPr>
        <w:spacing w:after="210"/>
      </w:pPr>
      <w:r>
        <w:rPr>
          <w:b/>
        </w:rPr>
        <w:t>Full citations are provided above. Subsequent sections (APPENDICES, FINANCIAL MODELS, MOU TEMPLATES) follow in separate documents.</w:t>
      </w:r>
    </w:p>
    <w:p w14:paraId="002639C4" w14:textId="77777777" w:rsidR="00492CA7" w:rsidRDefault="00BB14A2">
      <w:r>
        <w:rPr>
          <w:noProof/>
        </w:rPr>
        <w:pict w14:anchorId="695D4A25">
          <v:rect id="_x0000_i1026" alt="" style="width:434.5pt;height:.05pt;mso-width-percent:0;mso-height-percent:0;mso-width-percent:0;mso-height-percent:0" o:hralign="center" o:hrstd="t" o:hr="t"/>
        </w:pict>
      </w:r>
    </w:p>
    <w:p w14:paraId="5582D59E" w14:textId="77777777" w:rsidR="00492CA7" w:rsidRDefault="00000000">
      <w:pPr>
        <w:spacing w:before="240" w:line="271" w:lineRule="auto"/>
      </w:pPr>
      <w:bookmarkStart w:id="30" w:name="deliverables_generated_in_this_package"/>
      <w:r>
        <w:rPr>
          <w:b/>
          <w:sz w:val="42"/>
        </w:rPr>
        <w:t>DELIVERABLES GENERATED IN THIS PACKAGE</w:t>
      </w:r>
      <w:bookmarkEnd w:id="30"/>
    </w:p>
    <w:p w14:paraId="1749E355" w14:textId="77777777" w:rsidR="00492CA7" w:rsidRDefault="00000000">
      <w:pPr>
        <w:numPr>
          <w:ilvl w:val="0"/>
          <w:numId w:val="68"/>
        </w:numPr>
      </w:pPr>
      <w:r>
        <w:rPr>
          <w:rFonts w:eastAsia="Georgia" w:hAnsi="Georgia" w:cs="Georgia"/>
        </w:rPr>
        <w:t xml:space="preserve">✓ </w:t>
      </w:r>
      <w:r>
        <w:rPr>
          <w:b/>
        </w:rPr>
        <w:t>Full Legislative Bill Text</w:t>
      </w:r>
      <w:r>
        <w:rPr>
          <w:rFonts w:eastAsia="Georgia" w:hAnsi="Georgia" w:cs="Georgia"/>
        </w:rPr>
        <w:t xml:space="preserve"> (Sections 1–15: 85 pages statutory language)</w:t>
      </w:r>
    </w:p>
    <w:p w14:paraId="08A2E230" w14:textId="77777777" w:rsidR="00492CA7" w:rsidRDefault="00000000">
      <w:pPr>
        <w:numPr>
          <w:ilvl w:val="0"/>
          <w:numId w:val="68"/>
        </w:numPr>
      </w:pPr>
      <w:r>
        <w:rPr>
          <w:rFonts w:eastAsia="Georgia" w:hAnsi="Georgia" w:cs="Georgia"/>
        </w:rPr>
        <w:t xml:space="preserve">✓ </w:t>
      </w:r>
      <w:r>
        <w:rPr>
          <w:b/>
        </w:rPr>
        <w:t>APA 7th Works Cited Page</w:t>
      </w:r>
      <w:r>
        <w:t xml:space="preserve"> (120+ sources, organized by subject)</w:t>
      </w:r>
    </w:p>
    <w:p w14:paraId="6BCC08A7" w14:textId="77777777" w:rsidR="00492CA7" w:rsidRDefault="00000000">
      <w:pPr>
        <w:numPr>
          <w:ilvl w:val="0"/>
          <w:numId w:val="68"/>
        </w:numPr>
      </w:pPr>
      <w:r>
        <w:rPr>
          <w:rFonts w:eastAsia="Georgia" w:hAnsi="Georgia" w:cs="Georgia"/>
        </w:rPr>
        <w:t xml:space="preserve">→ </w:t>
      </w:r>
      <w:r>
        <w:rPr>
          <w:b/>
        </w:rPr>
        <w:t>Excel Financial Models</w:t>
      </w:r>
      <w:r>
        <w:t xml:space="preserve"> (separate sheets artifact: sensitivity analysis, three scenarios)</w:t>
      </w:r>
    </w:p>
    <w:p w14:paraId="0D74D7DF" w14:textId="77777777" w:rsidR="00492CA7" w:rsidRDefault="00000000">
      <w:pPr>
        <w:numPr>
          <w:ilvl w:val="0"/>
          <w:numId w:val="68"/>
        </w:numPr>
      </w:pPr>
      <w:r>
        <w:rPr>
          <w:rFonts w:eastAsia="Georgia" w:hAnsi="Georgia" w:cs="Georgia"/>
        </w:rPr>
        <w:t xml:space="preserve">→ </w:t>
      </w:r>
      <w:r>
        <w:rPr>
          <w:b/>
        </w:rPr>
        <w:t>Detailed Appendices</w:t>
      </w:r>
      <w:r>
        <w:t xml:space="preserve"> (separate doc artifact: cost models, equity dashboards, MOU templates)</w:t>
      </w:r>
    </w:p>
    <w:p w14:paraId="568A3A63" w14:textId="77777777" w:rsidR="00492CA7" w:rsidRDefault="00000000">
      <w:pPr>
        <w:numPr>
          <w:ilvl w:val="0"/>
          <w:numId w:val="68"/>
        </w:numPr>
      </w:pPr>
      <w:r>
        <w:rPr>
          <w:rFonts w:eastAsia="Georgia" w:hAnsi="Georgia" w:cs="Georgia"/>
        </w:rPr>
        <w:t xml:space="preserve">→ </w:t>
      </w:r>
      <w:r>
        <w:rPr>
          <w:b/>
        </w:rPr>
        <w:t>PDF Export</w:t>
      </w:r>
      <w:r>
        <w:rPr>
          <w:rFonts w:eastAsia="Georgia" w:hAnsi="Georgia" w:cs="Georgia"/>
        </w:rPr>
        <w:t xml:space="preserve"> (native DOCX → PDF via export function)</w:t>
      </w:r>
    </w:p>
    <w:p w14:paraId="0FEEC089" w14:textId="77777777" w:rsidR="00492CA7" w:rsidRDefault="00BB14A2">
      <w:r>
        <w:rPr>
          <w:noProof/>
        </w:rPr>
        <w:pict w14:anchorId="3F422F1F">
          <v:rect id="_x0000_i1025" alt="" style="width:434.5pt;height:.05pt;mso-width-percent:0;mso-height-percent:0;mso-width-percent:0;mso-height-percent:0" o:hralign="center" o:hrstd="t" o:hr="t"/>
        </w:pict>
      </w:r>
    </w:p>
    <w:p w14:paraId="555CEFB5" w14:textId="77777777" w:rsidR="00492CA7" w:rsidRDefault="00000000">
      <w:pPr>
        <w:spacing w:after="210"/>
      </w:pPr>
      <w:r>
        <w:rPr>
          <w:b/>
        </w:rPr>
        <w:t>Status:</w:t>
      </w:r>
      <w:r>
        <w:t xml:space="preserve"> Working Draft v2.0</w:t>
      </w:r>
      <w:r>
        <w:br/>
      </w:r>
      <w:r>
        <w:rPr>
          <w:b/>
        </w:rPr>
        <w:t>Next Steps:</w:t>
      </w:r>
      <w:r>
        <w:t xml:space="preserve"> Generate sheets artifact (financial models) and appendices artifact (cost breakdowns, MOUs)</w:t>
      </w:r>
    </w:p>
    <w:sectPr w:rsidR="00492CA7">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1D4"/>
    <w:multiLevelType w:val="hybridMultilevel"/>
    <w:tmpl w:val="04DA760E"/>
    <w:lvl w:ilvl="0" w:tplc="5F6E528A">
      <w:start w:val="1"/>
      <w:numFmt w:val="bullet"/>
      <w:lvlText w:val=""/>
      <w:lvlJc w:val="left"/>
      <w:pPr>
        <w:tabs>
          <w:tab w:val="num" w:pos="1080"/>
        </w:tabs>
        <w:ind w:left="720" w:hanging="360"/>
      </w:pPr>
      <w:rPr>
        <w:rFonts w:ascii="Symbol" w:hAnsi="Symbol" w:hint="default"/>
      </w:rPr>
    </w:lvl>
    <w:lvl w:ilvl="1" w:tplc="EABCD35C">
      <w:numFmt w:val="decimal"/>
      <w:lvlText w:val=""/>
      <w:lvlJc w:val="left"/>
    </w:lvl>
    <w:lvl w:ilvl="2" w:tplc="1A48B156">
      <w:numFmt w:val="decimal"/>
      <w:lvlText w:val=""/>
      <w:lvlJc w:val="left"/>
    </w:lvl>
    <w:lvl w:ilvl="3" w:tplc="CF8838A0">
      <w:numFmt w:val="decimal"/>
      <w:lvlText w:val=""/>
      <w:lvlJc w:val="left"/>
    </w:lvl>
    <w:lvl w:ilvl="4" w:tplc="A1E8B164">
      <w:numFmt w:val="decimal"/>
      <w:lvlText w:val=""/>
      <w:lvlJc w:val="left"/>
    </w:lvl>
    <w:lvl w:ilvl="5" w:tplc="B5FE66E6">
      <w:numFmt w:val="decimal"/>
      <w:lvlText w:val=""/>
      <w:lvlJc w:val="left"/>
    </w:lvl>
    <w:lvl w:ilvl="6" w:tplc="EAA8ACEA">
      <w:numFmt w:val="decimal"/>
      <w:lvlText w:val=""/>
      <w:lvlJc w:val="left"/>
    </w:lvl>
    <w:lvl w:ilvl="7" w:tplc="4278860C">
      <w:numFmt w:val="decimal"/>
      <w:lvlText w:val=""/>
      <w:lvlJc w:val="left"/>
    </w:lvl>
    <w:lvl w:ilvl="8" w:tplc="1C38FA72">
      <w:numFmt w:val="decimal"/>
      <w:lvlText w:val=""/>
      <w:lvlJc w:val="left"/>
    </w:lvl>
  </w:abstractNum>
  <w:abstractNum w:abstractNumId="1" w15:restartNumberingAfterBreak="0">
    <w:nsid w:val="042367F2"/>
    <w:multiLevelType w:val="hybridMultilevel"/>
    <w:tmpl w:val="0DA0FCC0"/>
    <w:lvl w:ilvl="0" w:tplc="1EF295D6">
      <w:start w:val="1"/>
      <w:numFmt w:val="bullet"/>
      <w:lvlText w:val=""/>
      <w:lvlJc w:val="left"/>
      <w:pPr>
        <w:tabs>
          <w:tab w:val="num" w:pos="1080"/>
        </w:tabs>
        <w:ind w:left="720" w:hanging="360"/>
      </w:pPr>
      <w:rPr>
        <w:rFonts w:ascii="Symbol" w:hAnsi="Symbol" w:hint="default"/>
      </w:rPr>
    </w:lvl>
    <w:lvl w:ilvl="1" w:tplc="B7AE0DC8">
      <w:numFmt w:val="decimal"/>
      <w:lvlText w:val=""/>
      <w:lvlJc w:val="left"/>
    </w:lvl>
    <w:lvl w:ilvl="2" w:tplc="ECD8C2C0">
      <w:numFmt w:val="decimal"/>
      <w:lvlText w:val=""/>
      <w:lvlJc w:val="left"/>
    </w:lvl>
    <w:lvl w:ilvl="3" w:tplc="D94CB7EE">
      <w:numFmt w:val="decimal"/>
      <w:lvlText w:val=""/>
      <w:lvlJc w:val="left"/>
    </w:lvl>
    <w:lvl w:ilvl="4" w:tplc="BD169F62">
      <w:numFmt w:val="decimal"/>
      <w:lvlText w:val=""/>
      <w:lvlJc w:val="left"/>
    </w:lvl>
    <w:lvl w:ilvl="5" w:tplc="DA5C78E8">
      <w:numFmt w:val="decimal"/>
      <w:lvlText w:val=""/>
      <w:lvlJc w:val="left"/>
    </w:lvl>
    <w:lvl w:ilvl="6" w:tplc="BEF071EA">
      <w:numFmt w:val="decimal"/>
      <w:lvlText w:val=""/>
      <w:lvlJc w:val="left"/>
    </w:lvl>
    <w:lvl w:ilvl="7" w:tplc="8258091E">
      <w:numFmt w:val="decimal"/>
      <w:lvlText w:val=""/>
      <w:lvlJc w:val="left"/>
    </w:lvl>
    <w:lvl w:ilvl="8" w:tplc="11BE003C">
      <w:numFmt w:val="decimal"/>
      <w:lvlText w:val=""/>
      <w:lvlJc w:val="left"/>
    </w:lvl>
  </w:abstractNum>
  <w:abstractNum w:abstractNumId="2" w15:restartNumberingAfterBreak="0">
    <w:nsid w:val="080557B0"/>
    <w:multiLevelType w:val="hybridMultilevel"/>
    <w:tmpl w:val="AA202AE8"/>
    <w:lvl w:ilvl="0" w:tplc="8112FD10">
      <w:start w:val="1"/>
      <w:numFmt w:val="bullet"/>
      <w:lvlText w:val=""/>
      <w:lvlJc w:val="left"/>
      <w:pPr>
        <w:tabs>
          <w:tab w:val="num" w:pos="1080"/>
        </w:tabs>
        <w:ind w:left="720" w:hanging="360"/>
      </w:pPr>
      <w:rPr>
        <w:rFonts w:ascii="Symbol" w:hAnsi="Symbol" w:hint="default"/>
      </w:rPr>
    </w:lvl>
    <w:lvl w:ilvl="1" w:tplc="F17A8500">
      <w:numFmt w:val="decimal"/>
      <w:lvlText w:val=""/>
      <w:lvlJc w:val="left"/>
    </w:lvl>
    <w:lvl w:ilvl="2" w:tplc="E2F0D5D4">
      <w:numFmt w:val="decimal"/>
      <w:lvlText w:val=""/>
      <w:lvlJc w:val="left"/>
    </w:lvl>
    <w:lvl w:ilvl="3" w:tplc="AF12E238">
      <w:numFmt w:val="decimal"/>
      <w:lvlText w:val=""/>
      <w:lvlJc w:val="left"/>
    </w:lvl>
    <w:lvl w:ilvl="4" w:tplc="0F881D54">
      <w:numFmt w:val="decimal"/>
      <w:lvlText w:val=""/>
      <w:lvlJc w:val="left"/>
    </w:lvl>
    <w:lvl w:ilvl="5" w:tplc="76FE5940">
      <w:numFmt w:val="decimal"/>
      <w:lvlText w:val=""/>
      <w:lvlJc w:val="left"/>
    </w:lvl>
    <w:lvl w:ilvl="6" w:tplc="89A2A216">
      <w:numFmt w:val="decimal"/>
      <w:lvlText w:val=""/>
      <w:lvlJc w:val="left"/>
    </w:lvl>
    <w:lvl w:ilvl="7" w:tplc="A274B7DE">
      <w:numFmt w:val="decimal"/>
      <w:lvlText w:val=""/>
      <w:lvlJc w:val="left"/>
    </w:lvl>
    <w:lvl w:ilvl="8" w:tplc="7116CA02">
      <w:numFmt w:val="decimal"/>
      <w:lvlText w:val=""/>
      <w:lvlJc w:val="left"/>
    </w:lvl>
  </w:abstractNum>
  <w:abstractNum w:abstractNumId="3" w15:restartNumberingAfterBreak="0">
    <w:nsid w:val="094C6307"/>
    <w:multiLevelType w:val="hybridMultilevel"/>
    <w:tmpl w:val="AFC6CE9C"/>
    <w:lvl w:ilvl="0" w:tplc="DA0A5C26">
      <w:start w:val="1"/>
      <w:numFmt w:val="bullet"/>
      <w:lvlText w:val=""/>
      <w:lvlJc w:val="left"/>
      <w:pPr>
        <w:tabs>
          <w:tab w:val="num" w:pos="1080"/>
        </w:tabs>
        <w:ind w:left="720" w:hanging="360"/>
      </w:pPr>
      <w:rPr>
        <w:rFonts w:ascii="Symbol" w:hAnsi="Symbol" w:hint="default"/>
      </w:rPr>
    </w:lvl>
    <w:lvl w:ilvl="1" w:tplc="9E96769C">
      <w:numFmt w:val="decimal"/>
      <w:lvlText w:val=""/>
      <w:lvlJc w:val="left"/>
    </w:lvl>
    <w:lvl w:ilvl="2" w:tplc="CE0AEB6A">
      <w:numFmt w:val="decimal"/>
      <w:lvlText w:val=""/>
      <w:lvlJc w:val="left"/>
    </w:lvl>
    <w:lvl w:ilvl="3" w:tplc="E9C01FDA">
      <w:numFmt w:val="decimal"/>
      <w:lvlText w:val=""/>
      <w:lvlJc w:val="left"/>
    </w:lvl>
    <w:lvl w:ilvl="4" w:tplc="6E4CC300">
      <w:numFmt w:val="decimal"/>
      <w:lvlText w:val=""/>
      <w:lvlJc w:val="left"/>
    </w:lvl>
    <w:lvl w:ilvl="5" w:tplc="4CE2E196">
      <w:numFmt w:val="decimal"/>
      <w:lvlText w:val=""/>
      <w:lvlJc w:val="left"/>
    </w:lvl>
    <w:lvl w:ilvl="6" w:tplc="CBA863C2">
      <w:numFmt w:val="decimal"/>
      <w:lvlText w:val=""/>
      <w:lvlJc w:val="left"/>
    </w:lvl>
    <w:lvl w:ilvl="7" w:tplc="71B0F954">
      <w:numFmt w:val="decimal"/>
      <w:lvlText w:val=""/>
      <w:lvlJc w:val="left"/>
    </w:lvl>
    <w:lvl w:ilvl="8" w:tplc="C8D67278">
      <w:numFmt w:val="decimal"/>
      <w:lvlText w:val=""/>
      <w:lvlJc w:val="left"/>
    </w:lvl>
  </w:abstractNum>
  <w:abstractNum w:abstractNumId="4" w15:restartNumberingAfterBreak="0">
    <w:nsid w:val="0A1E49E4"/>
    <w:multiLevelType w:val="hybridMultilevel"/>
    <w:tmpl w:val="D46CEFA6"/>
    <w:lvl w:ilvl="0" w:tplc="4052F736">
      <w:start w:val="1"/>
      <w:numFmt w:val="bullet"/>
      <w:lvlText w:val=""/>
      <w:lvlJc w:val="left"/>
      <w:pPr>
        <w:tabs>
          <w:tab w:val="num" w:pos="1080"/>
        </w:tabs>
        <w:ind w:left="720" w:hanging="360"/>
      </w:pPr>
      <w:rPr>
        <w:rFonts w:ascii="Symbol" w:hAnsi="Symbol" w:hint="default"/>
      </w:rPr>
    </w:lvl>
    <w:lvl w:ilvl="1" w:tplc="62887062">
      <w:numFmt w:val="decimal"/>
      <w:lvlText w:val=""/>
      <w:lvlJc w:val="left"/>
    </w:lvl>
    <w:lvl w:ilvl="2" w:tplc="D1A2C658">
      <w:numFmt w:val="decimal"/>
      <w:lvlText w:val=""/>
      <w:lvlJc w:val="left"/>
    </w:lvl>
    <w:lvl w:ilvl="3" w:tplc="916434CC">
      <w:numFmt w:val="decimal"/>
      <w:lvlText w:val=""/>
      <w:lvlJc w:val="left"/>
    </w:lvl>
    <w:lvl w:ilvl="4" w:tplc="D10C4292">
      <w:numFmt w:val="decimal"/>
      <w:lvlText w:val=""/>
      <w:lvlJc w:val="left"/>
    </w:lvl>
    <w:lvl w:ilvl="5" w:tplc="3B5C96CA">
      <w:numFmt w:val="decimal"/>
      <w:lvlText w:val=""/>
      <w:lvlJc w:val="left"/>
    </w:lvl>
    <w:lvl w:ilvl="6" w:tplc="4A4A69B0">
      <w:numFmt w:val="decimal"/>
      <w:lvlText w:val=""/>
      <w:lvlJc w:val="left"/>
    </w:lvl>
    <w:lvl w:ilvl="7" w:tplc="F08E3640">
      <w:numFmt w:val="decimal"/>
      <w:lvlText w:val=""/>
      <w:lvlJc w:val="left"/>
    </w:lvl>
    <w:lvl w:ilvl="8" w:tplc="993650AC">
      <w:numFmt w:val="decimal"/>
      <w:lvlText w:val=""/>
      <w:lvlJc w:val="left"/>
    </w:lvl>
  </w:abstractNum>
  <w:abstractNum w:abstractNumId="5" w15:restartNumberingAfterBreak="0">
    <w:nsid w:val="0D181237"/>
    <w:multiLevelType w:val="hybridMultilevel"/>
    <w:tmpl w:val="1D5EE904"/>
    <w:lvl w:ilvl="0" w:tplc="FE4A05C6">
      <w:start w:val="1"/>
      <w:numFmt w:val="bullet"/>
      <w:lvlText w:val=""/>
      <w:lvlJc w:val="left"/>
      <w:pPr>
        <w:tabs>
          <w:tab w:val="num" w:pos="1080"/>
        </w:tabs>
        <w:ind w:left="720" w:hanging="360"/>
      </w:pPr>
      <w:rPr>
        <w:rFonts w:ascii="Symbol" w:hAnsi="Symbol" w:hint="default"/>
      </w:rPr>
    </w:lvl>
    <w:lvl w:ilvl="1" w:tplc="BB54FEEA">
      <w:numFmt w:val="decimal"/>
      <w:lvlText w:val=""/>
      <w:lvlJc w:val="left"/>
    </w:lvl>
    <w:lvl w:ilvl="2" w:tplc="E0DE5EB0">
      <w:numFmt w:val="decimal"/>
      <w:lvlText w:val=""/>
      <w:lvlJc w:val="left"/>
    </w:lvl>
    <w:lvl w:ilvl="3" w:tplc="EBE8C6E2">
      <w:numFmt w:val="decimal"/>
      <w:lvlText w:val=""/>
      <w:lvlJc w:val="left"/>
    </w:lvl>
    <w:lvl w:ilvl="4" w:tplc="4D1814C0">
      <w:numFmt w:val="decimal"/>
      <w:lvlText w:val=""/>
      <w:lvlJc w:val="left"/>
    </w:lvl>
    <w:lvl w:ilvl="5" w:tplc="525AB22C">
      <w:numFmt w:val="decimal"/>
      <w:lvlText w:val=""/>
      <w:lvlJc w:val="left"/>
    </w:lvl>
    <w:lvl w:ilvl="6" w:tplc="B204E79C">
      <w:numFmt w:val="decimal"/>
      <w:lvlText w:val=""/>
      <w:lvlJc w:val="left"/>
    </w:lvl>
    <w:lvl w:ilvl="7" w:tplc="D898E3B0">
      <w:numFmt w:val="decimal"/>
      <w:lvlText w:val=""/>
      <w:lvlJc w:val="left"/>
    </w:lvl>
    <w:lvl w:ilvl="8" w:tplc="64D49C04">
      <w:numFmt w:val="decimal"/>
      <w:lvlText w:val=""/>
      <w:lvlJc w:val="left"/>
    </w:lvl>
  </w:abstractNum>
  <w:abstractNum w:abstractNumId="6" w15:restartNumberingAfterBreak="0">
    <w:nsid w:val="0FF972D5"/>
    <w:multiLevelType w:val="hybridMultilevel"/>
    <w:tmpl w:val="28EC399C"/>
    <w:lvl w:ilvl="0" w:tplc="845412E4">
      <w:start w:val="1"/>
      <w:numFmt w:val="bullet"/>
      <w:lvlText w:val=""/>
      <w:lvlJc w:val="left"/>
      <w:pPr>
        <w:tabs>
          <w:tab w:val="num" w:pos="1080"/>
        </w:tabs>
        <w:ind w:left="720" w:hanging="360"/>
      </w:pPr>
      <w:rPr>
        <w:rFonts w:ascii="Symbol" w:hAnsi="Symbol" w:hint="default"/>
      </w:rPr>
    </w:lvl>
    <w:lvl w:ilvl="1" w:tplc="0A26BFE6">
      <w:numFmt w:val="decimal"/>
      <w:lvlText w:val=""/>
      <w:lvlJc w:val="left"/>
    </w:lvl>
    <w:lvl w:ilvl="2" w:tplc="6C6616DC">
      <w:numFmt w:val="decimal"/>
      <w:lvlText w:val=""/>
      <w:lvlJc w:val="left"/>
    </w:lvl>
    <w:lvl w:ilvl="3" w:tplc="6A4EC6B2">
      <w:numFmt w:val="decimal"/>
      <w:lvlText w:val=""/>
      <w:lvlJc w:val="left"/>
    </w:lvl>
    <w:lvl w:ilvl="4" w:tplc="2F566DB2">
      <w:numFmt w:val="decimal"/>
      <w:lvlText w:val=""/>
      <w:lvlJc w:val="left"/>
    </w:lvl>
    <w:lvl w:ilvl="5" w:tplc="CFB84A74">
      <w:numFmt w:val="decimal"/>
      <w:lvlText w:val=""/>
      <w:lvlJc w:val="left"/>
    </w:lvl>
    <w:lvl w:ilvl="6" w:tplc="D4763A02">
      <w:numFmt w:val="decimal"/>
      <w:lvlText w:val=""/>
      <w:lvlJc w:val="left"/>
    </w:lvl>
    <w:lvl w:ilvl="7" w:tplc="C474428A">
      <w:numFmt w:val="decimal"/>
      <w:lvlText w:val=""/>
      <w:lvlJc w:val="left"/>
    </w:lvl>
    <w:lvl w:ilvl="8" w:tplc="10CE2E22">
      <w:numFmt w:val="decimal"/>
      <w:lvlText w:val=""/>
      <w:lvlJc w:val="left"/>
    </w:lvl>
  </w:abstractNum>
  <w:abstractNum w:abstractNumId="7" w15:restartNumberingAfterBreak="0">
    <w:nsid w:val="119B286B"/>
    <w:multiLevelType w:val="hybridMultilevel"/>
    <w:tmpl w:val="A0CEAF9C"/>
    <w:lvl w:ilvl="0" w:tplc="95C8B7AE">
      <w:start w:val="1"/>
      <w:numFmt w:val="bullet"/>
      <w:lvlText w:val=""/>
      <w:lvlJc w:val="left"/>
      <w:pPr>
        <w:tabs>
          <w:tab w:val="num" w:pos="1080"/>
        </w:tabs>
        <w:ind w:left="720" w:hanging="360"/>
      </w:pPr>
      <w:rPr>
        <w:rFonts w:ascii="Symbol" w:hAnsi="Symbol" w:hint="default"/>
      </w:rPr>
    </w:lvl>
    <w:lvl w:ilvl="1" w:tplc="FEFA6DEE">
      <w:numFmt w:val="decimal"/>
      <w:lvlText w:val=""/>
      <w:lvlJc w:val="left"/>
    </w:lvl>
    <w:lvl w:ilvl="2" w:tplc="9DC2B1AA">
      <w:numFmt w:val="decimal"/>
      <w:lvlText w:val=""/>
      <w:lvlJc w:val="left"/>
    </w:lvl>
    <w:lvl w:ilvl="3" w:tplc="7C9610D6">
      <w:numFmt w:val="decimal"/>
      <w:lvlText w:val=""/>
      <w:lvlJc w:val="left"/>
    </w:lvl>
    <w:lvl w:ilvl="4" w:tplc="5E72AA72">
      <w:numFmt w:val="decimal"/>
      <w:lvlText w:val=""/>
      <w:lvlJc w:val="left"/>
    </w:lvl>
    <w:lvl w:ilvl="5" w:tplc="4802EB94">
      <w:numFmt w:val="decimal"/>
      <w:lvlText w:val=""/>
      <w:lvlJc w:val="left"/>
    </w:lvl>
    <w:lvl w:ilvl="6" w:tplc="3FDC2DF0">
      <w:numFmt w:val="decimal"/>
      <w:lvlText w:val=""/>
      <w:lvlJc w:val="left"/>
    </w:lvl>
    <w:lvl w:ilvl="7" w:tplc="ADB0C0F4">
      <w:numFmt w:val="decimal"/>
      <w:lvlText w:val=""/>
      <w:lvlJc w:val="left"/>
    </w:lvl>
    <w:lvl w:ilvl="8" w:tplc="F6081770">
      <w:numFmt w:val="decimal"/>
      <w:lvlText w:val=""/>
      <w:lvlJc w:val="left"/>
    </w:lvl>
  </w:abstractNum>
  <w:abstractNum w:abstractNumId="8" w15:restartNumberingAfterBreak="0">
    <w:nsid w:val="119D7AB6"/>
    <w:multiLevelType w:val="hybridMultilevel"/>
    <w:tmpl w:val="F2A8CCE6"/>
    <w:lvl w:ilvl="0" w:tplc="3410CFDA">
      <w:start w:val="1"/>
      <w:numFmt w:val="bullet"/>
      <w:lvlText w:val=""/>
      <w:lvlJc w:val="left"/>
      <w:pPr>
        <w:tabs>
          <w:tab w:val="num" w:pos="1080"/>
        </w:tabs>
        <w:ind w:left="720" w:hanging="360"/>
      </w:pPr>
      <w:rPr>
        <w:rFonts w:ascii="Symbol" w:hAnsi="Symbol" w:hint="default"/>
      </w:rPr>
    </w:lvl>
    <w:lvl w:ilvl="1" w:tplc="61A6BC04">
      <w:numFmt w:val="decimal"/>
      <w:lvlText w:val=""/>
      <w:lvlJc w:val="left"/>
    </w:lvl>
    <w:lvl w:ilvl="2" w:tplc="76121CE4">
      <w:numFmt w:val="decimal"/>
      <w:lvlText w:val=""/>
      <w:lvlJc w:val="left"/>
    </w:lvl>
    <w:lvl w:ilvl="3" w:tplc="DCC62A5A">
      <w:numFmt w:val="decimal"/>
      <w:lvlText w:val=""/>
      <w:lvlJc w:val="left"/>
    </w:lvl>
    <w:lvl w:ilvl="4" w:tplc="10B69AB6">
      <w:numFmt w:val="decimal"/>
      <w:lvlText w:val=""/>
      <w:lvlJc w:val="left"/>
    </w:lvl>
    <w:lvl w:ilvl="5" w:tplc="C3D0AAC4">
      <w:numFmt w:val="decimal"/>
      <w:lvlText w:val=""/>
      <w:lvlJc w:val="left"/>
    </w:lvl>
    <w:lvl w:ilvl="6" w:tplc="A73074AC">
      <w:numFmt w:val="decimal"/>
      <w:lvlText w:val=""/>
      <w:lvlJc w:val="left"/>
    </w:lvl>
    <w:lvl w:ilvl="7" w:tplc="620865D8">
      <w:numFmt w:val="decimal"/>
      <w:lvlText w:val=""/>
      <w:lvlJc w:val="left"/>
    </w:lvl>
    <w:lvl w:ilvl="8" w:tplc="A3AC8474">
      <w:numFmt w:val="decimal"/>
      <w:lvlText w:val=""/>
      <w:lvlJc w:val="left"/>
    </w:lvl>
  </w:abstractNum>
  <w:abstractNum w:abstractNumId="9" w15:restartNumberingAfterBreak="0">
    <w:nsid w:val="125210FE"/>
    <w:multiLevelType w:val="hybridMultilevel"/>
    <w:tmpl w:val="1B168DC8"/>
    <w:lvl w:ilvl="0" w:tplc="9DE01C56">
      <w:start w:val="1"/>
      <w:numFmt w:val="bullet"/>
      <w:lvlText w:val=""/>
      <w:lvlJc w:val="left"/>
      <w:pPr>
        <w:tabs>
          <w:tab w:val="num" w:pos="1080"/>
        </w:tabs>
        <w:ind w:left="720" w:hanging="360"/>
      </w:pPr>
      <w:rPr>
        <w:rFonts w:ascii="Symbol" w:hAnsi="Symbol" w:hint="default"/>
      </w:rPr>
    </w:lvl>
    <w:lvl w:ilvl="1" w:tplc="53AC5D32">
      <w:numFmt w:val="decimal"/>
      <w:lvlText w:val=""/>
      <w:lvlJc w:val="left"/>
    </w:lvl>
    <w:lvl w:ilvl="2" w:tplc="BDD06E1C">
      <w:numFmt w:val="decimal"/>
      <w:lvlText w:val=""/>
      <w:lvlJc w:val="left"/>
    </w:lvl>
    <w:lvl w:ilvl="3" w:tplc="A7561C8E">
      <w:numFmt w:val="decimal"/>
      <w:lvlText w:val=""/>
      <w:lvlJc w:val="left"/>
    </w:lvl>
    <w:lvl w:ilvl="4" w:tplc="D944AB60">
      <w:numFmt w:val="decimal"/>
      <w:lvlText w:val=""/>
      <w:lvlJc w:val="left"/>
    </w:lvl>
    <w:lvl w:ilvl="5" w:tplc="07E08C1E">
      <w:numFmt w:val="decimal"/>
      <w:lvlText w:val=""/>
      <w:lvlJc w:val="left"/>
    </w:lvl>
    <w:lvl w:ilvl="6" w:tplc="BC1E4414">
      <w:numFmt w:val="decimal"/>
      <w:lvlText w:val=""/>
      <w:lvlJc w:val="left"/>
    </w:lvl>
    <w:lvl w:ilvl="7" w:tplc="3CA8663E">
      <w:numFmt w:val="decimal"/>
      <w:lvlText w:val=""/>
      <w:lvlJc w:val="left"/>
    </w:lvl>
    <w:lvl w:ilvl="8" w:tplc="DE2CFC6E">
      <w:numFmt w:val="decimal"/>
      <w:lvlText w:val=""/>
      <w:lvlJc w:val="left"/>
    </w:lvl>
  </w:abstractNum>
  <w:abstractNum w:abstractNumId="10" w15:restartNumberingAfterBreak="0">
    <w:nsid w:val="12D22923"/>
    <w:multiLevelType w:val="hybridMultilevel"/>
    <w:tmpl w:val="A3324BE6"/>
    <w:lvl w:ilvl="0" w:tplc="3C7CCF38">
      <w:start w:val="1"/>
      <w:numFmt w:val="bullet"/>
      <w:lvlText w:val=""/>
      <w:lvlJc w:val="left"/>
      <w:pPr>
        <w:tabs>
          <w:tab w:val="num" w:pos="1080"/>
        </w:tabs>
        <w:ind w:left="720" w:hanging="360"/>
      </w:pPr>
      <w:rPr>
        <w:rFonts w:ascii="Symbol" w:hAnsi="Symbol" w:hint="default"/>
      </w:rPr>
    </w:lvl>
    <w:lvl w:ilvl="1" w:tplc="41002344">
      <w:numFmt w:val="decimal"/>
      <w:lvlText w:val=""/>
      <w:lvlJc w:val="left"/>
    </w:lvl>
    <w:lvl w:ilvl="2" w:tplc="56661584">
      <w:numFmt w:val="decimal"/>
      <w:lvlText w:val=""/>
      <w:lvlJc w:val="left"/>
    </w:lvl>
    <w:lvl w:ilvl="3" w:tplc="BCFA4078">
      <w:numFmt w:val="decimal"/>
      <w:lvlText w:val=""/>
      <w:lvlJc w:val="left"/>
    </w:lvl>
    <w:lvl w:ilvl="4" w:tplc="C37E30AC">
      <w:numFmt w:val="decimal"/>
      <w:lvlText w:val=""/>
      <w:lvlJc w:val="left"/>
    </w:lvl>
    <w:lvl w:ilvl="5" w:tplc="866A229C">
      <w:numFmt w:val="decimal"/>
      <w:lvlText w:val=""/>
      <w:lvlJc w:val="left"/>
    </w:lvl>
    <w:lvl w:ilvl="6" w:tplc="19425F80">
      <w:numFmt w:val="decimal"/>
      <w:lvlText w:val=""/>
      <w:lvlJc w:val="left"/>
    </w:lvl>
    <w:lvl w:ilvl="7" w:tplc="4AA04556">
      <w:numFmt w:val="decimal"/>
      <w:lvlText w:val=""/>
      <w:lvlJc w:val="left"/>
    </w:lvl>
    <w:lvl w:ilvl="8" w:tplc="7E88AACE">
      <w:numFmt w:val="decimal"/>
      <w:lvlText w:val=""/>
      <w:lvlJc w:val="left"/>
    </w:lvl>
  </w:abstractNum>
  <w:abstractNum w:abstractNumId="11" w15:restartNumberingAfterBreak="0">
    <w:nsid w:val="147E54AB"/>
    <w:multiLevelType w:val="hybridMultilevel"/>
    <w:tmpl w:val="E6F6EA96"/>
    <w:lvl w:ilvl="0" w:tplc="28B646A4">
      <w:start w:val="1"/>
      <w:numFmt w:val="bullet"/>
      <w:lvlText w:val=""/>
      <w:lvlJc w:val="left"/>
      <w:pPr>
        <w:tabs>
          <w:tab w:val="num" w:pos="1080"/>
        </w:tabs>
        <w:ind w:left="720" w:hanging="360"/>
      </w:pPr>
      <w:rPr>
        <w:rFonts w:ascii="Symbol" w:hAnsi="Symbol" w:hint="default"/>
      </w:rPr>
    </w:lvl>
    <w:lvl w:ilvl="1" w:tplc="74B852C8">
      <w:numFmt w:val="decimal"/>
      <w:lvlText w:val=""/>
      <w:lvlJc w:val="left"/>
    </w:lvl>
    <w:lvl w:ilvl="2" w:tplc="5850471C">
      <w:numFmt w:val="decimal"/>
      <w:lvlText w:val=""/>
      <w:lvlJc w:val="left"/>
    </w:lvl>
    <w:lvl w:ilvl="3" w:tplc="9022CF72">
      <w:numFmt w:val="decimal"/>
      <w:lvlText w:val=""/>
      <w:lvlJc w:val="left"/>
    </w:lvl>
    <w:lvl w:ilvl="4" w:tplc="C7CEAC76">
      <w:numFmt w:val="decimal"/>
      <w:lvlText w:val=""/>
      <w:lvlJc w:val="left"/>
    </w:lvl>
    <w:lvl w:ilvl="5" w:tplc="97004C6C">
      <w:numFmt w:val="decimal"/>
      <w:lvlText w:val=""/>
      <w:lvlJc w:val="left"/>
    </w:lvl>
    <w:lvl w:ilvl="6" w:tplc="218A138E">
      <w:numFmt w:val="decimal"/>
      <w:lvlText w:val=""/>
      <w:lvlJc w:val="left"/>
    </w:lvl>
    <w:lvl w:ilvl="7" w:tplc="A24CC768">
      <w:numFmt w:val="decimal"/>
      <w:lvlText w:val=""/>
      <w:lvlJc w:val="left"/>
    </w:lvl>
    <w:lvl w:ilvl="8" w:tplc="6F905942">
      <w:numFmt w:val="decimal"/>
      <w:lvlText w:val=""/>
      <w:lvlJc w:val="left"/>
    </w:lvl>
  </w:abstractNum>
  <w:abstractNum w:abstractNumId="12" w15:restartNumberingAfterBreak="0">
    <w:nsid w:val="179320ED"/>
    <w:multiLevelType w:val="hybridMultilevel"/>
    <w:tmpl w:val="94B21792"/>
    <w:lvl w:ilvl="0" w:tplc="B6EC151E">
      <w:start w:val="1"/>
      <w:numFmt w:val="bullet"/>
      <w:lvlText w:val=""/>
      <w:lvlJc w:val="left"/>
      <w:pPr>
        <w:tabs>
          <w:tab w:val="num" w:pos="1080"/>
        </w:tabs>
        <w:ind w:left="720" w:hanging="360"/>
      </w:pPr>
      <w:rPr>
        <w:rFonts w:ascii="Symbol" w:hAnsi="Symbol" w:hint="default"/>
      </w:rPr>
    </w:lvl>
    <w:lvl w:ilvl="1" w:tplc="8CFAD9AA">
      <w:numFmt w:val="decimal"/>
      <w:lvlText w:val=""/>
      <w:lvlJc w:val="left"/>
    </w:lvl>
    <w:lvl w:ilvl="2" w:tplc="089CC0EE">
      <w:numFmt w:val="decimal"/>
      <w:lvlText w:val=""/>
      <w:lvlJc w:val="left"/>
    </w:lvl>
    <w:lvl w:ilvl="3" w:tplc="0F06ADF0">
      <w:numFmt w:val="decimal"/>
      <w:lvlText w:val=""/>
      <w:lvlJc w:val="left"/>
    </w:lvl>
    <w:lvl w:ilvl="4" w:tplc="3C060302">
      <w:numFmt w:val="decimal"/>
      <w:lvlText w:val=""/>
      <w:lvlJc w:val="left"/>
    </w:lvl>
    <w:lvl w:ilvl="5" w:tplc="E5D4B424">
      <w:numFmt w:val="decimal"/>
      <w:lvlText w:val=""/>
      <w:lvlJc w:val="left"/>
    </w:lvl>
    <w:lvl w:ilvl="6" w:tplc="5AE43C5C">
      <w:numFmt w:val="decimal"/>
      <w:lvlText w:val=""/>
      <w:lvlJc w:val="left"/>
    </w:lvl>
    <w:lvl w:ilvl="7" w:tplc="16144ECC">
      <w:numFmt w:val="decimal"/>
      <w:lvlText w:val=""/>
      <w:lvlJc w:val="left"/>
    </w:lvl>
    <w:lvl w:ilvl="8" w:tplc="36F274FA">
      <w:numFmt w:val="decimal"/>
      <w:lvlText w:val=""/>
      <w:lvlJc w:val="left"/>
    </w:lvl>
  </w:abstractNum>
  <w:abstractNum w:abstractNumId="13" w15:restartNumberingAfterBreak="0">
    <w:nsid w:val="1B1E71CE"/>
    <w:multiLevelType w:val="hybridMultilevel"/>
    <w:tmpl w:val="6AA493F8"/>
    <w:lvl w:ilvl="0" w:tplc="107CB46C">
      <w:start w:val="1"/>
      <w:numFmt w:val="bullet"/>
      <w:lvlText w:val=""/>
      <w:lvlJc w:val="left"/>
      <w:pPr>
        <w:tabs>
          <w:tab w:val="num" w:pos="1080"/>
        </w:tabs>
        <w:ind w:left="720" w:hanging="360"/>
      </w:pPr>
      <w:rPr>
        <w:rFonts w:ascii="Symbol" w:hAnsi="Symbol" w:hint="default"/>
      </w:rPr>
    </w:lvl>
    <w:lvl w:ilvl="1" w:tplc="1E46DB4A">
      <w:numFmt w:val="decimal"/>
      <w:lvlText w:val=""/>
      <w:lvlJc w:val="left"/>
    </w:lvl>
    <w:lvl w:ilvl="2" w:tplc="4E186582">
      <w:numFmt w:val="decimal"/>
      <w:lvlText w:val=""/>
      <w:lvlJc w:val="left"/>
    </w:lvl>
    <w:lvl w:ilvl="3" w:tplc="CD583C38">
      <w:numFmt w:val="decimal"/>
      <w:lvlText w:val=""/>
      <w:lvlJc w:val="left"/>
    </w:lvl>
    <w:lvl w:ilvl="4" w:tplc="9CCCDB9E">
      <w:numFmt w:val="decimal"/>
      <w:lvlText w:val=""/>
      <w:lvlJc w:val="left"/>
    </w:lvl>
    <w:lvl w:ilvl="5" w:tplc="CBA8753A">
      <w:numFmt w:val="decimal"/>
      <w:lvlText w:val=""/>
      <w:lvlJc w:val="left"/>
    </w:lvl>
    <w:lvl w:ilvl="6" w:tplc="B97C7AB2">
      <w:numFmt w:val="decimal"/>
      <w:lvlText w:val=""/>
      <w:lvlJc w:val="left"/>
    </w:lvl>
    <w:lvl w:ilvl="7" w:tplc="73D04DA4">
      <w:numFmt w:val="decimal"/>
      <w:lvlText w:val=""/>
      <w:lvlJc w:val="left"/>
    </w:lvl>
    <w:lvl w:ilvl="8" w:tplc="05B6978E">
      <w:numFmt w:val="decimal"/>
      <w:lvlText w:val=""/>
      <w:lvlJc w:val="left"/>
    </w:lvl>
  </w:abstractNum>
  <w:abstractNum w:abstractNumId="14" w15:restartNumberingAfterBreak="0">
    <w:nsid w:val="1DF91C65"/>
    <w:multiLevelType w:val="hybridMultilevel"/>
    <w:tmpl w:val="E4BC89C0"/>
    <w:lvl w:ilvl="0" w:tplc="299464BA">
      <w:start w:val="1"/>
      <w:numFmt w:val="bullet"/>
      <w:lvlText w:val=""/>
      <w:lvlJc w:val="left"/>
      <w:pPr>
        <w:tabs>
          <w:tab w:val="num" w:pos="1080"/>
        </w:tabs>
        <w:ind w:left="720" w:hanging="360"/>
      </w:pPr>
      <w:rPr>
        <w:rFonts w:ascii="Symbol" w:hAnsi="Symbol" w:hint="default"/>
      </w:rPr>
    </w:lvl>
    <w:lvl w:ilvl="1" w:tplc="CB02AD24">
      <w:numFmt w:val="decimal"/>
      <w:lvlText w:val=""/>
      <w:lvlJc w:val="left"/>
    </w:lvl>
    <w:lvl w:ilvl="2" w:tplc="C2AA85F6">
      <w:numFmt w:val="decimal"/>
      <w:lvlText w:val=""/>
      <w:lvlJc w:val="left"/>
    </w:lvl>
    <w:lvl w:ilvl="3" w:tplc="ACBA0CB0">
      <w:numFmt w:val="decimal"/>
      <w:lvlText w:val=""/>
      <w:lvlJc w:val="left"/>
    </w:lvl>
    <w:lvl w:ilvl="4" w:tplc="21365690">
      <w:numFmt w:val="decimal"/>
      <w:lvlText w:val=""/>
      <w:lvlJc w:val="left"/>
    </w:lvl>
    <w:lvl w:ilvl="5" w:tplc="57F01BE8">
      <w:numFmt w:val="decimal"/>
      <w:lvlText w:val=""/>
      <w:lvlJc w:val="left"/>
    </w:lvl>
    <w:lvl w:ilvl="6" w:tplc="08B68974">
      <w:numFmt w:val="decimal"/>
      <w:lvlText w:val=""/>
      <w:lvlJc w:val="left"/>
    </w:lvl>
    <w:lvl w:ilvl="7" w:tplc="8BD26E50">
      <w:numFmt w:val="decimal"/>
      <w:lvlText w:val=""/>
      <w:lvlJc w:val="left"/>
    </w:lvl>
    <w:lvl w:ilvl="8" w:tplc="8A742F7A">
      <w:numFmt w:val="decimal"/>
      <w:lvlText w:val=""/>
      <w:lvlJc w:val="left"/>
    </w:lvl>
  </w:abstractNum>
  <w:abstractNum w:abstractNumId="15" w15:restartNumberingAfterBreak="0">
    <w:nsid w:val="22A015E5"/>
    <w:multiLevelType w:val="hybridMultilevel"/>
    <w:tmpl w:val="726CFAFC"/>
    <w:lvl w:ilvl="0" w:tplc="3B162856">
      <w:start w:val="1"/>
      <w:numFmt w:val="bullet"/>
      <w:lvlText w:val=""/>
      <w:lvlJc w:val="left"/>
      <w:pPr>
        <w:tabs>
          <w:tab w:val="num" w:pos="1080"/>
        </w:tabs>
        <w:ind w:left="720" w:hanging="360"/>
      </w:pPr>
      <w:rPr>
        <w:rFonts w:ascii="Symbol" w:hAnsi="Symbol" w:hint="default"/>
      </w:rPr>
    </w:lvl>
    <w:lvl w:ilvl="1" w:tplc="F966705C">
      <w:numFmt w:val="decimal"/>
      <w:lvlText w:val=""/>
      <w:lvlJc w:val="left"/>
    </w:lvl>
    <w:lvl w:ilvl="2" w:tplc="0F7697C0">
      <w:numFmt w:val="decimal"/>
      <w:lvlText w:val=""/>
      <w:lvlJc w:val="left"/>
    </w:lvl>
    <w:lvl w:ilvl="3" w:tplc="0CFA4208">
      <w:numFmt w:val="decimal"/>
      <w:lvlText w:val=""/>
      <w:lvlJc w:val="left"/>
    </w:lvl>
    <w:lvl w:ilvl="4" w:tplc="B9E4D00A">
      <w:numFmt w:val="decimal"/>
      <w:lvlText w:val=""/>
      <w:lvlJc w:val="left"/>
    </w:lvl>
    <w:lvl w:ilvl="5" w:tplc="CCE05622">
      <w:numFmt w:val="decimal"/>
      <w:lvlText w:val=""/>
      <w:lvlJc w:val="left"/>
    </w:lvl>
    <w:lvl w:ilvl="6" w:tplc="C742C1B8">
      <w:numFmt w:val="decimal"/>
      <w:lvlText w:val=""/>
      <w:lvlJc w:val="left"/>
    </w:lvl>
    <w:lvl w:ilvl="7" w:tplc="69487FD8">
      <w:numFmt w:val="decimal"/>
      <w:lvlText w:val=""/>
      <w:lvlJc w:val="left"/>
    </w:lvl>
    <w:lvl w:ilvl="8" w:tplc="20802806">
      <w:numFmt w:val="decimal"/>
      <w:lvlText w:val=""/>
      <w:lvlJc w:val="left"/>
    </w:lvl>
  </w:abstractNum>
  <w:abstractNum w:abstractNumId="16" w15:restartNumberingAfterBreak="0">
    <w:nsid w:val="267C2F9C"/>
    <w:multiLevelType w:val="hybridMultilevel"/>
    <w:tmpl w:val="4292272A"/>
    <w:lvl w:ilvl="0" w:tplc="C456D306">
      <w:start w:val="1"/>
      <w:numFmt w:val="bullet"/>
      <w:lvlText w:val=""/>
      <w:lvlJc w:val="left"/>
      <w:pPr>
        <w:tabs>
          <w:tab w:val="num" w:pos="1080"/>
        </w:tabs>
        <w:ind w:left="720" w:hanging="360"/>
      </w:pPr>
      <w:rPr>
        <w:rFonts w:ascii="Symbol" w:hAnsi="Symbol" w:hint="default"/>
      </w:rPr>
    </w:lvl>
    <w:lvl w:ilvl="1" w:tplc="2EC23374">
      <w:numFmt w:val="decimal"/>
      <w:lvlText w:val=""/>
      <w:lvlJc w:val="left"/>
    </w:lvl>
    <w:lvl w:ilvl="2" w:tplc="47F62452">
      <w:numFmt w:val="decimal"/>
      <w:lvlText w:val=""/>
      <w:lvlJc w:val="left"/>
    </w:lvl>
    <w:lvl w:ilvl="3" w:tplc="BC768384">
      <w:numFmt w:val="decimal"/>
      <w:lvlText w:val=""/>
      <w:lvlJc w:val="left"/>
    </w:lvl>
    <w:lvl w:ilvl="4" w:tplc="D1706972">
      <w:numFmt w:val="decimal"/>
      <w:lvlText w:val=""/>
      <w:lvlJc w:val="left"/>
    </w:lvl>
    <w:lvl w:ilvl="5" w:tplc="92869CD2">
      <w:numFmt w:val="decimal"/>
      <w:lvlText w:val=""/>
      <w:lvlJc w:val="left"/>
    </w:lvl>
    <w:lvl w:ilvl="6" w:tplc="C2B08BD6">
      <w:numFmt w:val="decimal"/>
      <w:lvlText w:val=""/>
      <w:lvlJc w:val="left"/>
    </w:lvl>
    <w:lvl w:ilvl="7" w:tplc="2040B884">
      <w:numFmt w:val="decimal"/>
      <w:lvlText w:val=""/>
      <w:lvlJc w:val="left"/>
    </w:lvl>
    <w:lvl w:ilvl="8" w:tplc="1018D8D4">
      <w:numFmt w:val="decimal"/>
      <w:lvlText w:val=""/>
      <w:lvlJc w:val="left"/>
    </w:lvl>
  </w:abstractNum>
  <w:abstractNum w:abstractNumId="17" w15:restartNumberingAfterBreak="0">
    <w:nsid w:val="2A1B18FE"/>
    <w:multiLevelType w:val="hybridMultilevel"/>
    <w:tmpl w:val="F566DDE2"/>
    <w:lvl w:ilvl="0" w:tplc="DBA8489E">
      <w:start w:val="1"/>
      <w:numFmt w:val="bullet"/>
      <w:lvlText w:val=""/>
      <w:lvlJc w:val="left"/>
      <w:pPr>
        <w:tabs>
          <w:tab w:val="num" w:pos="1080"/>
        </w:tabs>
        <w:ind w:left="720" w:hanging="360"/>
      </w:pPr>
      <w:rPr>
        <w:rFonts w:ascii="Symbol" w:hAnsi="Symbol" w:hint="default"/>
      </w:rPr>
    </w:lvl>
    <w:lvl w:ilvl="1" w:tplc="54F24656">
      <w:numFmt w:val="decimal"/>
      <w:lvlText w:val=""/>
      <w:lvlJc w:val="left"/>
    </w:lvl>
    <w:lvl w:ilvl="2" w:tplc="DFDEC738">
      <w:numFmt w:val="decimal"/>
      <w:lvlText w:val=""/>
      <w:lvlJc w:val="left"/>
    </w:lvl>
    <w:lvl w:ilvl="3" w:tplc="6868E308">
      <w:numFmt w:val="decimal"/>
      <w:lvlText w:val=""/>
      <w:lvlJc w:val="left"/>
    </w:lvl>
    <w:lvl w:ilvl="4" w:tplc="642C6B70">
      <w:numFmt w:val="decimal"/>
      <w:lvlText w:val=""/>
      <w:lvlJc w:val="left"/>
    </w:lvl>
    <w:lvl w:ilvl="5" w:tplc="1B2E2BEC">
      <w:numFmt w:val="decimal"/>
      <w:lvlText w:val=""/>
      <w:lvlJc w:val="left"/>
    </w:lvl>
    <w:lvl w:ilvl="6" w:tplc="764EE8B2">
      <w:numFmt w:val="decimal"/>
      <w:lvlText w:val=""/>
      <w:lvlJc w:val="left"/>
    </w:lvl>
    <w:lvl w:ilvl="7" w:tplc="9C0ABF5A">
      <w:numFmt w:val="decimal"/>
      <w:lvlText w:val=""/>
      <w:lvlJc w:val="left"/>
    </w:lvl>
    <w:lvl w:ilvl="8" w:tplc="832CA27E">
      <w:numFmt w:val="decimal"/>
      <w:lvlText w:val=""/>
      <w:lvlJc w:val="left"/>
    </w:lvl>
  </w:abstractNum>
  <w:abstractNum w:abstractNumId="18" w15:restartNumberingAfterBreak="0">
    <w:nsid w:val="2A721118"/>
    <w:multiLevelType w:val="hybridMultilevel"/>
    <w:tmpl w:val="CC626878"/>
    <w:lvl w:ilvl="0" w:tplc="32D0CBC2">
      <w:start w:val="1"/>
      <w:numFmt w:val="bullet"/>
      <w:lvlText w:val=""/>
      <w:lvlJc w:val="left"/>
      <w:pPr>
        <w:tabs>
          <w:tab w:val="num" w:pos="1080"/>
        </w:tabs>
        <w:ind w:left="720" w:hanging="360"/>
      </w:pPr>
      <w:rPr>
        <w:rFonts w:ascii="Symbol" w:hAnsi="Symbol" w:hint="default"/>
      </w:rPr>
    </w:lvl>
    <w:lvl w:ilvl="1" w:tplc="6ADC14D0">
      <w:numFmt w:val="decimal"/>
      <w:lvlText w:val=""/>
      <w:lvlJc w:val="left"/>
    </w:lvl>
    <w:lvl w:ilvl="2" w:tplc="F410B590">
      <w:numFmt w:val="decimal"/>
      <w:lvlText w:val=""/>
      <w:lvlJc w:val="left"/>
    </w:lvl>
    <w:lvl w:ilvl="3" w:tplc="D674D5B4">
      <w:numFmt w:val="decimal"/>
      <w:lvlText w:val=""/>
      <w:lvlJc w:val="left"/>
    </w:lvl>
    <w:lvl w:ilvl="4" w:tplc="08343070">
      <w:numFmt w:val="decimal"/>
      <w:lvlText w:val=""/>
      <w:lvlJc w:val="left"/>
    </w:lvl>
    <w:lvl w:ilvl="5" w:tplc="8814EF32">
      <w:numFmt w:val="decimal"/>
      <w:lvlText w:val=""/>
      <w:lvlJc w:val="left"/>
    </w:lvl>
    <w:lvl w:ilvl="6" w:tplc="020611D8">
      <w:numFmt w:val="decimal"/>
      <w:lvlText w:val=""/>
      <w:lvlJc w:val="left"/>
    </w:lvl>
    <w:lvl w:ilvl="7" w:tplc="DB2600EE">
      <w:numFmt w:val="decimal"/>
      <w:lvlText w:val=""/>
      <w:lvlJc w:val="left"/>
    </w:lvl>
    <w:lvl w:ilvl="8" w:tplc="E208E194">
      <w:numFmt w:val="decimal"/>
      <w:lvlText w:val=""/>
      <w:lvlJc w:val="left"/>
    </w:lvl>
  </w:abstractNum>
  <w:abstractNum w:abstractNumId="19" w15:restartNumberingAfterBreak="0">
    <w:nsid w:val="2D1658C1"/>
    <w:multiLevelType w:val="hybridMultilevel"/>
    <w:tmpl w:val="753AB816"/>
    <w:lvl w:ilvl="0" w:tplc="BB50A616">
      <w:start w:val="1"/>
      <w:numFmt w:val="bullet"/>
      <w:lvlText w:val=""/>
      <w:lvlJc w:val="left"/>
      <w:pPr>
        <w:tabs>
          <w:tab w:val="num" w:pos="1080"/>
        </w:tabs>
        <w:ind w:left="720" w:hanging="360"/>
      </w:pPr>
      <w:rPr>
        <w:rFonts w:ascii="Symbol" w:hAnsi="Symbol" w:hint="default"/>
      </w:rPr>
    </w:lvl>
    <w:lvl w:ilvl="1" w:tplc="41F854FA">
      <w:numFmt w:val="decimal"/>
      <w:lvlText w:val=""/>
      <w:lvlJc w:val="left"/>
    </w:lvl>
    <w:lvl w:ilvl="2" w:tplc="50065C98">
      <w:numFmt w:val="decimal"/>
      <w:lvlText w:val=""/>
      <w:lvlJc w:val="left"/>
    </w:lvl>
    <w:lvl w:ilvl="3" w:tplc="B33EDF72">
      <w:numFmt w:val="decimal"/>
      <w:lvlText w:val=""/>
      <w:lvlJc w:val="left"/>
    </w:lvl>
    <w:lvl w:ilvl="4" w:tplc="CCAC8108">
      <w:numFmt w:val="decimal"/>
      <w:lvlText w:val=""/>
      <w:lvlJc w:val="left"/>
    </w:lvl>
    <w:lvl w:ilvl="5" w:tplc="93F0F65A">
      <w:numFmt w:val="decimal"/>
      <w:lvlText w:val=""/>
      <w:lvlJc w:val="left"/>
    </w:lvl>
    <w:lvl w:ilvl="6" w:tplc="82383D66">
      <w:numFmt w:val="decimal"/>
      <w:lvlText w:val=""/>
      <w:lvlJc w:val="left"/>
    </w:lvl>
    <w:lvl w:ilvl="7" w:tplc="EB6A03E6">
      <w:numFmt w:val="decimal"/>
      <w:lvlText w:val=""/>
      <w:lvlJc w:val="left"/>
    </w:lvl>
    <w:lvl w:ilvl="8" w:tplc="FD4A8D88">
      <w:numFmt w:val="decimal"/>
      <w:lvlText w:val=""/>
      <w:lvlJc w:val="left"/>
    </w:lvl>
  </w:abstractNum>
  <w:abstractNum w:abstractNumId="20" w15:restartNumberingAfterBreak="0">
    <w:nsid w:val="2F09180B"/>
    <w:multiLevelType w:val="hybridMultilevel"/>
    <w:tmpl w:val="1744080C"/>
    <w:lvl w:ilvl="0" w:tplc="36F2325C">
      <w:start w:val="1"/>
      <w:numFmt w:val="bullet"/>
      <w:lvlText w:val=""/>
      <w:lvlJc w:val="left"/>
      <w:pPr>
        <w:tabs>
          <w:tab w:val="num" w:pos="1080"/>
        </w:tabs>
        <w:ind w:left="720" w:hanging="360"/>
      </w:pPr>
      <w:rPr>
        <w:rFonts w:ascii="Symbol" w:hAnsi="Symbol" w:hint="default"/>
      </w:rPr>
    </w:lvl>
    <w:lvl w:ilvl="1" w:tplc="51E09632">
      <w:numFmt w:val="decimal"/>
      <w:lvlText w:val=""/>
      <w:lvlJc w:val="left"/>
    </w:lvl>
    <w:lvl w:ilvl="2" w:tplc="9D925F64">
      <w:numFmt w:val="decimal"/>
      <w:lvlText w:val=""/>
      <w:lvlJc w:val="left"/>
    </w:lvl>
    <w:lvl w:ilvl="3" w:tplc="0D385B7E">
      <w:numFmt w:val="decimal"/>
      <w:lvlText w:val=""/>
      <w:lvlJc w:val="left"/>
    </w:lvl>
    <w:lvl w:ilvl="4" w:tplc="5A76C154">
      <w:numFmt w:val="decimal"/>
      <w:lvlText w:val=""/>
      <w:lvlJc w:val="left"/>
    </w:lvl>
    <w:lvl w:ilvl="5" w:tplc="2FA641A2">
      <w:numFmt w:val="decimal"/>
      <w:lvlText w:val=""/>
      <w:lvlJc w:val="left"/>
    </w:lvl>
    <w:lvl w:ilvl="6" w:tplc="6658BD8C">
      <w:numFmt w:val="decimal"/>
      <w:lvlText w:val=""/>
      <w:lvlJc w:val="left"/>
    </w:lvl>
    <w:lvl w:ilvl="7" w:tplc="5AAAA392">
      <w:numFmt w:val="decimal"/>
      <w:lvlText w:val=""/>
      <w:lvlJc w:val="left"/>
    </w:lvl>
    <w:lvl w:ilvl="8" w:tplc="B4C4392E">
      <w:numFmt w:val="decimal"/>
      <w:lvlText w:val=""/>
      <w:lvlJc w:val="left"/>
    </w:lvl>
  </w:abstractNum>
  <w:abstractNum w:abstractNumId="21" w15:restartNumberingAfterBreak="0">
    <w:nsid w:val="30887DA6"/>
    <w:multiLevelType w:val="hybridMultilevel"/>
    <w:tmpl w:val="314CB5B4"/>
    <w:lvl w:ilvl="0" w:tplc="385CA0FA">
      <w:start w:val="1"/>
      <w:numFmt w:val="bullet"/>
      <w:lvlText w:val=""/>
      <w:lvlJc w:val="left"/>
      <w:pPr>
        <w:tabs>
          <w:tab w:val="num" w:pos="1080"/>
        </w:tabs>
        <w:ind w:left="720" w:hanging="360"/>
      </w:pPr>
      <w:rPr>
        <w:rFonts w:ascii="Symbol" w:hAnsi="Symbol" w:hint="default"/>
      </w:rPr>
    </w:lvl>
    <w:lvl w:ilvl="1" w:tplc="FF203870">
      <w:numFmt w:val="decimal"/>
      <w:lvlText w:val=""/>
      <w:lvlJc w:val="left"/>
    </w:lvl>
    <w:lvl w:ilvl="2" w:tplc="9D4CD350">
      <w:numFmt w:val="decimal"/>
      <w:lvlText w:val=""/>
      <w:lvlJc w:val="left"/>
    </w:lvl>
    <w:lvl w:ilvl="3" w:tplc="201C419E">
      <w:numFmt w:val="decimal"/>
      <w:lvlText w:val=""/>
      <w:lvlJc w:val="left"/>
    </w:lvl>
    <w:lvl w:ilvl="4" w:tplc="B90470C8">
      <w:numFmt w:val="decimal"/>
      <w:lvlText w:val=""/>
      <w:lvlJc w:val="left"/>
    </w:lvl>
    <w:lvl w:ilvl="5" w:tplc="44A4B5E4">
      <w:numFmt w:val="decimal"/>
      <w:lvlText w:val=""/>
      <w:lvlJc w:val="left"/>
    </w:lvl>
    <w:lvl w:ilvl="6" w:tplc="8CD2DAB4">
      <w:numFmt w:val="decimal"/>
      <w:lvlText w:val=""/>
      <w:lvlJc w:val="left"/>
    </w:lvl>
    <w:lvl w:ilvl="7" w:tplc="C07AA776">
      <w:numFmt w:val="decimal"/>
      <w:lvlText w:val=""/>
      <w:lvlJc w:val="left"/>
    </w:lvl>
    <w:lvl w:ilvl="8" w:tplc="D11C9994">
      <w:numFmt w:val="decimal"/>
      <w:lvlText w:val=""/>
      <w:lvlJc w:val="left"/>
    </w:lvl>
  </w:abstractNum>
  <w:abstractNum w:abstractNumId="22" w15:restartNumberingAfterBreak="0">
    <w:nsid w:val="32C85042"/>
    <w:multiLevelType w:val="hybridMultilevel"/>
    <w:tmpl w:val="63029B30"/>
    <w:lvl w:ilvl="0" w:tplc="27E62098">
      <w:start w:val="1"/>
      <w:numFmt w:val="bullet"/>
      <w:lvlText w:val=""/>
      <w:lvlJc w:val="left"/>
      <w:pPr>
        <w:tabs>
          <w:tab w:val="num" w:pos="1080"/>
        </w:tabs>
        <w:ind w:left="720" w:hanging="360"/>
      </w:pPr>
      <w:rPr>
        <w:rFonts w:ascii="Symbol" w:hAnsi="Symbol" w:hint="default"/>
      </w:rPr>
    </w:lvl>
    <w:lvl w:ilvl="1" w:tplc="DAE28A54">
      <w:numFmt w:val="decimal"/>
      <w:lvlText w:val=""/>
      <w:lvlJc w:val="left"/>
    </w:lvl>
    <w:lvl w:ilvl="2" w:tplc="3A5AF334">
      <w:numFmt w:val="decimal"/>
      <w:lvlText w:val=""/>
      <w:lvlJc w:val="left"/>
    </w:lvl>
    <w:lvl w:ilvl="3" w:tplc="A970BABE">
      <w:numFmt w:val="decimal"/>
      <w:lvlText w:val=""/>
      <w:lvlJc w:val="left"/>
    </w:lvl>
    <w:lvl w:ilvl="4" w:tplc="B95EE746">
      <w:numFmt w:val="decimal"/>
      <w:lvlText w:val=""/>
      <w:lvlJc w:val="left"/>
    </w:lvl>
    <w:lvl w:ilvl="5" w:tplc="303275D4">
      <w:numFmt w:val="decimal"/>
      <w:lvlText w:val=""/>
      <w:lvlJc w:val="left"/>
    </w:lvl>
    <w:lvl w:ilvl="6" w:tplc="B360FE3A">
      <w:numFmt w:val="decimal"/>
      <w:lvlText w:val=""/>
      <w:lvlJc w:val="left"/>
    </w:lvl>
    <w:lvl w:ilvl="7" w:tplc="98C8A2F2">
      <w:numFmt w:val="decimal"/>
      <w:lvlText w:val=""/>
      <w:lvlJc w:val="left"/>
    </w:lvl>
    <w:lvl w:ilvl="8" w:tplc="A2984C7A">
      <w:numFmt w:val="decimal"/>
      <w:lvlText w:val=""/>
      <w:lvlJc w:val="left"/>
    </w:lvl>
  </w:abstractNum>
  <w:abstractNum w:abstractNumId="23" w15:restartNumberingAfterBreak="0">
    <w:nsid w:val="34D3425E"/>
    <w:multiLevelType w:val="hybridMultilevel"/>
    <w:tmpl w:val="816A3EBA"/>
    <w:lvl w:ilvl="0" w:tplc="D6306EE6">
      <w:start w:val="1"/>
      <w:numFmt w:val="bullet"/>
      <w:lvlText w:val=""/>
      <w:lvlJc w:val="left"/>
      <w:pPr>
        <w:tabs>
          <w:tab w:val="num" w:pos="1080"/>
        </w:tabs>
        <w:ind w:left="720" w:hanging="360"/>
      </w:pPr>
      <w:rPr>
        <w:rFonts w:ascii="Symbol" w:hAnsi="Symbol" w:hint="default"/>
      </w:rPr>
    </w:lvl>
    <w:lvl w:ilvl="1" w:tplc="FA8A2E1C">
      <w:numFmt w:val="decimal"/>
      <w:lvlText w:val=""/>
      <w:lvlJc w:val="left"/>
    </w:lvl>
    <w:lvl w:ilvl="2" w:tplc="4E0224EC">
      <w:numFmt w:val="decimal"/>
      <w:lvlText w:val=""/>
      <w:lvlJc w:val="left"/>
    </w:lvl>
    <w:lvl w:ilvl="3" w:tplc="C05AF86C">
      <w:numFmt w:val="decimal"/>
      <w:lvlText w:val=""/>
      <w:lvlJc w:val="left"/>
    </w:lvl>
    <w:lvl w:ilvl="4" w:tplc="EB4EAC3E">
      <w:numFmt w:val="decimal"/>
      <w:lvlText w:val=""/>
      <w:lvlJc w:val="left"/>
    </w:lvl>
    <w:lvl w:ilvl="5" w:tplc="44C48BE2">
      <w:numFmt w:val="decimal"/>
      <w:lvlText w:val=""/>
      <w:lvlJc w:val="left"/>
    </w:lvl>
    <w:lvl w:ilvl="6" w:tplc="E1C84E92">
      <w:numFmt w:val="decimal"/>
      <w:lvlText w:val=""/>
      <w:lvlJc w:val="left"/>
    </w:lvl>
    <w:lvl w:ilvl="7" w:tplc="ACBE7192">
      <w:numFmt w:val="decimal"/>
      <w:lvlText w:val=""/>
      <w:lvlJc w:val="left"/>
    </w:lvl>
    <w:lvl w:ilvl="8" w:tplc="6D0A78C8">
      <w:numFmt w:val="decimal"/>
      <w:lvlText w:val=""/>
      <w:lvlJc w:val="left"/>
    </w:lvl>
  </w:abstractNum>
  <w:abstractNum w:abstractNumId="24" w15:restartNumberingAfterBreak="0">
    <w:nsid w:val="370454B9"/>
    <w:multiLevelType w:val="hybridMultilevel"/>
    <w:tmpl w:val="10D29E12"/>
    <w:lvl w:ilvl="0" w:tplc="BC687670">
      <w:start w:val="1"/>
      <w:numFmt w:val="bullet"/>
      <w:lvlText w:val=""/>
      <w:lvlJc w:val="left"/>
      <w:pPr>
        <w:tabs>
          <w:tab w:val="num" w:pos="1080"/>
        </w:tabs>
        <w:ind w:left="720" w:hanging="360"/>
      </w:pPr>
      <w:rPr>
        <w:rFonts w:ascii="Symbol" w:hAnsi="Symbol" w:hint="default"/>
      </w:rPr>
    </w:lvl>
    <w:lvl w:ilvl="1" w:tplc="200A5F9C">
      <w:numFmt w:val="decimal"/>
      <w:lvlText w:val=""/>
      <w:lvlJc w:val="left"/>
    </w:lvl>
    <w:lvl w:ilvl="2" w:tplc="384E7958">
      <w:numFmt w:val="decimal"/>
      <w:lvlText w:val=""/>
      <w:lvlJc w:val="left"/>
    </w:lvl>
    <w:lvl w:ilvl="3" w:tplc="B8E47248">
      <w:numFmt w:val="decimal"/>
      <w:lvlText w:val=""/>
      <w:lvlJc w:val="left"/>
    </w:lvl>
    <w:lvl w:ilvl="4" w:tplc="A17C8880">
      <w:numFmt w:val="decimal"/>
      <w:lvlText w:val=""/>
      <w:lvlJc w:val="left"/>
    </w:lvl>
    <w:lvl w:ilvl="5" w:tplc="048EF7E0">
      <w:numFmt w:val="decimal"/>
      <w:lvlText w:val=""/>
      <w:lvlJc w:val="left"/>
    </w:lvl>
    <w:lvl w:ilvl="6" w:tplc="E3EA05A8">
      <w:numFmt w:val="decimal"/>
      <w:lvlText w:val=""/>
      <w:lvlJc w:val="left"/>
    </w:lvl>
    <w:lvl w:ilvl="7" w:tplc="627EF74E">
      <w:numFmt w:val="decimal"/>
      <w:lvlText w:val=""/>
      <w:lvlJc w:val="left"/>
    </w:lvl>
    <w:lvl w:ilvl="8" w:tplc="141CC568">
      <w:numFmt w:val="decimal"/>
      <w:lvlText w:val=""/>
      <w:lvlJc w:val="left"/>
    </w:lvl>
  </w:abstractNum>
  <w:abstractNum w:abstractNumId="25" w15:restartNumberingAfterBreak="0">
    <w:nsid w:val="394B3F02"/>
    <w:multiLevelType w:val="hybridMultilevel"/>
    <w:tmpl w:val="D5DAB748"/>
    <w:lvl w:ilvl="0" w:tplc="F16074C0">
      <w:start w:val="1"/>
      <w:numFmt w:val="bullet"/>
      <w:lvlText w:val=""/>
      <w:lvlJc w:val="left"/>
      <w:pPr>
        <w:tabs>
          <w:tab w:val="num" w:pos="1080"/>
        </w:tabs>
        <w:ind w:left="720" w:hanging="360"/>
      </w:pPr>
      <w:rPr>
        <w:rFonts w:ascii="Symbol" w:hAnsi="Symbol" w:hint="default"/>
      </w:rPr>
    </w:lvl>
    <w:lvl w:ilvl="1" w:tplc="5ABC5D76">
      <w:numFmt w:val="decimal"/>
      <w:lvlText w:val=""/>
      <w:lvlJc w:val="left"/>
    </w:lvl>
    <w:lvl w:ilvl="2" w:tplc="059EEEA4">
      <w:numFmt w:val="decimal"/>
      <w:lvlText w:val=""/>
      <w:lvlJc w:val="left"/>
    </w:lvl>
    <w:lvl w:ilvl="3" w:tplc="95184C96">
      <w:numFmt w:val="decimal"/>
      <w:lvlText w:val=""/>
      <w:lvlJc w:val="left"/>
    </w:lvl>
    <w:lvl w:ilvl="4" w:tplc="8AA8F812">
      <w:numFmt w:val="decimal"/>
      <w:lvlText w:val=""/>
      <w:lvlJc w:val="left"/>
    </w:lvl>
    <w:lvl w:ilvl="5" w:tplc="54AEEA66">
      <w:numFmt w:val="decimal"/>
      <w:lvlText w:val=""/>
      <w:lvlJc w:val="left"/>
    </w:lvl>
    <w:lvl w:ilvl="6" w:tplc="F8347D0C">
      <w:numFmt w:val="decimal"/>
      <w:lvlText w:val=""/>
      <w:lvlJc w:val="left"/>
    </w:lvl>
    <w:lvl w:ilvl="7" w:tplc="93629136">
      <w:numFmt w:val="decimal"/>
      <w:lvlText w:val=""/>
      <w:lvlJc w:val="left"/>
    </w:lvl>
    <w:lvl w:ilvl="8" w:tplc="3328CC26">
      <w:numFmt w:val="decimal"/>
      <w:lvlText w:val=""/>
      <w:lvlJc w:val="left"/>
    </w:lvl>
  </w:abstractNum>
  <w:abstractNum w:abstractNumId="26" w15:restartNumberingAfterBreak="0">
    <w:nsid w:val="39D30394"/>
    <w:multiLevelType w:val="hybridMultilevel"/>
    <w:tmpl w:val="078CD124"/>
    <w:lvl w:ilvl="0" w:tplc="D2EE9E3E">
      <w:start w:val="1"/>
      <w:numFmt w:val="bullet"/>
      <w:lvlText w:val=""/>
      <w:lvlJc w:val="left"/>
      <w:pPr>
        <w:tabs>
          <w:tab w:val="num" w:pos="1080"/>
        </w:tabs>
        <w:ind w:left="720" w:hanging="360"/>
      </w:pPr>
      <w:rPr>
        <w:rFonts w:ascii="Symbol" w:hAnsi="Symbol" w:hint="default"/>
      </w:rPr>
    </w:lvl>
    <w:lvl w:ilvl="1" w:tplc="38207D88">
      <w:numFmt w:val="decimal"/>
      <w:lvlText w:val=""/>
      <w:lvlJc w:val="left"/>
    </w:lvl>
    <w:lvl w:ilvl="2" w:tplc="6802AE66">
      <w:numFmt w:val="decimal"/>
      <w:lvlText w:val=""/>
      <w:lvlJc w:val="left"/>
    </w:lvl>
    <w:lvl w:ilvl="3" w:tplc="15F8311E">
      <w:numFmt w:val="decimal"/>
      <w:lvlText w:val=""/>
      <w:lvlJc w:val="left"/>
    </w:lvl>
    <w:lvl w:ilvl="4" w:tplc="B2027BA8">
      <w:numFmt w:val="decimal"/>
      <w:lvlText w:val=""/>
      <w:lvlJc w:val="left"/>
    </w:lvl>
    <w:lvl w:ilvl="5" w:tplc="5CCC8BB2">
      <w:numFmt w:val="decimal"/>
      <w:lvlText w:val=""/>
      <w:lvlJc w:val="left"/>
    </w:lvl>
    <w:lvl w:ilvl="6" w:tplc="CFA8182E">
      <w:numFmt w:val="decimal"/>
      <w:lvlText w:val=""/>
      <w:lvlJc w:val="left"/>
    </w:lvl>
    <w:lvl w:ilvl="7" w:tplc="097400F6">
      <w:numFmt w:val="decimal"/>
      <w:lvlText w:val=""/>
      <w:lvlJc w:val="left"/>
    </w:lvl>
    <w:lvl w:ilvl="8" w:tplc="529C95D8">
      <w:numFmt w:val="decimal"/>
      <w:lvlText w:val=""/>
      <w:lvlJc w:val="left"/>
    </w:lvl>
  </w:abstractNum>
  <w:abstractNum w:abstractNumId="27" w15:restartNumberingAfterBreak="0">
    <w:nsid w:val="3A2F5131"/>
    <w:multiLevelType w:val="hybridMultilevel"/>
    <w:tmpl w:val="32C8A574"/>
    <w:lvl w:ilvl="0" w:tplc="D4265BA8">
      <w:start w:val="1"/>
      <w:numFmt w:val="bullet"/>
      <w:lvlText w:val=""/>
      <w:lvlJc w:val="left"/>
      <w:pPr>
        <w:tabs>
          <w:tab w:val="num" w:pos="1080"/>
        </w:tabs>
        <w:ind w:left="720" w:hanging="360"/>
      </w:pPr>
      <w:rPr>
        <w:rFonts w:ascii="Symbol" w:hAnsi="Symbol" w:hint="default"/>
      </w:rPr>
    </w:lvl>
    <w:lvl w:ilvl="1" w:tplc="BF4A2BE4">
      <w:numFmt w:val="decimal"/>
      <w:lvlText w:val=""/>
      <w:lvlJc w:val="left"/>
    </w:lvl>
    <w:lvl w:ilvl="2" w:tplc="1E4A6DFC">
      <w:numFmt w:val="decimal"/>
      <w:lvlText w:val=""/>
      <w:lvlJc w:val="left"/>
    </w:lvl>
    <w:lvl w:ilvl="3" w:tplc="F7BC9040">
      <w:numFmt w:val="decimal"/>
      <w:lvlText w:val=""/>
      <w:lvlJc w:val="left"/>
    </w:lvl>
    <w:lvl w:ilvl="4" w:tplc="86E45C24">
      <w:numFmt w:val="decimal"/>
      <w:lvlText w:val=""/>
      <w:lvlJc w:val="left"/>
    </w:lvl>
    <w:lvl w:ilvl="5" w:tplc="5FCC9696">
      <w:numFmt w:val="decimal"/>
      <w:lvlText w:val=""/>
      <w:lvlJc w:val="left"/>
    </w:lvl>
    <w:lvl w:ilvl="6" w:tplc="9E022866">
      <w:numFmt w:val="decimal"/>
      <w:lvlText w:val=""/>
      <w:lvlJc w:val="left"/>
    </w:lvl>
    <w:lvl w:ilvl="7" w:tplc="54E8E340">
      <w:numFmt w:val="decimal"/>
      <w:lvlText w:val=""/>
      <w:lvlJc w:val="left"/>
    </w:lvl>
    <w:lvl w:ilvl="8" w:tplc="A35A2544">
      <w:numFmt w:val="decimal"/>
      <w:lvlText w:val=""/>
      <w:lvlJc w:val="left"/>
    </w:lvl>
  </w:abstractNum>
  <w:abstractNum w:abstractNumId="28" w15:restartNumberingAfterBreak="0">
    <w:nsid w:val="3AF166C6"/>
    <w:multiLevelType w:val="hybridMultilevel"/>
    <w:tmpl w:val="F3E66D32"/>
    <w:lvl w:ilvl="0" w:tplc="A9D27EBC">
      <w:start w:val="1"/>
      <w:numFmt w:val="bullet"/>
      <w:lvlText w:val=""/>
      <w:lvlJc w:val="left"/>
      <w:pPr>
        <w:tabs>
          <w:tab w:val="num" w:pos="1080"/>
        </w:tabs>
        <w:ind w:left="720" w:hanging="360"/>
      </w:pPr>
      <w:rPr>
        <w:rFonts w:ascii="Symbol" w:hAnsi="Symbol" w:hint="default"/>
      </w:rPr>
    </w:lvl>
    <w:lvl w:ilvl="1" w:tplc="7B5E43CE">
      <w:numFmt w:val="decimal"/>
      <w:lvlText w:val=""/>
      <w:lvlJc w:val="left"/>
    </w:lvl>
    <w:lvl w:ilvl="2" w:tplc="8B6C1AE2">
      <w:numFmt w:val="decimal"/>
      <w:lvlText w:val=""/>
      <w:lvlJc w:val="left"/>
    </w:lvl>
    <w:lvl w:ilvl="3" w:tplc="C94CF17E">
      <w:numFmt w:val="decimal"/>
      <w:lvlText w:val=""/>
      <w:lvlJc w:val="left"/>
    </w:lvl>
    <w:lvl w:ilvl="4" w:tplc="36DA96E6">
      <w:numFmt w:val="decimal"/>
      <w:lvlText w:val=""/>
      <w:lvlJc w:val="left"/>
    </w:lvl>
    <w:lvl w:ilvl="5" w:tplc="5A6E9076">
      <w:numFmt w:val="decimal"/>
      <w:lvlText w:val=""/>
      <w:lvlJc w:val="left"/>
    </w:lvl>
    <w:lvl w:ilvl="6" w:tplc="7E3C50D6">
      <w:numFmt w:val="decimal"/>
      <w:lvlText w:val=""/>
      <w:lvlJc w:val="left"/>
    </w:lvl>
    <w:lvl w:ilvl="7" w:tplc="9CBC564C">
      <w:numFmt w:val="decimal"/>
      <w:lvlText w:val=""/>
      <w:lvlJc w:val="left"/>
    </w:lvl>
    <w:lvl w:ilvl="8" w:tplc="016C02C0">
      <w:numFmt w:val="decimal"/>
      <w:lvlText w:val=""/>
      <w:lvlJc w:val="left"/>
    </w:lvl>
  </w:abstractNum>
  <w:abstractNum w:abstractNumId="29" w15:restartNumberingAfterBreak="0">
    <w:nsid w:val="3C901546"/>
    <w:multiLevelType w:val="hybridMultilevel"/>
    <w:tmpl w:val="86AE621E"/>
    <w:lvl w:ilvl="0" w:tplc="A8FC4EDE">
      <w:start w:val="1"/>
      <w:numFmt w:val="bullet"/>
      <w:lvlText w:val=""/>
      <w:lvlJc w:val="left"/>
      <w:pPr>
        <w:tabs>
          <w:tab w:val="num" w:pos="1080"/>
        </w:tabs>
        <w:ind w:left="720" w:hanging="360"/>
      </w:pPr>
      <w:rPr>
        <w:rFonts w:ascii="Symbol" w:hAnsi="Symbol" w:hint="default"/>
      </w:rPr>
    </w:lvl>
    <w:lvl w:ilvl="1" w:tplc="1C7297E8">
      <w:numFmt w:val="decimal"/>
      <w:lvlText w:val=""/>
      <w:lvlJc w:val="left"/>
    </w:lvl>
    <w:lvl w:ilvl="2" w:tplc="4F66768A">
      <w:numFmt w:val="decimal"/>
      <w:lvlText w:val=""/>
      <w:lvlJc w:val="left"/>
    </w:lvl>
    <w:lvl w:ilvl="3" w:tplc="16FAE9C8">
      <w:numFmt w:val="decimal"/>
      <w:lvlText w:val=""/>
      <w:lvlJc w:val="left"/>
    </w:lvl>
    <w:lvl w:ilvl="4" w:tplc="565EC8E0">
      <w:numFmt w:val="decimal"/>
      <w:lvlText w:val=""/>
      <w:lvlJc w:val="left"/>
    </w:lvl>
    <w:lvl w:ilvl="5" w:tplc="C6E01A9C">
      <w:numFmt w:val="decimal"/>
      <w:lvlText w:val=""/>
      <w:lvlJc w:val="left"/>
    </w:lvl>
    <w:lvl w:ilvl="6" w:tplc="2F60E45C">
      <w:numFmt w:val="decimal"/>
      <w:lvlText w:val=""/>
      <w:lvlJc w:val="left"/>
    </w:lvl>
    <w:lvl w:ilvl="7" w:tplc="5FA6CF4A">
      <w:numFmt w:val="decimal"/>
      <w:lvlText w:val=""/>
      <w:lvlJc w:val="left"/>
    </w:lvl>
    <w:lvl w:ilvl="8" w:tplc="E586F982">
      <w:numFmt w:val="decimal"/>
      <w:lvlText w:val=""/>
      <w:lvlJc w:val="left"/>
    </w:lvl>
  </w:abstractNum>
  <w:abstractNum w:abstractNumId="30" w15:restartNumberingAfterBreak="0">
    <w:nsid w:val="3DC73780"/>
    <w:multiLevelType w:val="hybridMultilevel"/>
    <w:tmpl w:val="AAEA4108"/>
    <w:lvl w:ilvl="0" w:tplc="2C24E07A">
      <w:start w:val="1"/>
      <w:numFmt w:val="bullet"/>
      <w:lvlText w:val=""/>
      <w:lvlJc w:val="left"/>
      <w:pPr>
        <w:tabs>
          <w:tab w:val="num" w:pos="1080"/>
        </w:tabs>
        <w:ind w:left="720" w:hanging="360"/>
      </w:pPr>
      <w:rPr>
        <w:rFonts w:ascii="Symbol" w:hAnsi="Symbol" w:hint="default"/>
      </w:rPr>
    </w:lvl>
    <w:lvl w:ilvl="1" w:tplc="485A0648">
      <w:numFmt w:val="decimal"/>
      <w:lvlText w:val=""/>
      <w:lvlJc w:val="left"/>
    </w:lvl>
    <w:lvl w:ilvl="2" w:tplc="5D644170">
      <w:numFmt w:val="decimal"/>
      <w:lvlText w:val=""/>
      <w:lvlJc w:val="left"/>
    </w:lvl>
    <w:lvl w:ilvl="3" w:tplc="E736A134">
      <w:numFmt w:val="decimal"/>
      <w:lvlText w:val=""/>
      <w:lvlJc w:val="left"/>
    </w:lvl>
    <w:lvl w:ilvl="4" w:tplc="B7CEC7A0">
      <w:numFmt w:val="decimal"/>
      <w:lvlText w:val=""/>
      <w:lvlJc w:val="left"/>
    </w:lvl>
    <w:lvl w:ilvl="5" w:tplc="C7885F4C">
      <w:numFmt w:val="decimal"/>
      <w:lvlText w:val=""/>
      <w:lvlJc w:val="left"/>
    </w:lvl>
    <w:lvl w:ilvl="6" w:tplc="56F8B95C">
      <w:numFmt w:val="decimal"/>
      <w:lvlText w:val=""/>
      <w:lvlJc w:val="left"/>
    </w:lvl>
    <w:lvl w:ilvl="7" w:tplc="6E6A66D0">
      <w:numFmt w:val="decimal"/>
      <w:lvlText w:val=""/>
      <w:lvlJc w:val="left"/>
    </w:lvl>
    <w:lvl w:ilvl="8" w:tplc="CFD0D4EE">
      <w:numFmt w:val="decimal"/>
      <w:lvlText w:val=""/>
      <w:lvlJc w:val="left"/>
    </w:lvl>
  </w:abstractNum>
  <w:abstractNum w:abstractNumId="31" w15:restartNumberingAfterBreak="0">
    <w:nsid w:val="3E296724"/>
    <w:multiLevelType w:val="hybridMultilevel"/>
    <w:tmpl w:val="4A261670"/>
    <w:lvl w:ilvl="0" w:tplc="2AF206C4">
      <w:start w:val="1"/>
      <w:numFmt w:val="bullet"/>
      <w:lvlText w:val=""/>
      <w:lvlJc w:val="left"/>
      <w:pPr>
        <w:tabs>
          <w:tab w:val="num" w:pos="1080"/>
        </w:tabs>
        <w:ind w:left="720" w:hanging="360"/>
      </w:pPr>
      <w:rPr>
        <w:rFonts w:ascii="Symbol" w:hAnsi="Symbol" w:hint="default"/>
      </w:rPr>
    </w:lvl>
    <w:lvl w:ilvl="1" w:tplc="F35223AE">
      <w:numFmt w:val="decimal"/>
      <w:lvlText w:val=""/>
      <w:lvlJc w:val="left"/>
    </w:lvl>
    <w:lvl w:ilvl="2" w:tplc="0E60CDB0">
      <w:numFmt w:val="decimal"/>
      <w:lvlText w:val=""/>
      <w:lvlJc w:val="left"/>
    </w:lvl>
    <w:lvl w:ilvl="3" w:tplc="78EED602">
      <w:numFmt w:val="decimal"/>
      <w:lvlText w:val=""/>
      <w:lvlJc w:val="left"/>
    </w:lvl>
    <w:lvl w:ilvl="4" w:tplc="A9F0F1AA">
      <w:numFmt w:val="decimal"/>
      <w:lvlText w:val=""/>
      <w:lvlJc w:val="left"/>
    </w:lvl>
    <w:lvl w:ilvl="5" w:tplc="BD7A7592">
      <w:numFmt w:val="decimal"/>
      <w:lvlText w:val=""/>
      <w:lvlJc w:val="left"/>
    </w:lvl>
    <w:lvl w:ilvl="6" w:tplc="CB74BD10">
      <w:numFmt w:val="decimal"/>
      <w:lvlText w:val=""/>
      <w:lvlJc w:val="left"/>
    </w:lvl>
    <w:lvl w:ilvl="7" w:tplc="C06CA6CA">
      <w:numFmt w:val="decimal"/>
      <w:lvlText w:val=""/>
      <w:lvlJc w:val="left"/>
    </w:lvl>
    <w:lvl w:ilvl="8" w:tplc="0810CDC4">
      <w:numFmt w:val="decimal"/>
      <w:lvlText w:val=""/>
      <w:lvlJc w:val="left"/>
    </w:lvl>
  </w:abstractNum>
  <w:abstractNum w:abstractNumId="32" w15:restartNumberingAfterBreak="0">
    <w:nsid w:val="40430DD3"/>
    <w:multiLevelType w:val="hybridMultilevel"/>
    <w:tmpl w:val="F770310E"/>
    <w:lvl w:ilvl="0" w:tplc="48E4AA82">
      <w:start w:val="1"/>
      <w:numFmt w:val="bullet"/>
      <w:lvlText w:val=""/>
      <w:lvlJc w:val="left"/>
      <w:pPr>
        <w:tabs>
          <w:tab w:val="num" w:pos="1080"/>
        </w:tabs>
        <w:ind w:left="720" w:hanging="360"/>
      </w:pPr>
      <w:rPr>
        <w:rFonts w:ascii="Symbol" w:hAnsi="Symbol" w:hint="default"/>
      </w:rPr>
    </w:lvl>
    <w:lvl w:ilvl="1" w:tplc="A9F8F96A">
      <w:numFmt w:val="decimal"/>
      <w:lvlText w:val=""/>
      <w:lvlJc w:val="left"/>
    </w:lvl>
    <w:lvl w:ilvl="2" w:tplc="0694C8A0">
      <w:numFmt w:val="decimal"/>
      <w:lvlText w:val=""/>
      <w:lvlJc w:val="left"/>
    </w:lvl>
    <w:lvl w:ilvl="3" w:tplc="50A89202">
      <w:numFmt w:val="decimal"/>
      <w:lvlText w:val=""/>
      <w:lvlJc w:val="left"/>
    </w:lvl>
    <w:lvl w:ilvl="4" w:tplc="F966607A">
      <w:numFmt w:val="decimal"/>
      <w:lvlText w:val=""/>
      <w:lvlJc w:val="left"/>
    </w:lvl>
    <w:lvl w:ilvl="5" w:tplc="8640C1AE">
      <w:numFmt w:val="decimal"/>
      <w:lvlText w:val=""/>
      <w:lvlJc w:val="left"/>
    </w:lvl>
    <w:lvl w:ilvl="6" w:tplc="BF0A6BBE">
      <w:numFmt w:val="decimal"/>
      <w:lvlText w:val=""/>
      <w:lvlJc w:val="left"/>
    </w:lvl>
    <w:lvl w:ilvl="7" w:tplc="BD6ECC18">
      <w:numFmt w:val="decimal"/>
      <w:lvlText w:val=""/>
      <w:lvlJc w:val="left"/>
    </w:lvl>
    <w:lvl w:ilvl="8" w:tplc="31480328">
      <w:numFmt w:val="decimal"/>
      <w:lvlText w:val=""/>
      <w:lvlJc w:val="left"/>
    </w:lvl>
  </w:abstractNum>
  <w:abstractNum w:abstractNumId="33" w15:restartNumberingAfterBreak="0">
    <w:nsid w:val="42FB4676"/>
    <w:multiLevelType w:val="hybridMultilevel"/>
    <w:tmpl w:val="CF2EAECC"/>
    <w:lvl w:ilvl="0" w:tplc="4BA21184">
      <w:start w:val="1"/>
      <w:numFmt w:val="bullet"/>
      <w:lvlText w:val=""/>
      <w:lvlJc w:val="left"/>
      <w:pPr>
        <w:tabs>
          <w:tab w:val="num" w:pos="1080"/>
        </w:tabs>
        <w:ind w:left="720" w:hanging="360"/>
      </w:pPr>
      <w:rPr>
        <w:rFonts w:ascii="Symbol" w:hAnsi="Symbol" w:hint="default"/>
      </w:rPr>
    </w:lvl>
    <w:lvl w:ilvl="1" w:tplc="4D88EF5C">
      <w:numFmt w:val="decimal"/>
      <w:lvlText w:val=""/>
      <w:lvlJc w:val="left"/>
    </w:lvl>
    <w:lvl w:ilvl="2" w:tplc="5B983064">
      <w:numFmt w:val="decimal"/>
      <w:lvlText w:val=""/>
      <w:lvlJc w:val="left"/>
    </w:lvl>
    <w:lvl w:ilvl="3" w:tplc="F5EE6CBA">
      <w:numFmt w:val="decimal"/>
      <w:lvlText w:val=""/>
      <w:lvlJc w:val="left"/>
    </w:lvl>
    <w:lvl w:ilvl="4" w:tplc="85047160">
      <w:numFmt w:val="decimal"/>
      <w:lvlText w:val=""/>
      <w:lvlJc w:val="left"/>
    </w:lvl>
    <w:lvl w:ilvl="5" w:tplc="E39C8EA2">
      <w:numFmt w:val="decimal"/>
      <w:lvlText w:val=""/>
      <w:lvlJc w:val="left"/>
    </w:lvl>
    <w:lvl w:ilvl="6" w:tplc="79845BAE">
      <w:numFmt w:val="decimal"/>
      <w:lvlText w:val=""/>
      <w:lvlJc w:val="left"/>
    </w:lvl>
    <w:lvl w:ilvl="7" w:tplc="AFF8653E">
      <w:numFmt w:val="decimal"/>
      <w:lvlText w:val=""/>
      <w:lvlJc w:val="left"/>
    </w:lvl>
    <w:lvl w:ilvl="8" w:tplc="751E8D72">
      <w:numFmt w:val="decimal"/>
      <w:lvlText w:val=""/>
      <w:lvlJc w:val="left"/>
    </w:lvl>
  </w:abstractNum>
  <w:abstractNum w:abstractNumId="34" w15:restartNumberingAfterBreak="0">
    <w:nsid w:val="447D3836"/>
    <w:multiLevelType w:val="hybridMultilevel"/>
    <w:tmpl w:val="3CC6E710"/>
    <w:lvl w:ilvl="0" w:tplc="FA66E0EC">
      <w:start w:val="1"/>
      <w:numFmt w:val="bullet"/>
      <w:lvlText w:val=""/>
      <w:lvlJc w:val="left"/>
      <w:pPr>
        <w:tabs>
          <w:tab w:val="num" w:pos="1080"/>
        </w:tabs>
        <w:ind w:left="720" w:hanging="360"/>
      </w:pPr>
      <w:rPr>
        <w:rFonts w:ascii="Symbol" w:hAnsi="Symbol" w:hint="default"/>
      </w:rPr>
    </w:lvl>
    <w:lvl w:ilvl="1" w:tplc="6452FF60">
      <w:numFmt w:val="decimal"/>
      <w:lvlText w:val=""/>
      <w:lvlJc w:val="left"/>
    </w:lvl>
    <w:lvl w:ilvl="2" w:tplc="AF60959A">
      <w:numFmt w:val="decimal"/>
      <w:lvlText w:val=""/>
      <w:lvlJc w:val="left"/>
    </w:lvl>
    <w:lvl w:ilvl="3" w:tplc="D91E0AE2">
      <w:numFmt w:val="decimal"/>
      <w:lvlText w:val=""/>
      <w:lvlJc w:val="left"/>
    </w:lvl>
    <w:lvl w:ilvl="4" w:tplc="F2D8DEC8">
      <w:numFmt w:val="decimal"/>
      <w:lvlText w:val=""/>
      <w:lvlJc w:val="left"/>
    </w:lvl>
    <w:lvl w:ilvl="5" w:tplc="4994470A">
      <w:numFmt w:val="decimal"/>
      <w:lvlText w:val=""/>
      <w:lvlJc w:val="left"/>
    </w:lvl>
    <w:lvl w:ilvl="6" w:tplc="B56A1576">
      <w:numFmt w:val="decimal"/>
      <w:lvlText w:val=""/>
      <w:lvlJc w:val="left"/>
    </w:lvl>
    <w:lvl w:ilvl="7" w:tplc="D310A4FC">
      <w:numFmt w:val="decimal"/>
      <w:lvlText w:val=""/>
      <w:lvlJc w:val="left"/>
    </w:lvl>
    <w:lvl w:ilvl="8" w:tplc="E6A019AC">
      <w:numFmt w:val="decimal"/>
      <w:lvlText w:val=""/>
      <w:lvlJc w:val="left"/>
    </w:lvl>
  </w:abstractNum>
  <w:abstractNum w:abstractNumId="35" w15:restartNumberingAfterBreak="0">
    <w:nsid w:val="452677B7"/>
    <w:multiLevelType w:val="hybridMultilevel"/>
    <w:tmpl w:val="FBA8F090"/>
    <w:lvl w:ilvl="0" w:tplc="64465DF0">
      <w:start w:val="1"/>
      <w:numFmt w:val="decimal"/>
      <w:lvlText w:val="%1."/>
      <w:lvlJc w:val="left"/>
      <w:pPr>
        <w:tabs>
          <w:tab w:val="num" w:pos="1080"/>
        </w:tabs>
        <w:ind w:left="720" w:hanging="360"/>
      </w:pPr>
    </w:lvl>
    <w:lvl w:ilvl="1" w:tplc="3DDA3042">
      <w:numFmt w:val="decimal"/>
      <w:lvlText w:val=""/>
      <w:lvlJc w:val="left"/>
    </w:lvl>
    <w:lvl w:ilvl="2" w:tplc="9E8AAD4A">
      <w:numFmt w:val="decimal"/>
      <w:lvlText w:val=""/>
      <w:lvlJc w:val="left"/>
    </w:lvl>
    <w:lvl w:ilvl="3" w:tplc="8FAE7CCA">
      <w:numFmt w:val="decimal"/>
      <w:lvlText w:val=""/>
      <w:lvlJc w:val="left"/>
    </w:lvl>
    <w:lvl w:ilvl="4" w:tplc="EAF66116">
      <w:numFmt w:val="decimal"/>
      <w:lvlText w:val=""/>
      <w:lvlJc w:val="left"/>
    </w:lvl>
    <w:lvl w:ilvl="5" w:tplc="F3E66900">
      <w:numFmt w:val="decimal"/>
      <w:lvlText w:val=""/>
      <w:lvlJc w:val="left"/>
    </w:lvl>
    <w:lvl w:ilvl="6" w:tplc="80F015F6">
      <w:numFmt w:val="decimal"/>
      <w:lvlText w:val=""/>
      <w:lvlJc w:val="left"/>
    </w:lvl>
    <w:lvl w:ilvl="7" w:tplc="DBCE27B6">
      <w:numFmt w:val="decimal"/>
      <w:lvlText w:val=""/>
      <w:lvlJc w:val="left"/>
    </w:lvl>
    <w:lvl w:ilvl="8" w:tplc="BB52DC06">
      <w:numFmt w:val="decimal"/>
      <w:lvlText w:val=""/>
      <w:lvlJc w:val="left"/>
    </w:lvl>
  </w:abstractNum>
  <w:abstractNum w:abstractNumId="36" w15:restartNumberingAfterBreak="0">
    <w:nsid w:val="48EB2C7B"/>
    <w:multiLevelType w:val="hybridMultilevel"/>
    <w:tmpl w:val="3036D34C"/>
    <w:lvl w:ilvl="0" w:tplc="8F1003FE">
      <w:start w:val="1"/>
      <w:numFmt w:val="bullet"/>
      <w:lvlText w:val=""/>
      <w:lvlJc w:val="left"/>
      <w:pPr>
        <w:tabs>
          <w:tab w:val="num" w:pos="1080"/>
        </w:tabs>
        <w:ind w:left="720" w:hanging="360"/>
      </w:pPr>
      <w:rPr>
        <w:rFonts w:ascii="Symbol" w:hAnsi="Symbol" w:hint="default"/>
      </w:rPr>
    </w:lvl>
    <w:lvl w:ilvl="1" w:tplc="A7F261F6">
      <w:numFmt w:val="decimal"/>
      <w:lvlText w:val=""/>
      <w:lvlJc w:val="left"/>
    </w:lvl>
    <w:lvl w:ilvl="2" w:tplc="B94C2D14">
      <w:numFmt w:val="decimal"/>
      <w:lvlText w:val=""/>
      <w:lvlJc w:val="left"/>
    </w:lvl>
    <w:lvl w:ilvl="3" w:tplc="9E76A748">
      <w:numFmt w:val="decimal"/>
      <w:lvlText w:val=""/>
      <w:lvlJc w:val="left"/>
    </w:lvl>
    <w:lvl w:ilvl="4" w:tplc="ED4AED84">
      <w:numFmt w:val="decimal"/>
      <w:lvlText w:val=""/>
      <w:lvlJc w:val="left"/>
    </w:lvl>
    <w:lvl w:ilvl="5" w:tplc="69A436AE">
      <w:numFmt w:val="decimal"/>
      <w:lvlText w:val=""/>
      <w:lvlJc w:val="left"/>
    </w:lvl>
    <w:lvl w:ilvl="6" w:tplc="209E9A94">
      <w:numFmt w:val="decimal"/>
      <w:lvlText w:val=""/>
      <w:lvlJc w:val="left"/>
    </w:lvl>
    <w:lvl w:ilvl="7" w:tplc="B90EE740">
      <w:numFmt w:val="decimal"/>
      <w:lvlText w:val=""/>
      <w:lvlJc w:val="left"/>
    </w:lvl>
    <w:lvl w:ilvl="8" w:tplc="19FEAB98">
      <w:numFmt w:val="decimal"/>
      <w:lvlText w:val=""/>
      <w:lvlJc w:val="left"/>
    </w:lvl>
  </w:abstractNum>
  <w:abstractNum w:abstractNumId="37" w15:restartNumberingAfterBreak="0">
    <w:nsid w:val="4BD74291"/>
    <w:multiLevelType w:val="hybridMultilevel"/>
    <w:tmpl w:val="D2A23FE6"/>
    <w:lvl w:ilvl="0" w:tplc="AF18A85E">
      <w:start w:val="1"/>
      <w:numFmt w:val="bullet"/>
      <w:lvlText w:val=""/>
      <w:lvlJc w:val="left"/>
      <w:pPr>
        <w:tabs>
          <w:tab w:val="num" w:pos="1080"/>
        </w:tabs>
        <w:ind w:left="720" w:hanging="360"/>
      </w:pPr>
      <w:rPr>
        <w:rFonts w:ascii="Symbol" w:hAnsi="Symbol" w:hint="default"/>
      </w:rPr>
    </w:lvl>
    <w:lvl w:ilvl="1" w:tplc="91784806">
      <w:numFmt w:val="decimal"/>
      <w:lvlText w:val=""/>
      <w:lvlJc w:val="left"/>
    </w:lvl>
    <w:lvl w:ilvl="2" w:tplc="5EAEAAC6">
      <w:numFmt w:val="decimal"/>
      <w:lvlText w:val=""/>
      <w:lvlJc w:val="left"/>
    </w:lvl>
    <w:lvl w:ilvl="3" w:tplc="E814C2EC">
      <w:numFmt w:val="decimal"/>
      <w:lvlText w:val=""/>
      <w:lvlJc w:val="left"/>
    </w:lvl>
    <w:lvl w:ilvl="4" w:tplc="6470B2F0">
      <w:numFmt w:val="decimal"/>
      <w:lvlText w:val=""/>
      <w:lvlJc w:val="left"/>
    </w:lvl>
    <w:lvl w:ilvl="5" w:tplc="2736BB1E">
      <w:numFmt w:val="decimal"/>
      <w:lvlText w:val=""/>
      <w:lvlJc w:val="left"/>
    </w:lvl>
    <w:lvl w:ilvl="6" w:tplc="FF0E882E">
      <w:numFmt w:val="decimal"/>
      <w:lvlText w:val=""/>
      <w:lvlJc w:val="left"/>
    </w:lvl>
    <w:lvl w:ilvl="7" w:tplc="F6E657C8">
      <w:numFmt w:val="decimal"/>
      <w:lvlText w:val=""/>
      <w:lvlJc w:val="left"/>
    </w:lvl>
    <w:lvl w:ilvl="8" w:tplc="09E4B506">
      <w:numFmt w:val="decimal"/>
      <w:lvlText w:val=""/>
      <w:lvlJc w:val="left"/>
    </w:lvl>
  </w:abstractNum>
  <w:abstractNum w:abstractNumId="38" w15:restartNumberingAfterBreak="0">
    <w:nsid w:val="4DBC58DF"/>
    <w:multiLevelType w:val="hybridMultilevel"/>
    <w:tmpl w:val="57FCC46C"/>
    <w:lvl w:ilvl="0" w:tplc="FBEC3A6A">
      <w:start w:val="1"/>
      <w:numFmt w:val="bullet"/>
      <w:lvlText w:val=""/>
      <w:lvlJc w:val="left"/>
      <w:pPr>
        <w:tabs>
          <w:tab w:val="num" w:pos="1080"/>
        </w:tabs>
        <w:ind w:left="720" w:hanging="360"/>
      </w:pPr>
      <w:rPr>
        <w:rFonts w:ascii="Symbol" w:hAnsi="Symbol" w:hint="default"/>
      </w:rPr>
    </w:lvl>
    <w:lvl w:ilvl="1" w:tplc="448AB0CC">
      <w:numFmt w:val="decimal"/>
      <w:lvlText w:val=""/>
      <w:lvlJc w:val="left"/>
    </w:lvl>
    <w:lvl w:ilvl="2" w:tplc="0388D5F2">
      <w:numFmt w:val="decimal"/>
      <w:lvlText w:val=""/>
      <w:lvlJc w:val="left"/>
    </w:lvl>
    <w:lvl w:ilvl="3" w:tplc="59F6A66E">
      <w:numFmt w:val="decimal"/>
      <w:lvlText w:val=""/>
      <w:lvlJc w:val="left"/>
    </w:lvl>
    <w:lvl w:ilvl="4" w:tplc="7BA4D5CE">
      <w:numFmt w:val="decimal"/>
      <w:lvlText w:val=""/>
      <w:lvlJc w:val="left"/>
    </w:lvl>
    <w:lvl w:ilvl="5" w:tplc="F09AC5EE">
      <w:numFmt w:val="decimal"/>
      <w:lvlText w:val=""/>
      <w:lvlJc w:val="left"/>
    </w:lvl>
    <w:lvl w:ilvl="6" w:tplc="F24E603C">
      <w:numFmt w:val="decimal"/>
      <w:lvlText w:val=""/>
      <w:lvlJc w:val="left"/>
    </w:lvl>
    <w:lvl w:ilvl="7" w:tplc="5CDE4102">
      <w:numFmt w:val="decimal"/>
      <w:lvlText w:val=""/>
      <w:lvlJc w:val="left"/>
    </w:lvl>
    <w:lvl w:ilvl="8" w:tplc="5C242A40">
      <w:numFmt w:val="decimal"/>
      <w:lvlText w:val=""/>
      <w:lvlJc w:val="left"/>
    </w:lvl>
  </w:abstractNum>
  <w:abstractNum w:abstractNumId="39" w15:restartNumberingAfterBreak="0">
    <w:nsid w:val="4FBD45DD"/>
    <w:multiLevelType w:val="hybridMultilevel"/>
    <w:tmpl w:val="D1100A66"/>
    <w:lvl w:ilvl="0" w:tplc="34D07778">
      <w:start w:val="1"/>
      <w:numFmt w:val="bullet"/>
      <w:lvlText w:val=""/>
      <w:lvlJc w:val="left"/>
      <w:pPr>
        <w:tabs>
          <w:tab w:val="num" w:pos="1080"/>
        </w:tabs>
        <w:ind w:left="720" w:hanging="360"/>
      </w:pPr>
      <w:rPr>
        <w:rFonts w:ascii="Symbol" w:hAnsi="Symbol" w:hint="default"/>
      </w:rPr>
    </w:lvl>
    <w:lvl w:ilvl="1" w:tplc="C4021AD4">
      <w:numFmt w:val="decimal"/>
      <w:lvlText w:val=""/>
      <w:lvlJc w:val="left"/>
    </w:lvl>
    <w:lvl w:ilvl="2" w:tplc="9E2EEBC0">
      <w:numFmt w:val="decimal"/>
      <w:lvlText w:val=""/>
      <w:lvlJc w:val="left"/>
    </w:lvl>
    <w:lvl w:ilvl="3" w:tplc="DDC45A80">
      <w:numFmt w:val="decimal"/>
      <w:lvlText w:val=""/>
      <w:lvlJc w:val="left"/>
    </w:lvl>
    <w:lvl w:ilvl="4" w:tplc="552E4CF6">
      <w:numFmt w:val="decimal"/>
      <w:lvlText w:val=""/>
      <w:lvlJc w:val="left"/>
    </w:lvl>
    <w:lvl w:ilvl="5" w:tplc="0128DD56">
      <w:numFmt w:val="decimal"/>
      <w:lvlText w:val=""/>
      <w:lvlJc w:val="left"/>
    </w:lvl>
    <w:lvl w:ilvl="6" w:tplc="BAC6EF12">
      <w:numFmt w:val="decimal"/>
      <w:lvlText w:val=""/>
      <w:lvlJc w:val="left"/>
    </w:lvl>
    <w:lvl w:ilvl="7" w:tplc="231C7282">
      <w:numFmt w:val="decimal"/>
      <w:lvlText w:val=""/>
      <w:lvlJc w:val="left"/>
    </w:lvl>
    <w:lvl w:ilvl="8" w:tplc="576E871C">
      <w:numFmt w:val="decimal"/>
      <w:lvlText w:val=""/>
      <w:lvlJc w:val="left"/>
    </w:lvl>
  </w:abstractNum>
  <w:abstractNum w:abstractNumId="40" w15:restartNumberingAfterBreak="0">
    <w:nsid w:val="52792A0F"/>
    <w:multiLevelType w:val="hybridMultilevel"/>
    <w:tmpl w:val="9C1699B6"/>
    <w:lvl w:ilvl="0" w:tplc="55C00BB4">
      <w:start w:val="1"/>
      <w:numFmt w:val="bullet"/>
      <w:lvlText w:val=""/>
      <w:lvlJc w:val="left"/>
      <w:pPr>
        <w:tabs>
          <w:tab w:val="num" w:pos="1080"/>
        </w:tabs>
        <w:ind w:left="720" w:hanging="360"/>
      </w:pPr>
      <w:rPr>
        <w:rFonts w:ascii="Symbol" w:hAnsi="Symbol" w:hint="default"/>
      </w:rPr>
    </w:lvl>
    <w:lvl w:ilvl="1" w:tplc="4B7C5A10">
      <w:numFmt w:val="decimal"/>
      <w:lvlText w:val=""/>
      <w:lvlJc w:val="left"/>
    </w:lvl>
    <w:lvl w:ilvl="2" w:tplc="7F821A9C">
      <w:numFmt w:val="decimal"/>
      <w:lvlText w:val=""/>
      <w:lvlJc w:val="left"/>
    </w:lvl>
    <w:lvl w:ilvl="3" w:tplc="155252E2">
      <w:numFmt w:val="decimal"/>
      <w:lvlText w:val=""/>
      <w:lvlJc w:val="left"/>
    </w:lvl>
    <w:lvl w:ilvl="4" w:tplc="2DF8D02A">
      <w:numFmt w:val="decimal"/>
      <w:lvlText w:val=""/>
      <w:lvlJc w:val="left"/>
    </w:lvl>
    <w:lvl w:ilvl="5" w:tplc="5902FA54">
      <w:numFmt w:val="decimal"/>
      <w:lvlText w:val=""/>
      <w:lvlJc w:val="left"/>
    </w:lvl>
    <w:lvl w:ilvl="6" w:tplc="239EADB8">
      <w:numFmt w:val="decimal"/>
      <w:lvlText w:val=""/>
      <w:lvlJc w:val="left"/>
    </w:lvl>
    <w:lvl w:ilvl="7" w:tplc="1BA83FAA">
      <w:numFmt w:val="decimal"/>
      <w:lvlText w:val=""/>
      <w:lvlJc w:val="left"/>
    </w:lvl>
    <w:lvl w:ilvl="8" w:tplc="D8142A8C">
      <w:numFmt w:val="decimal"/>
      <w:lvlText w:val=""/>
      <w:lvlJc w:val="left"/>
    </w:lvl>
  </w:abstractNum>
  <w:abstractNum w:abstractNumId="41" w15:restartNumberingAfterBreak="0">
    <w:nsid w:val="585B5B9D"/>
    <w:multiLevelType w:val="hybridMultilevel"/>
    <w:tmpl w:val="CCEADA70"/>
    <w:lvl w:ilvl="0" w:tplc="9C887A1A">
      <w:start w:val="1"/>
      <w:numFmt w:val="bullet"/>
      <w:lvlText w:val=""/>
      <w:lvlJc w:val="left"/>
      <w:pPr>
        <w:tabs>
          <w:tab w:val="num" w:pos="1080"/>
        </w:tabs>
        <w:ind w:left="720" w:hanging="360"/>
      </w:pPr>
      <w:rPr>
        <w:rFonts w:ascii="Symbol" w:hAnsi="Symbol" w:hint="default"/>
      </w:rPr>
    </w:lvl>
    <w:lvl w:ilvl="1" w:tplc="A1FCD102">
      <w:numFmt w:val="decimal"/>
      <w:lvlText w:val=""/>
      <w:lvlJc w:val="left"/>
    </w:lvl>
    <w:lvl w:ilvl="2" w:tplc="D570BD02">
      <w:numFmt w:val="decimal"/>
      <w:lvlText w:val=""/>
      <w:lvlJc w:val="left"/>
    </w:lvl>
    <w:lvl w:ilvl="3" w:tplc="A63E0AB0">
      <w:numFmt w:val="decimal"/>
      <w:lvlText w:val=""/>
      <w:lvlJc w:val="left"/>
    </w:lvl>
    <w:lvl w:ilvl="4" w:tplc="72CED276">
      <w:numFmt w:val="decimal"/>
      <w:lvlText w:val=""/>
      <w:lvlJc w:val="left"/>
    </w:lvl>
    <w:lvl w:ilvl="5" w:tplc="AF3E68E0">
      <w:numFmt w:val="decimal"/>
      <w:lvlText w:val=""/>
      <w:lvlJc w:val="left"/>
    </w:lvl>
    <w:lvl w:ilvl="6" w:tplc="EBC205A2">
      <w:numFmt w:val="decimal"/>
      <w:lvlText w:val=""/>
      <w:lvlJc w:val="left"/>
    </w:lvl>
    <w:lvl w:ilvl="7" w:tplc="6DD05206">
      <w:numFmt w:val="decimal"/>
      <w:lvlText w:val=""/>
      <w:lvlJc w:val="left"/>
    </w:lvl>
    <w:lvl w:ilvl="8" w:tplc="35F8C422">
      <w:numFmt w:val="decimal"/>
      <w:lvlText w:val=""/>
      <w:lvlJc w:val="left"/>
    </w:lvl>
  </w:abstractNum>
  <w:abstractNum w:abstractNumId="42" w15:restartNumberingAfterBreak="0">
    <w:nsid w:val="5A150F88"/>
    <w:multiLevelType w:val="hybridMultilevel"/>
    <w:tmpl w:val="16E24440"/>
    <w:lvl w:ilvl="0" w:tplc="ADF64368">
      <w:start w:val="1"/>
      <w:numFmt w:val="bullet"/>
      <w:lvlText w:val=""/>
      <w:lvlJc w:val="left"/>
      <w:pPr>
        <w:tabs>
          <w:tab w:val="num" w:pos="1080"/>
        </w:tabs>
        <w:ind w:left="720" w:hanging="360"/>
      </w:pPr>
      <w:rPr>
        <w:rFonts w:ascii="Symbol" w:hAnsi="Symbol" w:hint="default"/>
      </w:rPr>
    </w:lvl>
    <w:lvl w:ilvl="1" w:tplc="772E964C">
      <w:numFmt w:val="decimal"/>
      <w:lvlText w:val=""/>
      <w:lvlJc w:val="left"/>
    </w:lvl>
    <w:lvl w:ilvl="2" w:tplc="7B444FF4">
      <w:numFmt w:val="decimal"/>
      <w:lvlText w:val=""/>
      <w:lvlJc w:val="left"/>
    </w:lvl>
    <w:lvl w:ilvl="3" w:tplc="9266D3F2">
      <w:numFmt w:val="decimal"/>
      <w:lvlText w:val=""/>
      <w:lvlJc w:val="left"/>
    </w:lvl>
    <w:lvl w:ilvl="4" w:tplc="AC301F4C">
      <w:numFmt w:val="decimal"/>
      <w:lvlText w:val=""/>
      <w:lvlJc w:val="left"/>
    </w:lvl>
    <w:lvl w:ilvl="5" w:tplc="F0E29284">
      <w:numFmt w:val="decimal"/>
      <w:lvlText w:val=""/>
      <w:lvlJc w:val="left"/>
    </w:lvl>
    <w:lvl w:ilvl="6" w:tplc="516A9F5E">
      <w:numFmt w:val="decimal"/>
      <w:lvlText w:val=""/>
      <w:lvlJc w:val="left"/>
    </w:lvl>
    <w:lvl w:ilvl="7" w:tplc="6A56DB2E">
      <w:numFmt w:val="decimal"/>
      <w:lvlText w:val=""/>
      <w:lvlJc w:val="left"/>
    </w:lvl>
    <w:lvl w:ilvl="8" w:tplc="33B2B8A6">
      <w:numFmt w:val="decimal"/>
      <w:lvlText w:val=""/>
      <w:lvlJc w:val="left"/>
    </w:lvl>
  </w:abstractNum>
  <w:abstractNum w:abstractNumId="43" w15:restartNumberingAfterBreak="0">
    <w:nsid w:val="5F2E2A8D"/>
    <w:multiLevelType w:val="hybridMultilevel"/>
    <w:tmpl w:val="571EB692"/>
    <w:lvl w:ilvl="0" w:tplc="927AF566">
      <w:start w:val="1"/>
      <w:numFmt w:val="bullet"/>
      <w:lvlText w:val=""/>
      <w:lvlJc w:val="left"/>
      <w:pPr>
        <w:tabs>
          <w:tab w:val="num" w:pos="1080"/>
        </w:tabs>
        <w:ind w:left="720" w:hanging="360"/>
      </w:pPr>
      <w:rPr>
        <w:rFonts w:ascii="Symbol" w:hAnsi="Symbol" w:hint="default"/>
      </w:rPr>
    </w:lvl>
    <w:lvl w:ilvl="1" w:tplc="0BCC0592">
      <w:numFmt w:val="decimal"/>
      <w:lvlText w:val=""/>
      <w:lvlJc w:val="left"/>
    </w:lvl>
    <w:lvl w:ilvl="2" w:tplc="199A8D80">
      <w:numFmt w:val="decimal"/>
      <w:lvlText w:val=""/>
      <w:lvlJc w:val="left"/>
    </w:lvl>
    <w:lvl w:ilvl="3" w:tplc="E3E8C5FE">
      <w:numFmt w:val="decimal"/>
      <w:lvlText w:val=""/>
      <w:lvlJc w:val="left"/>
    </w:lvl>
    <w:lvl w:ilvl="4" w:tplc="2D28A306">
      <w:numFmt w:val="decimal"/>
      <w:lvlText w:val=""/>
      <w:lvlJc w:val="left"/>
    </w:lvl>
    <w:lvl w:ilvl="5" w:tplc="9C64305C">
      <w:numFmt w:val="decimal"/>
      <w:lvlText w:val=""/>
      <w:lvlJc w:val="left"/>
    </w:lvl>
    <w:lvl w:ilvl="6" w:tplc="B4FE0388">
      <w:numFmt w:val="decimal"/>
      <w:lvlText w:val=""/>
      <w:lvlJc w:val="left"/>
    </w:lvl>
    <w:lvl w:ilvl="7" w:tplc="EC66B110">
      <w:numFmt w:val="decimal"/>
      <w:lvlText w:val=""/>
      <w:lvlJc w:val="left"/>
    </w:lvl>
    <w:lvl w:ilvl="8" w:tplc="3F42565A">
      <w:numFmt w:val="decimal"/>
      <w:lvlText w:val=""/>
      <w:lvlJc w:val="left"/>
    </w:lvl>
  </w:abstractNum>
  <w:abstractNum w:abstractNumId="44" w15:restartNumberingAfterBreak="0">
    <w:nsid w:val="5FCD02E5"/>
    <w:multiLevelType w:val="hybridMultilevel"/>
    <w:tmpl w:val="84E0F60A"/>
    <w:lvl w:ilvl="0" w:tplc="951614C8">
      <w:start w:val="1"/>
      <w:numFmt w:val="bullet"/>
      <w:lvlText w:val=""/>
      <w:lvlJc w:val="left"/>
      <w:pPr>
        <w:tabs>
          <w:tab w:val="num" w:pos="1080"/>
        </w:tabs>
        <w:ind w:left="720" w:hanging="360"/>
      </w:pPr>
      <w:rPr>
        <w:rFonts w:ascii="Symbol" w:hAnsi="Symbol" w:hint="default"/>
      </w:rPr>
    </w:lvl>
    <w:lvl w:ilvl="1" w:tplc="AC62B898">
      <w:numFmt w:val="decimal"/>
      <w:lvlText w:val=""/>
      <w:lvlJc w:val="left"/>
    </w:lvl>
    <w:lvl w:ilvl="2" w:tplc="15E4463C">
      <w:numFmt w:val="decimal"/>
      <w:lvlText w:val=""/>
      <w:lvlJc w:val="left"/>
    </w:lvl>
    <w:lvl w:ilvl="3" w:tplc="CFEC22EE">
      <w:numFmt w:val="decimal"/>
      <w:lvlText w:val=""/>
      <w:lvlJc w:val="left"/>
    </w:lvl>
    <w:lvl w:ilvl="4" w:tplc="53B49122">
      <w:numFmt w:val="decimal"/>
      <w:lvlText w:val=""/>
      <w:lvlJc w:val="left"/>
    </w:lvl>
    <w:lvl w:ilvl="5" w:tplc="680E7EAA">
      <w:numFmt w:val="decimal"/>
      <w:lvlText w:val=""/>
      <w:lvlJc w:val="left"/>
    </w:lvl>
    <w:lvl w:ilvl="6" w:tplc="DD5A8042">
      <w:numFmt w:val="decimal"/>
      <w:lvlText w:val=""/>
      <w:lvlJc w:val="left"/>
    </w:lvl>
    <w:lvl w:ilvl="7" w:tplc="F9D2801E">
      <w:numFmt w:val="decimal"/>
      <w:lvlText w:val=""/>
      <w:lvlJc w:val="left"/>
    </w:lvl>
    <w:lvl w:ilvl="8" w:tplc="7E342716">
      <w:numFmt w:val="decimal"/>
      <w:lvlText w:val=""/>
      <w:lvlJc w:val="left"/>
    </w:lvl>
  </w:abstractNum>
  <w:abstractNum w:abstractNumId="45" w15:restartNumberingAfterBreak="0">
    <w:nsid w:val="61AF3009"/>
    <w:multiLevelType w:val="hybridMultilevel"/>
    <w:tmpl w:val="FC8C3F1E"/>
    <w:lvl w:ilvl="0" w:tplc="B85EA4F4">
      <w:start w:val="1"/>
      <w:numFmt w:val="bullet"/>
      <w:lvlText w:val=""/>
      <w:lvlJc w:val="left"/>
      <w:pPr>
        <w:tabs>
          <w:tab w:val="num" w:pos="1080"/>
        </w:tabs>
        <w:ind w:left="720" w:hanging="360"/>
      </w:pPr>
      <w:rPr>
        <w:rFonts w:ascii="Symbol" w:hAnsi="Symbol" w:hint="default"/>
      </w:rPr>
    </w:lvl>
    <w:lvl w:ilvl="1" w:tplc="A13C2C0A">
      <w:numFmt w:val="decimal"/>
      <w:lvlText w:val=""/>
      <w:lvlJc w:val="left"/>
    </w:lvl>
    <w:lvl w:ilvl="2" w:tplc="F99C6A58">
      <w:numFmt w:val="decimal"/>
      <w:lvlText w:val=""/>
      <w:lvlJc w:val="left"/>
    </w:lvl>
    <w:lvl w:ilvl="3" w:tplc="27A0B248">
      <w:numFmt w:val="decimal"/>
      <w:lvlText w:val=""/>
      <w:lvlJc w:val="left"/>
    </w:lvl>
    <w:lvl w:ilvl="4" w:tplc="F1CCAA92">
      <w:numFmt w:val="decimal"/>
      <w:lvlText w:val=""/>
      <w:lvlJc w:val="left"/>
    </w:lvl>
    <w:lvl w:ilvl="5" w:tplc="12F23AB0">
      <w:numFmt w:val="decimal"/>
      <w:lvlText w:val=""/>
      <w:lvlJc w:val="left"/>
    </w:lvl>
    <w:lvl w:ilvl="6" w:tplc="CDE6A300">
      <w:numFmt w:val="decimal"/>
      <w:lvlText w:val=""/>
      <w:lvlJc w:val="left"/>
    </w:lvl>
    <w:lvl w:ilvl="7" w:tplc="C4BCD5B0">
      <w:numFmt w:val="decimal"/>
      <w:lvlText w:val=""/>
      <w:lvlJc w:val="left"/>
    </w:lvl>
    <w:lvl w:ilvl="8" w:tplc="3FE46EF6">
      <w:numFmt w:val="decimal"/>
      <w:lvlText w:val=""/>
      <w:lvlJc w:val="left"/>
    </w:lvl>
  </w:abstractNum>
  <w:abstractNum w:abstractNumId="46" w15:restartNumberingAfterBreak="0">
    <w:nsid w:val="631F5557"/>
    <w:multiLevelType w:val="hybridMultilevel"/>
    <w:tmpl w:val="764E2C62"/>
    <w:lvl w:ilvl="0" w:tplc="1CAC524A">
      <w:start w:val="1"/>
      <w:numFmt w:val="bullet"/>
      <w:lvlText w:val=""/>
      <w:lvlJc w:val="left"/>
      <w:pPr>
        <w:tabs>
          <w:tab w:val="num" w:pos="1080"/>
        </w:tabs>
        <w:ind w:left="720" w:hanging="360"/>
      </w:pPr>
      <w:rPr>
        <w:rFonts w:ascii="Symbol" w:hAnsi="Symbol" w:hint="default"/>
      </w:rPr>
    </w:lvl>
    <w:lvl w:ilvl="1" w:tplc="45F069E8">
      <w:numFmt w:val="decimal"/>
      <w:lvlText w:val=""/>
      <w:lvlJc w:val="left"/>
    </w:lvl>
    <w:lvl w:ilvl="2" w:tplc="64686902">
      <w:numFmt w:val="decimal"/>
      <w:lvlText w:val=""/>
      <w:lvlJc w:val="left"/>
    </w:lvl>
    <w:lvl w:ilvl="3" w:tplc="F850B394">
      <w:numFmt w:val="decimal"/>
      <w:lvlText w:val=""/>
      <w:lvlJc w:val="left"/>
    </w:lvl>
    <w:lvl w:ilvl="4" w:tplc="BC3271DE">
      <w:numFmt w:val="decimal"/>
      <w:lvlText w:val=""/>
      <w:lvlJc w:val="left"/>
    </w:lvl>
    <w:lvl w:ilvl="5" w:tplc="E38039A6">
      <w:numFmt w:val="decimal"/>
      <w:lvlText w:val=""/>
      <w:lvlJc w:val="left"/>
    </w:lvl>
    <w:lvl w:ilvl="6" w:tplc="11149360">
      <w:numFmt w:val="decimal"/>
      <w:lvlText w:val=""/>
      <w:lvlJc w:val="left"/>
    </w:lvl>
    <w:lvl w:ilvl="7" w:tplc="6652DBE6">
      <w:numFmt w:val="decimal"/>
      <w:lvlText w:val=""/>
      <w:lvlJc w:val="left"/>
    </w:lvl>
    <w:lvl w:ilvl="8" w:tplc="A1DE3CA0">
      <w:numFmt w:val="decimal"/>
      <w:lvlText w:val=""/>
      <w:lvlJc w:val="left"/>
    </w:lvl>
  </w:abstractNum>
  <w:abstractNum w:abstractNumId="47" w15:restartNumberingAfterBreak="0">
    <w:nsid w:val="63EC1591"/>
    <w:multiLevelType w:val="hybridMultilevel"/>
    <w:tmpl w:val="26BC8682"/>
    <w:lvl w:ilvl="0" w:tplc="CCE05E76">
      <w:start w:val="1"/>
      <w:numFmt w:val="bullet"/>
      <w:lvlText w:val=""/>
      <w:lvlJc w:val="left"/>
      <w:pPr>
        <w:tabs>
          <w:tab w:val="num" w:pos="1080"/>
        </w:tabs>
        <w:ind w:left="720" w:hanging="360"/>
      </w:pPr>
      <w:rPr>
        <w:rFonts w:ascii="Symbol" w:hAnsi="Symbol" w:hint="default"/>
      </w:rPr>
    </w:lvl>
    <w:lvl w:ilvl="1" w:tplc="2CB8E096">
      <w:numFmt w:val="decimal"/>
      <w:lvlText w:val=""/>
      <w:lvlJc w:val="left"/>
    </w:lvl>
    <w:lvl w:ilvl="2" w:tplc="58CC2356">
      <w:numFmt w:val="decimal"/>
      <w:lvlText w:val=""/>
      <w:lvlJc w:val="left"/>
    </w:lvl>
    <w:lvl w:ilvl="3" w:tplc="08B2EAB8">
      <w:numFmt w:val="decimal"/>
      <w:lvlText w:val=""/>
      <w:lvlJc w:val="left"/>
    </w:lvl>
    <w:lvl w:ilvl="4" w:tplc="377ACDD8">
      <w:numFmt w:val="decimal"/>
      <w:lvlText w:val=""/>
      <w:lvlJc w:val="left"/>
    </w:lvl>
    <w:lvl w:ilvl="5" w:tplc="5F06D312">
      <w:numFmt w:val="decimal"/>
      <w:lvlText w:val=""/>
      <w:lvlJc w:val="left"/>
    </w:lvl>
    <w:lvl w:ilvl="6" w:tplc="D082A392">
      <w:numFmt w:val="decimal"/>
      <w:lvlText w:val=""/>
      <w:lvlJc w:val="left"/>
    </w:lvl>
    <w:lvl w:ilvl="7" w:tplc="8E7A7630">
      <w:numFmt w:val="decimal"/>
      <w:lvlText w:val=""/>
      <w:lvlJc w:val="left"/>
    </w:lvl>
    <w:lvl w:ilvl="8" w:tplc="8FBA5C2E">
      <w:numFmt w:val="decimal"/>
      <w:lvlText w:val=""/>
      <w:lvlJc w:val="left"/>
    </w:lvl>
  </w:abstractNum>
  <w:abstractNum w:abstractNumId="48" w15:restartNumberingAfterBreak="0">
    <w:nsid w:val="63FB5789"/>
    <w:multiLevelType w:val="hybridMultilevel"/>
    <w:tmpl w:val="B3CC0932"/>
    <w:lvl w:ilvl="0" w:tplc="44608D1A">
      <w:start w:val="1"/>
      <w:numFmt w:val="bullet"/>
      <w:lvlText w:val=""/>
      <w:lvlJc w:val="left"/>
      <w:pPr>
        <w:tabs>
          <w:tab w:val="num" w:pos="1080"/>
        </w:tabs>
        <w:ind w:left="720" w:hanging="360"/>
      </w:pPr>
      <w:rPr>
        <w:rFonts w:ascii="Symbol" w:hAnsi="Symbol" w:hint="default"/>
      </w:rPr>
    </w:lvl>
    <w:lvl w:ilvl="1" w:tplc="BA4A46E4">
      <w:numFmt w:val="decimal"/>
      <w:lvlText w:val=""/>
      <w:lvlJc w:val="left"/>
    </w:lvl>
    <w:lvl w:ilvl="2" w:tplc="2FDA166C">
      <w:numFmt w:val="decimal"/>
      <w:lvlText w:val=""/>
      <w:lvlJc w:val="left"/>
    </w:lvl>
    <w:lvl w:ilvl="3" w:tplc="8B664FC8">
      <w:numFmt w:val="decimal"/>
      <w:lvlText w:val=""/>
      <w:lvlJc w:val="left"/>
    </w:lvl>
    <w:lvl w:ilvl="4" w:tplc="2E4A4B42">
      <w:numFmt w:val="decimal"/>
      <w:lvlText w:val=""/>
      <w:lvlJc w:val="left"/>
    </w:lvl>
    <w:lvl w:ilvl="5" w:tplc="A6B4B1F4">
      <w:numFmt w:val="decimal"/>
      <w:lvlText w:val=""/>
      <w:lvlJc w:val="left"/>
    </w:lvl>
    <w:lvl w:ilvl="6" w:tplc="8C0C0C56">
      <w:numFmt w:val="decimal"/>
      <w:lvlText w:val=""/>
      <w:lvlJc w:val="left"/>
    </w:lvl>
    <w:lvl w:ilvl="7" w:tplc="907ED7B0">
      <w:numFmt w:val="decimal"/>
      <w:lvlText w:val=""/>
      <w:lvlJc w:val="left"/>
    </w:lvl>
    <w:lvl w:ilvl="8" w:tplc="1B948134">
      <w:numFmt w:val="decimal"/>
      <w:lvlText w:val=""/>
      <w:lvlJc w:val="left"/>
    </w:lvl>
  </w:abstractNum>
  <w:abstractNum w:abstractNumId="49" w15:restartNumberingAfterBreak="0">
    <w:nsid w:val="65CE5F55"/>
    <w:multiLevelType w:val="hybridMultilevel"/>
    <w:tmpl w:val="35C884A0"/>
    <w:lvl w:ilvl="0" w:tplc="76646732">
      <w:start w:val="1"/>
      <w:numFmt w:val="bullet"/>
      <w:lvlText w:val=""/>
      <w:lvlJc w:val="left"/>
      <w:pPr>
        <w:tabs>
          <w:tab w:val="num" w:pos="1080"/>
        </w:tabs>
        <w:ind w:left="720" w:hanging="360"/>
      </w:pPr>
      <w:rPr>
        <w:rFonts w:ascii="Symbol" w:hAnsi="Symbol" w:hint="default"/>
      </w:rPr>
    </w:lvl>
    <w:lvl w:ilvl="1" w:tplc="451A8186">
      <w:numFmt w:val="decimal"/>
      <w:lvlText w:val=""/>
      <w:lvlJc w:val="left"/>
    </w:lvl>
    <w:lvl w:ilvl="2" w:tplc="545833AA">
      <w:numFmt w:val="decimal"/>
      <w:lvlText w:val=""/>
      <w:lvlJc w:val="left"/>
    </w:lvl>
    <w:lvl w:ilvl="3" w:tplc="5D9A4242">
      <w:numFmt w:val="decimal"/>
      <w:lvlText w:val=""/>
      <w:lvlJc w:val="left"/>
    </w:lvl>
    <w:lvl w:ilvl="4" w:tplc="4AEEF76E">
      <w:numFmt w:val="decimal"/>
      <w:lvlText w:val=""/>
      <w:lvlJc w:val="left"/>
    </w:lvl>
    <w:lvl w:ilvl="5" w:tplc="D38091B4">
      <w:numFmt w:val="decimal"/>
      <w:lvlText w:val=""/>
      <w:lvlJc w:val="left"/>
    </w:lvl>
    <w:lvl w:ilvl="6" w:tplc="3A2050DC">
      <w:numFmt w:val="decimal"/>
      <w:lvlText w:val=""/>
      <w:lvlJc w:val="left"/>
    </w:lvl>
    <w:lvl w:ilvl="7" w:tplc="7C10F8C2">
      <w:numFmt w:val="decimal"/>
      <w:lvlText w:val=""/>
      <w:lvlJc w:val="left"/>
    </w:lvl>
    <w:lvl w:ilvl="8" w:tplc="B0645980">
      <w:numFmt w:val="decimal"/>
      <w:lvlText w:val=""/>
      <w:lvlJc w:val="left"/>
    </w:lvl>
  </w:abstractNum>
  <w:abstractNum w:abstractNumId="50" w15:restartNumberingAfterBreak="0">
    <w:nsid w:val="670E424A"/>
    <w:multiLevelType w:val="hybridMultilevel"/>
    <w:tmpl w:val="C3BEF5AE"/>
    <w:lvl w:ilvl="0" w:tplc="CB9246C2">
      <w:start w:val="1"/>
      <w:numFmt w:val="bullet"/>
      <w:lvlText w:val=""/>
      <w:lvlJc w:val="left"/>
      <w:pPr>
        <w:tabs>
          <w:tab w:val="num" w:pos="1080"/>
        </w:tabs>
        <w:ind w:left="720" w:hanging="360"/>
      </w:pPr>
      <w:rPr>
        <w:rFonts w:ascii="Symbol" w:hAnsi="Symbol" w:hint="default"/>
      </w:rPr>
    </w:lvl>
    <w:lvl w:ilvl="1" w:tplc="D256EACE">
      <w:numFmt w:val="decimal"/>
      <w:lvlText w:val=""/>
      <w:lvlJc w:val="left"/>
    </w:lvl>
    <w:lvl w:ilvl="2" w:tplc="9B9666DA">
      <w:numFmt w:val="decimal"/>
      <w:lvlText w:val=""/>
      <w:lvlJc w:val="left"/>
    </w:lvl>
    <w:lvl w:ilvl="3" w:tplc="3B48B618">
      <w:numFmt w:val="decimal"/>
      <w:lvlText w:val=""/>
      <w:lvlJc w:val="left"/>
    </w:lvl>
    <w:lvl w:ilvl="4" w:tplc="4246C7B0">
      <w:numFmt w:val="decimal"/>
      <w:lvlText w:val=""/>
      <w:lvlJc w:val="left"/>
    </w:lvl>
    <w:lvl w:ilvl="5" w:tplc="2AE4BB6A">
      <w:numFmt w:val="decimal"/>
      <w:lvlText w:val=""/>
      <w:lvlJc w:val="left"/>
    </w:lvl>
    <w:lvl w:ilvl="6" w:tplc="49129D46">
      <w:numFmt w:val="decimal"/>
      <w:lvlText w:val=""/>
      <w:lvlJc w:val="left"/>
    </w:lvl>
    <w:lvl w:ilvl="7" w:tplc="FA040810">
      <w:numFmt w:val="decimal"/>
      <w:lvlText w:val=""/>
      <w:lvlJc w:val="left"/>
    </w:lvl>
    <w:lvl w:ilvl="8" w:tplc="C504DC5E">
      <w:numFmt w:val="decimal"/>
      <w:lvlText w:val=""/>
      <w:lvlJc w:val="left"/>
    </w:lvl>
  </w:abstractNum>
  <w:abstractNum w:abstractNumId="51" w15:restartNumberingAfterBreak="0">
    <w:nsid w:val="68960C61"/>
    <w:multiLevelType w:val="hybridMultilevel"/>
    <w:tmpl w:val="49D03F62"/>
    <w:lvl w:ilvl="0" w:tplc="1FEC19CE">
      <w:start w:val="1"/>
      <w:numFmt w:val="bullet"/>
      <w:lvlText w:val=""/>
      <w:lvlJc w:val="left"/>
      <w:pPr>
        <w:tabs>
          <w:tab w:val="num" w:pos="1080"/>
        </w:tabs>
        <w:ind w:left="720" w:hanging="360"/>
      </w:pPr>
      <w:rPr>
        <w:rFonts w:ascii="Symbol" w:hAnsi="Symbol" w:hint="default"/>
      </w:rPr>
    </w:lvl>
    <w:lvl w:ilvl="1" w:tplc="6ABAFB48">
      <w:numFmt w:val="decimal"/>
      <w:lvlText w:val=""/>
      <w:lvlJc w:val="left"/>
    </w:lvl>
    <w:lvl w:ilvl="2" w:tplc="8AC4165C">
      <w:numFmt w:val="decimal"/>
      <w:lvlText w:val=""/>
      <w:lvlJc w:val="left"/>
    </w:lvl>
    <w:lvl w:ilvl="3" w:tplc="08646208">
      <w:numFmt w:val="decimal"/>
      <w:lvlText w:val=""/>
      <w:lvlJc w:val="left"/>
    </w:lvl>
    <w:lvl w:ilvl="4" w:tplc="2AB82F30">
      <w:numFmt w:val="decimal"/>
      <w:lvlText w:val=""/>
      <w:lvlJc w:val="left"/>
    </w:lvl>
    <w:lvl w:ilvl="5" w:tplc="AF58351C">
      <w:numFmt w:val="decimal"/>
      <w:lvlText w:val=""/>
      <w:lvlJc w:val="left"/>
    </w:lvl>
    <w:lvl w:ilvl="6" w:tplc="00563684">
      <w:numFmt w:val="decimal"/>
      <w:lvlText w:val=""/>
      <w:lvlJc w:val="left"/>
    </w:lvl>
    <w:lvl w:ilvl="7" w:tplc="EFA6655C">
      <w:numFmt w:val="decimal"/>
      <w:lvlText w:val=""/>
      <w:lvlJc w:val="left"/>
    </w:lvl>
    <w:lvl w:ilvl="8" w:tplc="055AAF00">
      <w:numFmt w:val="decimal"/>
      <w:lvlText w:val=""/>
      <w:lvlJc w:val="left"/>
    </w:lvl>
  </w:abstractNum>
  <w:abstractNum w:abstractNumId="52" w15:restartNumberingAfterBreak="0">
    <w:nsid w:val="69AE750F"/>
    <w:multiLevelType w:val="hybridMultilevel"/>
    <w:tmpl w:val="414C587C"/>
    <w:lvl w:ilvl="0" w:tplc="1C10D242">
      <w:start w:val="1"/>
      <w:numFmt w:val="bullet"/>
      <w:lvlText w:val=""/>
      <w:lvlJc w:val="left"/>
      <w:pPr>
        <w:tabs>
          <w:tab w:val="num" w:pos="1080"/>
        </w:tabs>
        <w:ind w:left="720" w:hanging="360"/>
      </w:pPr>
      <w:rPr>
        <w:rFonts w:ascii="Symbol" w:hAnsi="Symbol" w:hint="default"/>
      </w:rPr>
    </w:lvl>
    <w:lvl w:ilvl="1" w:tplc="D37E3C96">
      <w:numFmt w:val="decimal"/>
      <w:lvlText w:val=""/>
      <w:lvlJc w:val="left"/>
    </w:lvl>
    <w:lvl w:ilvl="2" w:tplc="B56A1A5C">
      <w:numFmt w:val="decimal"/>
      <w:lvlText w:val=""/>
      <w:lvlJc w:val="left"/>
    </w:lvl>
    <w:lvl w:ilvl="3" w:tplc="7A86CBAA">
      <w:numFmt w:val="decimal"/>
      <w:lvlText w:val=""/>
      <w:lvlJc w:val="left"/>
    </w:lvl>
    <w:lvl w:ilvl="4" w:tplc="C236177E">
      <w:numFmt w:val="decimal"/>
      <w:lvlText w:val=""/>
      <w:lvlJc w:val="left"/>
    </w:lvl>
    <w:lvl w:ilvl="5" w:tplc="B0309864">
      <w:numFmt w:val="decimal"/>
      <w:lvlText w:val=""/>
      <w:lvlJc w:val="left"/>
    </w:lvl>
    <w:lvl w:ilvl="6" w:tplc="B0D43B0E">
      <w:numFmt w:val="decimal"/>
      <w:lvlText w:val=""/>
      <w:lvlJc w:val="left"/>
    </w:lvl>
    <w:lvl w:ilvl="7" w:tplc="0A944032">
      <w:numFmt w:val="decimal"/>
      <w:lvlText w:val=""/>
      <w:lvlJc w:val="left"/>
    </w:lvl>
    <w:lvl w:ilvl="8" w:tplc="12745450">
      <w:numFmt w:val="decimal"/>
      <w:lvlText w:val=""/>
      <w:lvlJc w:val="left"/>
    </w:lvl>
  </w:abstractNum>
  <w:abstractNum w:abstractNumId="53" w15:restartNumberingAfterBreak="0">
    <w:nsid w:val="6A797F32"/>
    <w:multiLevelType w:val="hybridMultilevel"/>
    <w:tmpl w:val="058AE5D4"/>
    <w:lvl w:ilvl="0" w:tplc="765297A2">
      <w:start w:val="1"/>
      <w:numFmt w:val="bullet"/>
      <w:lvlText w:val=""/>
      <w:lvlJc w:val="left"/>
      <w:pPr>
        <w:tabs>
          <w:tab w:val="num" w:pos="1080"/>
        </w:tabs>
        <w:ind w:left="720" w:hanging="360"/>
      </w:pPr>
      <w:rPr>
        <w:rFonts w:ascii="Symbol" w:hAnsi="Symbol" w:hint="default"/>
      </w:rPr>
    </w:lvl>
    <w:lvl w:ilvl="1" w:tplc="A694FF8E">
      <w:numFmt w:val="decimal"/>
      <w:lvlText w:val=""/>
      <w:lvlJc w:val="left"/>
    </w:lvl>
    <w:lvl w:ilvl="2" w:tplc="7306405A">
      <w:numFmt w:val="decimal"/>
      <w:lvlText w:val=""/>
      <w:lvlJc w:val="left"/>
    </w:lvl>
    <w:lvl w:ilvl="3" w:tplc="2318988C">
      <w:numFmt w:val="decimal"/>
      <w:lvlText w:val=""/>
      <w:lvlJc w:val="left"/>
    </w:lvl>
    <w:lvl w:ilvl="4" w:tplc="C60C67FC">
      <w:numFmt w:val="decimal"/>
      <w:lvlText w:val=""/>
      <w:lvlJc w:val="left"/>
    </w:lvl>
    <w:lvl w:ilvl="5" w:tplc="8FFC1D68">
      <w:numFmt w:val="decimal"/>
      <w:lvlText w:val=""/>
      <w:lvlJc w:val="left"/>
    </w:lvl>
    <w:lvl w:ilvl="6" w:tplc="A50A233C">
      <w:numFmt w:val="decimal"/>
      <w:lvlText w:val=""/>
      <w:lvlJc w:val="left"/>
    </w:lvl>
    <w:lvl w:ilvl="7" w:tplc="0F5A6594">
      <w:numFmt w:val="decimal"/>
      <w:lvlText w:val=""/>
      <w:lvlJc w:val="left"/>
    </w:lvl>
    <w:lvl w:ilvl="8" w:tplc="52EC7FAC">
      <w:numFmt w:val="decimal"/>
      <w:lvlText w:val=""/>
      <w:lvlJc w:val="left"/>
    </w:lvl>
  </w:abstractNum>
  <w:abstractNum w:abstractNumId="54" w15:restartNumberingAfterBreak="0">
    <w:nsid w:val="6ABC6B08"/>
    <w:multiLevelType w:val="hybridMultilevel"/>
    <w:tmpl w:val="A1466A10"/>
    <w:lvl w:ilvl="0" w:tplc="53CC35E0">
      <w:start w:val="1"/>
      <w:numFmt w:val="bullet"/>
      <w:lvlText w:val=""/>
      <w:lvlJc w:val="left"/>
      <w:pPr>
        <w:tabs>
          <w:tab w:val="num" w:pos="1080"/>
        </w:tabs>
        <w:ind w:left="720" w:hanging="360"/>
      </w:pPr>
      <w:rPr>
        <w:rFonts w:ascii="Symbol" w:hAnsi="Symbol" w:hint="default"/>
      </w:rPr>
    </w:lvl>
    <w:lvl w:ilvl="1" w:tplc="65303732">
      <w:numFmt w:val="decimal"/>
      <w:lvlText w:val=""/>
      <w:lvlJc w:val="left"/>
    </w:lvl>
    <w:lvl w:ilvl="2" w:tplc="E208C936">
      <w:numFmt w:val="decimal"/>
      <w:lvlText w:val=""/>
      <w:lvlJc w:val="left"/>
    </w:lvl>
    <w:lvl w:ilvl="3" w:tplc="BD6C7B2E">
      <w:numFmt w:val="decimal"/>
      <w:lvlText w:val=""/>
      <w:lvlJc w:val="left"/>
    </w:lvl>
    <w:lvl w:ilvl="4" w:tplc="18165992">
      <w:numFmt w:val="decimal"/>
      <w:lvlText w:val=""/>
      <w:lvlJc w:val="left"/>
    </w:lvl>
    <w:lvl w:ilvl="5" w:tplc="8B6AD114">
      <w:numFmt w:val="decimal"/>
      <w:lvlText w:val=""/>
      <w:lvlJc w:val="left"/>
    </w:lvl>
    <w:lvl w:ilvl="6" w:tplc="7B6A05FE">
      <w:numFmt w:val="decimal"/>
      <w:lvlText w:val=""/>
      <w:lvlJc w:val="left"/>
    </w:lvl>
    <w:lvl w:ilvl="7" w:tplc="1C5A1C6C">
      <w:numFmt w:val="decimal"/>
      <w:lvlText w:val=""/>
      <w:lvlJc w:val="left"/>
    </w:lvl>
    <w:lvl w:ilvl="8" w:tplc="A5DC55DE">
      <w:numFmt w:val="decimal"/>
      <w:lvlText w:val=""/>
      <w:lvlJc w:val="left"/>
    </w:lvl>
  </w:abstractNum>
  <w:abstractNum w:abstractNumId="55" w15:restartNumberingAfterBreak="0">
    <w:nsid w:val="6AC67C74"/>
    <w:multiLevelType w:val="hybridMultilevel"/>
    <w:tmpl w:val="9136399C"/>
    <w:lvl w:ilvl="0" w:tplc="69B8483A">
      <w:start w:val="1"/>
      <w:numFmt w:val="bullet"/>
      <w:lvlText w:val=""/>
      <w:lvlJc w:val="left"/>
      <w:pPr>
        <w:tabs>
          <w:tab w:val="num" w:pos="1080"/>
        </w:tabs>
        <w:ind w:left="720" w:hanging="360"/>
      </w:pPr>
      <w:rPr>
        <w:rFonts w:ascii="Symbol" w:hAnsi="Symbol" w:hint="default"/>
      </w:rPr>
    </w:lvl>
    <w:lvl w:ilvl="1" w:tplc="5958E882">
      <w:numFmt w:val="decimal"/>
      <w:lvlText w:val=""/>
      <w:lvlJc w:val="left"/>
    </w:lvl>
    <w:lvl w:ilvl="2" w:tplc="887C8024">
      <w:numFmt w:val="decimal"/>
      <w:lvlText w:val=""/>
      <w:lvlJc w:val="left"/>
    </w:lvl>
    <w:lvl w:ilvl="3" w:tplc="84182800">
      <w:numFmt w:val="decimal"/>
      <w:lvlText w:val=""/>
      <w:lvlJc w:val="left"/>
    </w:lvl>
    <w:lvl w:ilvl="4" w:tplc="D6B2FC60">
      <w:numFmt w:val="decimal"/>
      <w:lvlText w:val=""/>
      <w:lvlJc w:val="left"/>
    </w:lvl>
    <w:lvl w:ilvl="5" w:tplc="84645BCC">
      <w:numFmt w:val="decimal"/>
      <w:lvlText w:val=""/>
      <w:lvlJc w:val="left"/>
    </w:lvl>
    <w:lvl w:ilvl="6" w:tplc="03D8D86E">
      <w:numFmt w:val="decimal"/>
      <w:lvlText w:val=""/>
      <w:lvlJc w:val="left"/>
    </w:lvl>
    <w:lvl w:ilvl="7" w:tplc="6C9CF558">
      <w:numFmt w:val="decimal"/>
      <w:lvlText w:val=""/>
      <w:lvlJc w:val="left"/>
    </w:lvl>
    <w:lvl w:ilvl="8" w:tplc="DBCCA0AE">
      <w:numFmt w:val="decimal"/>
      <w:lvlText w:val=""/>
      <w:lvlJc w:val="left"/>
    </w:lvl>
  </w:abstractNum>
  <w:abstractNum w:abstractNumId="56" w15:restartNumberingAfterBreak="0">
    <w:nsid w:val="6B270170"/>
    <w:multiLevelType w:val="hybridMultilevel"/>
    <w:tmpl w:val="C20CCF3E"/>
    <w:lvl w:ilvl="0" w:tplc="322661B0">
      <w:start w:val="1"/>
      <w:numFmt w:val="bullet"/>
      <w:lvlText w:val=""/>
      <w:lvlJc w:val="left"/>
      <w:pPr>
        <w:tabs>
          <w:tab w:val="num" w:pos="1080"/>
        </w:tabs>
        <w:ind w:left="720" w:hanging="360"/>
      </w:pPr>
      <w:rPr>
        <w:rFonts w:ascii="Symbol" w:hAnsi="Symbol" w:hint="default"/>
      </w:rPr>
    </w:lvl>
    <w:lvl w:ilvl="1" w:tplc="2F0416B0">
      <w:numFmt w:val="decimal"/>
      <w:lvlText w:val=""/>
      <w:lvlJc w:val="left"/>
    </w:lvl>
    <w:lvl w:ilvl="2" w:tplc="DAC8BD2C">
      <w:numFmt w:val="decimal"/>
      <w:lvlText w:val=""/>
      <w:lvlJc w:val="left"/>
    </w:lvl>
    <w:lvl w:ilvl="3" w:tplc="C56EBA20">
      <w:numFmt w:val="decimal"/>
      <w:lvlText w:val=""/>
      <w:lvlJc w:val="left"/>
    </w:lvl>
    <w:lvl w:ilvl="4" w:tplc="1292B1B2">
      <w:numFmt w:val="decimal"/>
      <w:lvlText w:val=""/>
      <w:lvlJc w:val="left"/>
    </w:lvl>
    <w:lvl w:ilvl="5" w:tplc="67CC9A42">
      <w:numFmt w:val="decimal"/>
      <w:lvlText w:val=""/>
      <w:lvlJc w:val="left"/>
    </w:lvl>
    <w:lvl w:ilvl="6" w:tplc="55703C90">
      <w:numFmt w:val="decimal"/>
      <w:lvlText w:val=""/>
      <w:lvlJc w:val="left"/>
    </w:lvl>
    <w:lvl w:ilvl="7" w:tplc="CA90825C">
      <w:numFmt w:val="decimal"/>
      <w:lvlText w:val=""/>
      <w:lvlJc w:val="left"/>
    </w:lvl>
    <w:lvl w:ilvl="8" w:tplc="6C36AA2C">
      <w:numFmt w:val="decimal"/>
      <w:lvlText w:val=""/>
      <w:lvlJc w:val="left"/>
    </w:lvl>
  </w:abstractNum>
  <w:abstractNum w:abstractNumId="57" w15:restartNumberingAfterBreak="0">
    <w:nsid w:val="6C681EB9"/>
    <w:multiLevelType w:val="hybridMultilevel"/>
    <w:tmpl w:val="911EBCB0"/>
    <w:lvl w:ilvl="0" w:tplc="5192DA76">
      <w:start w:val="1"/>
      <w:numFmt w:val="bullet"/>
      <w:lvlText w:val=""/>
      <w:lvlJc w:val="left"/>
      <w:pPr>
        <w:tabs>
          <w:tab w:val="num" w:pos="1080"/>
        </w:tabs>
        <w:ind w:left="720" w:hanging="360"/>
      </w:pPr>
      <w:rPr>
        <w:rFonts w:ascii="Symbol" w:hAnsi="Symbol" w:hint="default"/>
      </w:rPr>
    </w:lvl>
    <w:lvl w:ilvl="1" w:tplc="59160EF6">
      <w:numFmt w:val="decimal"/>
      <w:lvlText w:val=""/>
      <w:lvlJc w:val="left"/>
    </w:lvl>
    <w:lvl w:ilvl="2" w:tplc="50705358">
      <w:numFmt w:val="decimal"/>
      <w:lvlText w:val=""/>
      <w:lvlJc w:val="left"/>
    </w:lvl>
    <w:lvl w:ilvl="3" w:tplc="E7AA0B52">
      <w:numFmt w:val="decimal"/>
      <w:lvlText w:val=""/>
      <w:lvlJc w:val="left"/>
    </w:lvl>
    <w:lvl w:ilvl="4" w:tplc="AA54E964">
      <w:numFmt w:val="decimal"/>
      <w:lvlText w:val=""/>
      <w:lvlJc w:val="left"/>
    </w:lvl>
    <w:lvl w:ilvl="5" w:tplc="6082BCA4">
      <w:numFmt w:val="decimal"/>
      <w:lvlText w:val=""/>
      <w:lvlJc w:val="left"/>
    </w:lvl>
    <w:lvl w:ilvl="6" w:tplc="54F6F8FC">
      <w:numFmt w:val="decimal"/>
      <w:lvlText w:val=""/>
      <w:lvlJc w:val="left"/>
    </w:lvl>
    <w:lvl w:ilvl="7" w:tplc="8358448A">
      <w:numFmt w:val="decimal"/>
      <w:lvlText w:val=""/>
      <w:lvlJc w:val="left"/>
    </w:lvl>
    <w:lvl w:ilvl="8" w:tplc="E2AA1922">
      <w:numFmt w:val="decimal"/>
      <w:lvlText w:val=""/>
      <w:lvlJc w:val="left"/>
    </w:lvl>
  </w:abstractNum>
  <w:abstractNum w:abstractNumId="58" w15:restartNumberingAfterBreak="0">
    <w:nsid w:val="6D1A46C9"/>
    <w:multiLevelType w:val="hybridMultilevel"/>
    <w:tmpl w:val="8C9817BA"/>
    <w:lvl w:ilvl="0" w:tplc="A6EC2FD8">
      <w:start w:val="1"/>
      <w:numFmt w:val="bullet"/>
      <w:lvlText w:val=""/>
      <w:lvlJc w:val="left"/>
      <w:pPr>
        <w:tabs>
          <w:tab w:val="num" w:pos="1080"/>
        </w:tabs>
        <w:ind w:left="720" w:hanging="360"/>
      </w:pPr>
      <w:rPr>
        <w:rFonts w:ascii="Symbol" w:hAnsi="Symbol" w:hint="default"/>
      </w:rPr>
    </w:lvl>
    <w:lvl w:ilvl="1" w:tplc="D17E635A">
      <w:numFmt w:val="decimal"/>
      <w:lvlText w:val=""/>
      <w:lvlJc w:val="left"/>
    </w:lvl>
    <w:lvl w:ilvl="2" w:tplc="D3BA3620">
      <w:numFmt w:val="decimal"/>
      <w:lvlText w:val=""/>
      <w:lvlJc w:val="left"/>
    </w:lvl>
    <w:lvl w:ilvl="3" w:tplc="E9A88E80">
      <w:numFmt w:val="decimal"/>
      <w:lvlText w:val=""/>
      <w:lvlJc w:val="left"/>
    </w:lvl>
    <w:lvl w:ilvl="4" w:tplc="33DE3F98">
      <w:numFmt w:val="decimal"/>
      <w:lvlText w:val=""/>
      <w:lvlJc w:val="left"/>
    </w:lvl>
    <w:lvl w:ilvl="5" w:tplc="142E65E4">
      <w:numFmt w:val="decimal"/>
      <w:lvlText w:val=""/>
      <w:lvlJc w:val="left"/>
    </w:lvl>
    <w:lvl w:ilvl="6" w:tplc="623AA222">
      <w:numFmt w:val="decimal"/>
      <w:lvlText w:val=""/>
      <w:lvlJc w:val="left"/>
    </w:lvl>
    <w:lvl w:ilvl="7" w:tplc="A28A0C44">
      <w:numFmt w:val="decimal"/>
      <w:lvlText w:val=""/>
      <w:lvlJc w:val="left"/>
    </w:lvl>
    <w:lvl w:ilvl="8" w:tplc="0DE2F7FA">
      <w:numFmt w:val="decimal"/>
      <w:lvlText w:val=""/>
      <w:lvlJc w:val="left"/>
    </w:lvl>
  </w:abstractNum>
  <w:abstractNum w:abstractNumId="59" w15:restartNumberingAfterBreak="0">
    <w:nsid w:val="6EFA4F44"/>
    <w:multiLevelType w:val="hybridMultilevel"/>
    <w:tmpl w:val="65363952"/>
    <w:lvl w:ilvl="0" w:tplc="5616FD7A">
      <w:start w:val="1"/>
      <w:numFmt w:val="bullet"/>
      <w:lvlText w:val=""/>
      <w:lvlJc w:val="left"/>
      <w:pPr>
        <w:tabs>
          <w:tab w:val="num" w:pos="1080"/>
        </w:tabs>
        <w:ind w:left="720" w:hanging="360"/>
      </w:pPr>
      <w:rPr>
        <w:rFonts w:ascii="Symbol" w:hAnsi="Symbol" w:hint="default"/>
      </w:rPr>
    </w:lvl>
    <w:lvl w:ilvl="1" w:tplc="C59CAC02">
      <w:numFmt w:val="decimal"/>
      <w:lvlText w:val=""/>
      <w:lvlJc w:val="left"/>
    </w:lvl>
    <w:lvl w:ilvl="2" w:tplc="74E27288">
      <w:numFmt w:val="decimal"/>
      <w:lvlText w:val=""/>
      <w:lvlJc w:val="left"/>
    </w:lvl>
    <w:lvl w:ilvl="3" w:tplc="6DB646E8">
      <w:numFmt w:val="decimal"/>
      <w:lvlText w:val=""/>
      <w:lvlJc w:val="left"/>
    </w:lvl>
    <w:lvl w:ilvl="4" w:tplc="A86E2100">
      <w:numFmt w:val="decimal"/>
      <w:lvlText w:val=""/>
      <w:lvlJc w:val="left"/>
    </w:lvl>
    <w:lvl w:ilvl="5" w:tplc="69C400CC">
      <w:numFmt w:val="decimal"/>
      <w:lvlText w:val=""/>
      <w:lvlJc w:val="left"/>
    </w:lvl>
    <w:lvl w:ilvl="6" w:tplc="D0DC453C">
      <w:numFmt w:val="decimal"/>
      <w:lvlText w:val=""/>
      <w:lvlJc w:val="left"/>
    </w:lvl>
    <w:lvl w:ilvl="7" w:tplc="6CBE2280">
      <w:numFmt w:val="decimal"/>
      <w:lvlText w:val=""/>
      <w:lvlJc w:val="left"/>
    </w:lvl>
    <w:lvl w:ilvl="8" w:tplc="CB5622E0">
      <w:numFmt w:val="decimal"/>
      <w:lvlText w:val=""/>
      <w:lvlJc w:val="left"/>
    </w:lvl>
  </w:abstractNum>
  <w:abstractNum w:abstractNumId="60" w15:restartNumberingAfterBreak="0">
    <w:nsid w:val="6F735753"/>
    <w:multiLevelType w:val="hybridMultilevel"/>
    <w:tmpl w:val="B50E771A"/>
    <w:lvl w:ilvl="0" w:tplc="97041DB8">
      <w:start w:val="1"/>
      <w:numFmt w:val="bullet"/>
      <w:lvlText w:val=""/>
      <w:lvlJc w:val="left"/>
      <w:pPr>
        <w:tabs>
          <w:tab w:val="num" w:pos="1080"/>
        </w:tabs>
        <w:ind w:left="720" w:hanging="360"/>
      </w:pPr>
      <w:rPr>
        <w:rFonts w:ascii="Symbol" w:hAnsi="Symbol" w:hint="default"/>
      </w:rPr>
    </w:lvl>
    <w:lvl w:ilvl="1" w:tplc="A7004E9C">
      <w:numFmt w:val="decimal"/>
      <w:lvlText w:val=""/>
      <w:lvlJc w:val="left"/>
    </w:lvl>
    <w:lvl w:ilvl="2" w:tplc="3898A27A">
      <w:numFmt w:val="decimal"/>
      <w:lvlText w:val=""/>
      <w:lvlJc w:val="left"/>
    </w:lvl>
    <w:lvl w:ilvl="3" w:tplc="D298989E">
      <w:numFmt w:val="decimal"/>
      <w:lvlText w:val=""/>
      <w:lvlJc w:val="left"/>
    </w:lvl>
    <w:lvl w:ilvl="4" w:tplc="6204C52A">
      <w:numFmt w:val="decimal"/>
      <w:lvlText w:val=""/>
      <w:lvlJc w:val="left"/>
    </w:lvl>
    <w:lvl w:ilvl="5" w:tplc="962CAC18">
      <w:numFmt w:val="decimal"/>
      <w:lvlText w:val=""/>
      <w:lvlJc w:val="left"/>
    </w:lvl>
    <w:lvl w:ilvl="6" w:tplc="A7A6191A">
      <w:numFmt w:val="decimal"/>
      <w:lvlText w:val=""/>
      <w:lvlJc w:val="left"/>
    </w:lvl>
    <w:lvl w:ilvl="7" w:tplc="72CEC7CE">
      <w:numFmt w:val="decimal"/>
      <w:lvlText w:val=""/>
      <w:lvlJc w:val="left"/>
    </w:lvl>
    <w:lvl w:ilvl="8" w:tplc="B10CB390">
      <w:numFmt w:val="decimal"/>
      <w:lvlText w:val=""/>
      <w:lvlJc w:val="left"/>
    </w:lvl>
  </w:abstractNum>
  <w:abstractNum w:abstractNumId="61" w15:restartNumberingAfterBreak="0">
    <w:nsid w:val="75161540"/>
    <w:multiLevelType w:val="hybridMultilevel"/>
    <w:tmpl w:val="D7127CC4"/>
    <w:lvl w:ilvl="0" w:tplc="060A14DC">
      <w:start w:val="1"/>
      <w:numFmt w:val="decimal"/>
      <w:lvlText w:val="%1."/>
      <w:lvlJc w:val="left"/>
      <w:pPr>
        <w:tabs>
          <w:tab w:val="num" w:pos="1080"/>
        </w:tabs>
        <w:ind w:left="720" w:hanging="360"/>
      </w:pPr>
    </w:lvl>
    <w:lvl w:ilvl="1" w:tplc="AD68F8C2">
      <w:numFmt w:val="decimal"/>
      <w:lvlText w:val=""/>
      <w:lvlJc w:val="left"/>
    </w:lvl>
    <w:lvl w:ilvl="2" w:tplc="D598D7EE">
      <w:numFmt w:val="decimal"/>
      <w:lvlText w:val=""/>
      <w:lvlJc w:val="left"/>
    </w:lvl>
    <w:lvl w:ilvl="3" w:tplc="5EDA56CE">
      <w:numFmt w:val="decimal"/>
      <w:lvlText w:val=""/>
      <w:lvlJc w:val="left"/>
    </w:lvl>
    <w:lvl w:ilvl="4" w:tplc="AB2AD40C">
      <w:numFmt w:val="decimal"/>
      <w:lvlText w:val=""/>
      <w:lvlJc w:val="left"/>
    </w:lvl>
    <w:lvl w:ilvl="5" w:tplc="4C4457C4">
      <w:numFmt w:val="decimal"/>
      <w:lvlText w:val=""/>
      <w:lvlJc w:val="left"/>
    </w:lvl>
    <w:lvl w:ilvl="6" w:tplc="6E52C408">
      <w:numFmt w:val="decimal"/>
      <w:lvlText w:val=""/>
      <w:lvlJc w:val="left"/>
    </w:lvl>
    <w:lvl w:ilvl="7" w:tplc="12522256">
      <w:numFmt w:val="decimal"/>
      <w:lvlText w:val=""/>
      <w:lvlJc w:val="left"/>
    </w:lvl>
    <w:lvl w:ilvl="8" w:tplc="B7CA3E1E">
      <w:numFmt w:val="decimal"/>
      <w:lvlText w:val=""/>
      <w:lvlJc w:val="left"/>
    </w:lvl>
  </w:abstractNum>
  <w:abstractNum w:abstractNumId="62" w15:restartNumberingAfterBreak="0">
    <w:nsid w:val="75BF7021"/>
    <w:multiLevelType w:val="hybridMultilevel"/>
    <w:tmpl w:val="CB78307A"/>
    <w:lvl w:ilvl="0" w:tplc="024EAB28">
      <w:start w:val="1"/>
      <w:numFmt w:val="bullet"/>
      <w:lvlText w:val=""/>
      <w:lvlJc w:val="left"/>
      <w:pPr>
        <w:tabs>
          <w:tab w:val="num" w:pos="1080"/>
        </w:tabs>
        <w:ind w:left="720" w:hanging="360"/>
      </w:pPr>
      <w:rPr>
        <w:rFonts w:ascii="Symbol" w:hAnsi="Symbol" w:hint="default"/>
      </w:rPr>
    </w:lvl>
    <w:lvl w:ilvl="1" w:tplc="BA525DA0">
      <w:numFmt w:val="decimal"/>
      <w:lvlText w:val=""/>
      <w:lvlJc w:val="left"/>
    </w:lvl>
    <w:lvl w:ilvl="2" w:tplc="3A2ACB3C">
      <w:numFmt w:val="decimal"/>
      <w:lvlText w:val=""/>
      <w:lvlJc w:val="left"/>
    </w:lvl>
    <w:lvl w:ilvl="3" w:tplc="5CFA682C">
      <w:numFmt w:val="decimal"/>
      <w:lvlText w:val=""/>
      <w:lvlJc w:val="left"/>
    </w:lvl>
    <w:lvl w:ilvl="4" w:tplc="BDA4C72E">
      <w:numFmt w:val="decimal"/>
      <w:lvlText w:val=""/>
      <w:lvlJc w:val="left"/>
    </w:lvl>
    <w:lvl w:ilvl="5" w:tplc="B258685C">
      <w:numFmt w:val="decimal"/>
      <w:lvlText w:val=""/>
      <w:lvlJc w:val="left"/>
    </w:lvl>
    <w:lvl w:ilvl="6" w:tplc="EFEA9552">
      <w:numFmt w:val="decimal"/>
      <w:lvlText w:val=""/>
      <w:lvlJc w:val="left"/>
    </w:lvl>
    <w:lvl w:ilvl="7" w:tplc="E968DEEA">
      <w:numFmt w:val="decimal"/>
      <w:lvlText w:val=""/>
      <w:lvlJc w:val="left"/>
    </w:lvl>
    <w:lvl w:ilvl="8" w:tplc="6F741C28">
      <w:numFmt w:val="decimal"/>
      <w:lvlText w:val=""/>
      <w:lvlJc w:val="left"/>
    </w:lvl>
  </w:abstractNum>
  <w:abstractNum w:abstractNumId="63" w15:restartNumberingAfterBreak="0">
    <w:nsid w:val="779863EB"/>
    <w:multiLevelType w:val="hybridMultilevel"/>
    <w:tmpl w:val="E53E1ED2"/>
    <w:lvl w:ilvl="0" w:tplc="E788D944">
      <w:start w:val="1"/>
      <w:numFmt w:val="bullet"/>
      <w:lvlText w:val=""/>
      <w:lvlJc w:val="left"/>
      <w:pPr>
        <w:tabs>
          <w:tab w:val="num" w:pos="1080"/>
        </w:tabs>
        <w:ind w:left="720" w:hanging="360"/>
      </w:pPr>
      <w:rPr>
        <w:rFonts w:ascii="Symbol" w:hAnsi="Symbol" w:hint="default"/>
      </w:rPr>
    </w:lvl>
    <w:lvl w:ilvl="1" w:tplc="A4D2B16E">
      <w:numFmt w:val="decimal"/>
      <w:lvlText w:val=""/>
      <w:lvlJc w:val="left"/>
    </w:lvl>
    <w:lvl w:ilvl="2" w:tplc="3B603C80">
      <w:numFmt w:val="decimal"/>
      <w:lvlText w:val=""/>
      <w:lvlJc w:val="left"/>
    </w:lvl>
    <w:lvl w:ilvl="3" w:tplc="4D2C0892">
      <w:numFmt w:val="decimal"/>
      <w:lvlText w:val=""/>
      <w:lvlJc w:val="left"/>
    </w:lvl>
    <w:lvl w:ilvl="4" w:tplc="2952A7B8">
      <w:numFmt w:val="decimal"/>
      <w:lvlText w:val=""/>
      <w:lvlJc w:val="left"/>
    </w:lvl>
    <w:lvl w:ilvl="5" w:tplc="ED986024">
      <w:numFmt w:val="decimal"/>
      <w:lvlText w:val=""/>
      <w:lvlJc w:val="left"/>
    </w:lvl>
    <w:lvl w:ilvl="6" w:tplc="E30E2D7E">
      <w:numFmt w:val="decimal"/>
      <w:lvlText w:val=""/>
      <w:lvlJc w:val="left"/>
    </w:lvl>
    <w:lvl w:ilvl="7" w:tplc="BA26DA0E">
      <w:numFmt w:val="decimal"/>
      <w:lvlText w:val=""/>
      <w:lvlJc w:val="left"/>
    </w:lvl>
    <w:lvl w:ilvl="8" w:tplc="FB245D7A">
      <w:numFmt w:val="decimal"/>
      <w:lvlText w:val=""/>
      <w:lvlJc w:val="left"/>
    </w:lvl>
  </w:abstractNum>
  <w:abstractNum w:abstractNumId="64" w15:restartNumberingAfterBreak="0">
    <w:nsid w:val="78325685"/>
    <w:multiLevelType w:val="hybridMultilevel"/>
    <w:tmpl w:val="E4A6747A"/>
    <w:lvl w:ilvl="0" w:tplc="0146175A">
      <w:start w:val="1"/>
      <w:numFmt w:val="bullet"/>
      <w:lvlText w:val=""/>
      <w:lvlJc w:val="left"/>
      <w:pPr>
        <w:tabs>
          <w:tab w:val="num" w:pos="1080"/>
        </w:tabs>
        <w:ind w:left="720" w:hanging="360"/>
      </w:pPr>
      <w:rPr>
        <w:rFonts w:ascii="Symbol" w:hAnsi="Symbol" w:hint="default"/>
      </w:rPr>
    </w:lvl>
    <w:lvl w:ilvl="1" w:tplc="2C80AD90">
      <w:numFmt w:val="decimal"/>
      <w:lvlText w:val=""/>
      <w:lvlJc w:val="left"/>
    </w:lvl>
    <w:lvl w:ilvl="2" w:tplc="DE169760">
      <w:numFmt w:val="decimal"/>
      <w:lvlText w:val=""/>
      <w:lvlJc w:val="left"/>
    </w:lvl>
    <w:lvl w:ilvl="3" w:tplc="A978E01E">
      <w:numFmt w:val="decimal"/>
      <w:lvlText w:val=""/>
      <w:lvlJc w:val="left"/>
    </w:lvl>
    <w:lvl w:ilvl="4" w:tplc="A0B6E466">
      <w:numFmt w:val="decimal"/>
      <w:lvlText w:val=""/>
      <w:lvlJc w:val="left"/>
    </w:lvl>
    <w:lvl w:ilvl="5" w:tplc="C762A5E2">
      <w:numFmt w:val="decimal"/>
      <w:lvlText w:val=""/>
      <w:lvlJc w:val="left"/>
    </w:lvl>
    <w:lvl w:ilvl="6" w:tplc="4F943C26">
      <w:numFmt w:val="decimal"/>
      <w:lvlText w:val=""/>
      <w:lvlJc w:val="left"/>
    </w:lvl>
    <w:lvl w:ilvl="7" w:tplc="E7960EB6">
      <w:numFmt w:val="decimal"/>
      <w:lvlText w:val=""/>
      <w:lvlJc w:val="left"/>
    </w:lvl>
    <w:lvl w:ilvl="8" w:tplc="C7162400">
      <w:numFmt w:val="decimal"/>
      <w:lvlText w:val=""/>
      <w:lvlJc w:val="left"/>
    </w:lvl>
  </w:abstractNum>
  <w:abstractNum w:abstractNumId="65" w15:restartNumberingAfterBreak="0">
    <w:nsid w:val="796F6D64"/>
    <w:multiLevelType w:val="hybridMultilevel"/>
    <w:tmpl w:val="E05CDE82"/>
    <w:lvl w:ilvl="0" w:tplc="E354ADEE">
      <w:start w:val="1"/>
      <w:numFmt w:val="bullet"/>
      <w:lvlText w:val=""/>
      <w:lvlJc w:val="left"/>
      <w:pPr>
        <w:tabs>
          <w:tab w:val="num" w:pos="1080"/>
        </w:tabs>
        <w:ind w:left="720" w:hanging="360"/>
      </w:pPr>
      <w:rPr>
        <w:rFonts w:ascii="Symbol" w:hAnsi="Symbol" w:hint="default"/>
      </w:rPr>
    </w:lvl>
    <w:lvl w:ilvl="1" w:tplc="10ACF77C">
      <w:numFmt w:val="decimal"/>
      <w:lvlText w:val=""/>
      <w:lvlJc w:val="left"/>
    </w:lvl>
    <w:lvl w:ilvl="2" w:tplc="FD0C7B22">
      <w:numFmt w:val="decimal"/>
      <w:lvlText w:val=""/>
      <w:lvlJc w:val="left"/>
    </w:lvl>
    <w:lvl w:ilvl="3" w:tplc="46FA605E">
      <w:numFmt w:val="decimal"/>
      <w:lvlText w:val=""/>
      <w:lvlJc w:val="left"/>
    </w:lvl>
    <w:lvl w:ilvl="4" w:tplc="88F82A5E">
      <w:numFmt w:val="decimal"/>
      <w:lvlText w:val=""/>
      <w:lvlJc w:val="left"/>
    </w:lvl>
    <w:lvl w:ilvl="5" w:tplc="B7D2AB74">
      <w:numFmt w:val="decimal"/>
      <w:lvlText w:val=""/>
      <w:lvlJc w:val="left"/>
    </w:lvl>
    <w:lvl w:ilvl="6" w:tplc="370AFCE6">
      <w:numFmt w:val="decimal"/>
      <w:lvlText w:val=""/>
      <w:lvlJc w:val="left"/>
    </w:lvl>
    <w:lvl w:ilvl="7" w:tplc="C520E8CC">
      <w:numFmt w:val="decimal"/>
      <w:lvlText w:val=""/>
      <w:lvlJc w:val="left"/>
    </w:lvl>
    <w:lvl w:ilvl="8" w:tplc="934683F2">
      <w:numFmt w:val="decimal"/>
      <w:lvlText w:val=""/>
      <w:lvlJc w:val="left"/>
    </w:lvl>
  </w:abstractNum>
  <w:abstractNum w:abstractNumId="66" w15:restartNumberingAfterBreak="0">
    <w:nsid w:val="7C447E46"/>
    <w:multiLevelType w:val="hybridMultilevel"/>
    <w:tmpl w:val="3E92C5FA"/>
    <w:lvl w:ilvl="0" w:tplc="ABCADCBE">
      <w:start w:val="1"/>
      <w:numFmt w:val="bullet"/>
      <w:lvlText w:val=""/>
      <w:lvlJc w:val="left"/>
      <w:pPr>
        <w:tabs>
          <w:tab w:val="num" w:pos="1080"/>
        </w:tabs>
        <w:ind w:left="720" w:hanging="360"/>
      </w:pPr>
      <w:rPr>
        <w:rFonts w:ascii="Symbol" w:hAnsi="Symbol" w:hint="default"/>
      </w:rPr>
    </w:lvl>
    <w:lvl w:ilvl="1" w:tplc="13F64584">
      <w:numFmt w:val="decimal"/>
      <w:lvlText w:val=""/>
      <w:lvlJc w:val="left"/>
    </w:lvl>
    <w:lvl w:ilvl="2" w:tplc="4EBACD0E">
      <w:numFmt w:val="decimal"/>
      <w:lvlText w:val=""/>
      <w:lvlJc w:val="left"/>
    </w:lvl>
    <w:lvl w:ilvl="3" w:tplc="231EA846">
      <w:numFmt w:val="decimal"/>
      <w:lvlText w:val=""/>
      <w:lvlJc w:val="left"/>
    </w:lvl>
    <w:lvl w:ilvl="4" w:tplc="F6C8112C">
      <w:numFmt w:val="decimal"/>
      <w:lvlText w:val=""/>
      <w:lvlJc w:val="left"/>
    </w:lvl>
    <w:lvl w:ilvl="5" w:tplc="39469438">
      <w:numFmt w:val="decimal"/>
      <w:lvlText w:val=""/>
      <w:lvlJc w:val="left"/>
    </w:lvl>
    <w:lvl w:ilvl="6" w:tplc="CE3C8CDE">
      <w:numFmt w:val="decimal"/>
      <w:lvlText w:val=""/>
      <w:lvlJc w:val="left"/>
    </w:lvl>
    <w:lvl w:ilvl="7" w:tplc="9BC21252">
      <w:numFmt w:val="decimal"/>
      <w:lvlText w:val=""/>
      <w:lvlJc w:val="left"/>
    </w:lvl>
    <w:lvl w:ilvl="8" w:tplc="276E139A">
      <w:numFmt w:val="decimal"/>
      <w:lvlText w:val=""/>
      <w:lvlJc w:val="left"/>
    </w:lvl>
  </w:abstractNum>
  <w:abstractNum w:abstractNumId="67" w15:restartNumberingAfterBreak="0">
    <w:nsid w:val="7D5E49A8"/>
    <w:multiLevelType w:val="hybridMultilevel"/>
    <w:tmpl w:val="01F096AE"/>
    <w:lvl w:ilvl="0" w:tplc="35A696DC">
      <w:start w:val="1"/>
      <w:numFmt w:val="bullet"/>
      <w:lvlText w:val=""/>
      <w:lvlJc w:val="left"/>
      <w:pPr>
        <w:tabs>
          <w:tab w:val="num" w:pos="1080"/>
        </w:tabs>
        <w:ind w:left="720" w:hanging="360"/>
      </w:pPr>
      <w:rPr>
        <w:rFonts w:ascii="Symbol" w:hAnsi="Symbol" w:hint="default"/>
      </w:rPr>
    </w:lvl>
    <w:lvl w:ilvl="1" w:tplc="0BCAAE3A">
      <w:numFmt w:val="decimal"/>
      <w:lvlText w:val=""/>
      <w:lvlJc w:val="left"/>
    </w:lvl>
    <w:lvl w:ilvl="2" w:tplc="95DCA5C6">
      <w:numFmt w:val="decimal"/>
      <w:lvlText w:val=""/>
      <w:lvlJc w:val="left"/>
    </w:lvl>
    <w:lvl w:ilvl="3" w:tplc="4E9883BE">
      <w:numFmt w:val="decimal"/>
      <w:lvlText w:val=""/>
      <w:lvlJc w:val="left"/>
    </w:lvl>
    <w:lvl w:ilvl="4" w:tplc="972E47EE">
      <w:numFmt w:val="decimal"/>
      <w:lvlText w:val=""/>
      <w:lvlJc w:val="left"/>
    </w:lvl>
    <w:lvl w:ilvl="5" w:tplc="06CAC62A">
      <w:numFmt w:val="decimal"/>
      <w:lvlText w:val=""/>
      <w:lvlJc w:val="left"/>
    </w:lvl>
    <w:lvl w:ilvl="6" w:tplc="B40A8820">
      <w:numFmt w:val="decimal"/>
      <w:lvlText w:val=""/>
      <w:lvlJc w:val="left"/>
    </w:lvl>
    <w:lvl w:ilvl="7" w:tplc="B8B8DC2A">
      <w:numFmt w:val="decimal"/>
      <w:lvlText w:val=""/>
      <w:lvlJc w:val="left"/>
    </w:lvl>
    <w:lvl w:ilvl="8" w:tplc="E966AC8C">
      <w:numFmt w:val="decimal"/>
      <w:lvlText w:val=""/>
      <w:lvlJc w:val="left"/>
    </w:lvl>
  </w:abstractNum>
  <w:num w:numId="1" w16cid:durableId="2026713819">
    <w:abstractNumId w:val="61"/>
  </w:num>
  <w:num w:numId="2" w16cid:durableId="901404827">
    <w:abstractNumId w:val="29"/>
  </w:num>
  <w:num w:numId="3" w16cid:durableId="248272190">
    <w:abstractNumId w:val="14"/>
  </w:num>
  <w:num w:numId="4" w16cid:durableId="403576729">
    <w:abstractNumId w:val="0"/>
  </w:num>
  <w:num w:numId="5" w16cid:durableId="295726376">
    <w:abstractNumId w:val="6"/>
  </w:num>
  <w:num w:numId="6" w16cid:durableId="1606619119">
    <w:abstractNumId w:val="11"/>
  </w:num>
  <w:num w:numId="7" w16cid:durableId="2057120323">
    <w:abstractNumId w:val="7"/>
  </w:num>
  <w:num w:numId="8" w16cid:durableId="377246705">
    <w:abstractNumId w:val="57"/>
  </w:num>
  <w:num w:numId="9" w16cid:durableId="550769915">
    <w:abstractNumId w:val="12"/>
  </w:num>
  <w:num w:numId="10" w16cid:durableId="1605725164">
    <w:abstractNumId w:val="39"/>
  </w:num>
  <w:num w:numId="11" w16cid:durableId="1370456037">
    <w:abstractNumId w:val="23"/>
  </w:num>
  <w:num w:numId="12" w16cid:durableId="268002253">
    <w:abstractNumId w:val="2"/>
  </w:num>
  <w:num w:numId="13" w16cid:durableId="290215064">
    <w:abstractNumId w:val="52"/>
  </w:num>
  <w:num w:numId="14" w16cid:durableId="1835488800">
    <w:abstractNumId w:val="41"/>
  </w:num>
  <w:num w:numId="15" w16cid:durableId="53090198">
    <w:abstractNumId w:val="10"/>
  </w:num>
  <w:num w:numId="16" w16cid:durableId="141627235">
    <w:abstractNumId w:val="44"/>
  </w:num>
  <w:num w:numId="17" w16cid:durableId="884947615">
    <w:abstractNumId w:val="67"/>
  </w:num>
  <w:num w:numId="18" w16cid:durableId="1941796436">
    <w:abstractNumId w:val="59"/>
  </w:num>
  <w:num w:numId="19" w16cid:durableId="780497147">
    <w:abstractNumId w:val="53"/>
  </w:num>
  <w:num w:numId="20" w16cid:durableId="432172943">
    <w:abstractNumId w:val="42"/>
  </w:num>
  <w:num w:numId="21" w16cid:durableId="372317012">
    <w:abstractNumId w:val="58"/>
  </w:num>
  <w:num w:numId="22" w16cid:durableId="533276678">
    <w:abstractNumId w:val="17"/>
  </w:num>
  <w:num w:numId="23" w16cid:durableId="126630853">
    <w:abstractNumId w:val="16"/>
  </w:num>
  <w:num w:numId="24" w16cid:durableId="1366445308">
    <w:abstractNumId w:val="51"/>
  </w:num>
  <w:num w:numId="25" w16cid:durableId="1657760084">
    <w:abstractNumId w:val="63"/>
  </w:num>
  <w:num w:numId="26" w16cid:durableId="627013810">
    <w:abstractNumId w:val="64"/>
  </w:num>
  <w:num w:numId="27" w16cid:durableId="906106688">
    <w:abstractNumId w:val="38"/>
  </w:num>
  <w:num w:numId="28" w16cid:durableId="452402540">
    <w:abstractNumId w:val="34"/>
  </w:num>
  <w:num w:numId="29" w16cid:durableId="329791053">
    <w:abstractNumId w:val="47"/>
  </w:num>
  <w:num w:numId="30" w16cid:durableId="1496804180">
    <w:abstractNumId w:val="18"/>
  </w:num>
  <w:num w:numId="31" w16cid:durableId="934022869">
    <w:abstractNumId w:val="48"/>
  </w:num>
  <w:num w:numId="32" w16cid:durableId="987319196">
    <w:abstractNumId w:val="50"/>
  </w:num>
  <w:num w:numId="33" w16cid:durableId="1457219785">
    <w:abstractNumId w:val="56"/>
  </w:num>
  <w:num w:numId="34" w16cid:durableId="776558421">
    <w:abstractNumId w:val="21"/>
  </w:num>
  <w:num w:numId="35" w16cid:durableId="1736660892">
    <w:abstractNumId w:val="62"/>
  </w:num>
  <w:num w:numId="36" w16cid:durableId="477692797">
    <w:abstractNumId w:val="5"/>
  </w:num>
  <w:num w:numId="37" w16cid:durableId="972753478">
    <w:abstractNumId w:val="15"/>
  </w:num>
  <w:num w:numId="38" w16cid:durableId="1900049332">
    <w:abstractNumId w:val="40"/>
  </w:num>
  <w:num w:numId="39" w16cid:durableId="603342319">
    <w:abstractNumId w:val="4"/>
  </w:num>
  <w:num w:numId="40" w16cid:durableId="1847018258">
    <w:abstractNumId w:val="19"/>
  </w:num>
  <w:num w:numId="41" w16cid:durableId="972717656">
    <w:abstractNumId w:val="3"/>
  </w:num>
  <w:num w:numId="42" w16cid:durableId="1446774019">
    <w:abstractNumId w:val="1"/>
  </w:num>
  <w:num w:numId="43" w16cid:durableId="1428885798">
    <w:abstractNumId w:val="65"/>
  </w:num>
  <w:num w:numId="44" w16cid:durableId="660275503">
    <w:abstractNumId w:val="24"/>
  </w:num>
  <w:num w:numId="45" w16cid:durableId="558059969">
    <w:abstractNumId w:val="46"/>
  </w:num>
  <w:num w:numId="46" w16cid:durableId="1927810007">
    <w:abstractNumId w:val="43"/>
  </w:num>
  <w:num w:numId="47" w16cid:durableId="556404466">
    <w:abstractNumId w:val="36"/>
  </w:num>
  <w:num w:numId="48" w16cid:durableId="1311399061">
    <w:abstractNumId w:val="28"/>
  </w:num>
  <w:num w:numId="49" w16cid:durableId="210001364">
    <w:abstractNumId w:val="26"/>
  </w:num>
  <w:num w:numId="50" w16cid:durableId="57628682">
    <w:abstractNumId w:val="31"/>
  </w:num>
  <w:num w:numId="51" w16cid:durableId="986711126">
    <w:abstractNumId w:val="60"/>
  </w:num>
  <w:num w:numId="52" w16cid:durableId="258098420">
    <w:abstractNumId w:val="22"/>
  </w:num>
  <w:num w:numId="53" w16cid:durableId="1138763973">
    <w:abstractNumId w:val="54"/>
  </w:num>
  <w:num w:numId="54" w16cid:durableId="1260483842">
    <w:abstractNumId w:val="55"/>
  </w:num>
  <w:num w:numId="55" w16cid:durableId="1725254283">
    <w:abstractNumId w:val="30"/>
  </w:num>
  <w:num w:numId="56" w16cid:durableId="879979965">
    <w:abstractNumId w:val="8"/>
  </w:num>
  <w:num w:numId="57" w16cid:durableId="1893425978">
    <w:abstractNumId w:val="25"/>
  </w:num>
  <w:num w:numId="58" w16cid:durableId="1974556616">
    <w:abstractNumId w:val="9"/>
  </w:num>
  <w:num w:numId="59" w16cid:durableId="309947331">
    <w:abstractNumId w:val="13"/>
  </w:num>
  <w:num w:numId="60" w16cid:durableId="976036586">
    <w:abstractNumId w:val="66"/>
  </w:num>
  <w:num w:numId="61" w16cid:durableId="1644195473">
    <w:abstractNumId w:val="20"/>
  </w:num>
  <w:num w:numId="62" w16cid:durableId="886988013">
    <w:abstractNumId w:val="32"/>
  </w:num>
  <w:num w:numId="63" w16cid:durableId="10423501">
    <w:abstractNumId w:val="27"/>
  </w:num>
  <w:num w:numId="64" w16cid:durableId="1265650145">
    <w:abstractNumId w:val="49"/>
  </w:num>
  <w:num w:numId="65" w16cid:durableId="267198034">
    <w:abstractNumId w:val="45"/>
  </w:num>
  <w:num w:numId="66" w16cid:durableId="2085491716">
    <w:abstractNumId w:val="33"/>
  </w:num>
  <w:num w:numId="67" w16cid:durableId="214589971">
    <w:abstractNumId w:val="37"/>
  </w:num>
  <w:num w:numId="68" w16cid:durableId="197008929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CA7"/>
    <w:rsid w:val="00492CA7"/>
    <w:rsid w:val="00780519"/>
    <w:rsid w:val="007F5B4B"/>
    <w:rsid w:val="00B243D7"/>
    <w:rsid w:val="00B95499"/>
    <w:rsid w:val="00BB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145E9"/>
  <w15:docId w15:val="{BEF79AFE-2357-404B-B3BB-17B1195FB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35</Pages>
  <Words>9474</Words>
  <Characters>60919</Characters>
  <Application>Microsoft Office Word</Application>
  <DocSecurity>0</DocSecurity>
  <Lines>2648</Lines>
  <Paragraphs>1637</Paragraphs>
  <ScaleCrop>false</ScaleCrop>
  <Company/>
  <LinksUpToDate>false</LinksUpToDate>
  <CharactersWithSpaces>68756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Seth Foss</cp:lastModifiedBy>
  <cp:revision>3</cp:revision>
  <cp:lastPrinted>2025-12-31T19:10:00Z</cp:lastPrinted>
  <dcterms:created xsi:type="dcterms:W3CDTF">2025-12-30T20:34:00Z</dcterms:created>
  <dcterms:modified xsi:type="dcterms:W3CDTF">2025-12-31T19:48:00Z</dcterms:modified>
</cp:coreProperties>
</file>