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PET_Equity_Share_Agreement_Template</w:t>
      </w:r>
    </w:p>
    <w:p/>
    <w:p>
      <w:r>
        <w:t>**Title:** PET Equity-Share Agreement</w:t>
      </w:r>
    </w:p>
    <w:p/>
    <w:p>
      <w:pPr>
        <w:pStyle w:val="Heading2"/>
      </w:pPr>
      <w:r>
        <w:t>1. Parties and Building Description</w:t>
      </w:r>
    </w:p>
    <w:p>
      <w:pPr>
        <w:pStyle w:val="ListBullet"/>
      </w:pPr>
      <w:r>
        <w:t>Parties: [City / HPD] and [Cooperative/CLT/Building Entity] and [Household Member(s)]</w:t>
      </w:r>
    </w:p>
    <w:p>
      <w:pPr>
        <w:pStyle w:val="ListBullet"/>
      </w:pPr>
      <w:r>
        <w:t>Building: [Street address, borough, tax lot, HPD ID]</w:t>
      </w:r>
    </w:p>
    <w:p>
      <w:pPr>
        <w:pStyle w:val="ListBullet"/>
      </w:pPr>
      <w:r>
        <w:t>Effective date: [DATE]</w:t>
      </w:r>
    </w:p>
    <w:p/>
    <w:p>
      <w:pPr>
        <w:pStyle w:val="Heading2"/>
      </w:pPr>
      <w:r>
        <w:t>2. Definitions</w:t>
      </w:r>
    </w:p>
    <w:p>
      <w:pPr>
        <w:pStyle w:val="ListBullet"/>
      </w:pPr>
      <w:r>
        <w:t>"Equity Share"</w:t>
      </w:r>
    </w:p>
    <w:p>
      <w:pPr>
        <w:pStyle w:val="ListBullet"/>
      </w:pPr>
      <w:r>
        <w:t>"Accrual Rate"</w:t>
      </w:r>
    </w:p>
    <w:p>
      <w:pPr>
        <w:pStyle w:val="ListBullet"/>
      </w:pPr>
      <w:r>
        <w:t>"Vesting"</w:t>
      </w:r>
    </w:p>
    <w:p>
      <w:pPr>
        <w:pStyle w:val="ListBullet"/>
      </w:pPr>
      <w:r>
        <w:t>"Default"</w:t>
      </w:r>
    </w:p>
    <w:p>
      <w:pPr>
        <w:pStyle w:val="ListBullet"/>
      </w:pPr>
      <w:r>
        <w:t>"Exit"</w:t>
      </w:r>
    </w:p>
    <w:p>
      <w:pPr>
        <w:pStyle w:val="ListBullet"/>
      </w:pPr>
      <w:r>
        <w:t>"Successor"</w:t>
      </w:r>
    </w:p>
    <w:p/>
    <w:p>
      <w:pPr>
        <w:pStyle w:val="Heading2"/>
      </w:pPr>
      <w:r>
        <w:t>3. Household Obligations</w:t>
      </w:r>
    </w:p>
    <w:p>
      <w:pPr>
        <w:pStyle w:val="ListBullet"/>
      </w:pPr>
      <w:r>
        <w:t>Monthly payment obligations (rent split / equity contribution)</w:t>
      </w:r>
    </w:p>
    <w:p>
      <w:pPr>
        <w:pStyle w:val="ListBullet"/>
      </w:pPr>
      <w:r>
        <w:t>Participation requirements (meetings, financial reporting, trainings)</w:t>
      </w:r>
    </w:p>
    <w:p>
      <w:pPr>
        <w:pStyle w:val="ListBullet"/>
      </w:pPr>
      <w:r>
        <w:t>Maintenance and occupancy rules</w:t>
      </w:r>
    </w:p>
    <w:p/>
    <w:p>
      <w:pPr>
        <w:pStyle w:val="Heading2"/>
      </w:pPr>
      <w:r>
        <w:t>4. City Obligations</w:t>
      </w:r>
    </w:p>
    <w:p>
      <w:pPr>
        <w:pStyle w:val="ListBullet"/>
      </w:pPr>
      <w:r>
        <w:t>Routing of subsidy (mechanism and timeline)</w:t>
      </w:r>
    </w:p>
    <w:p>
      <w:pPr>
        <w:pStyle w:val="ListBullet"/>
      </w:pPr>
      <w:r>
        <w:t>Equity accounting and statement issuance (quarterly/annual)</w:t>
      </w:r>
    </w:p>
    <w:p>
      <w:pPr>
        <w:pStyle w:val="ListBullet"/>
      </w:pPr>
      <w:r>
        <w:t>Support obligations (technical assistance, legal aid access)</w:t>
      </w:r>
    </w:p>
    <w:p/>
    <w:p>
      <w:pPr>
        <w:pStyle w:val="Heading2"/>
      </w:pPr>
      <w:r>
        <w:t>5. Accrual Formula and Vesting Schedule</w:t>
      </w:r>
    </w:p>
    <w:p>
      <w:pPr>
        <w:pStyle w:val="ListBullet"/>
      </w:pPr>
      <w:r>
        <w:t>Formula: e.g., monthly redirected subsidy × accrual factor × (1 admin fee)</w:t>
      </w:r>
    </w:p>
    <w:p>
      <w:pPr>
        <w:pStyle w:val="ListBullet"/>
      </w:pPr>
      <w:r>
        <w:t>Vesting: cliff or graded vesting schedule (e.g., 20% per year for 5 years)</w:t>
      </w:r>
    </w:p>
    <w:p/>
    <w:p>
      <w:pPr>
        <w:pStyle w:val="Heading2"/>
      </w:pPr>
      <w:r>
        <w:t>6. Default and Cure Periods</w:t>
      </w:r>
    </w:p>
    <w:p>
      <w:pPr>
        <w:pStyle w:val="ListBullet"/>
      </w:pPr>
      <w:r>
        <w:t>Definition of default (nonpayment, fraud, abandonment)</w:t>
      </w:r>
    </w:p>
    <w:p>
      <w:pPr>
        <w:pStyle w:val="ListBullet"/>
      </w:pPr>
      <w:r>
        <w:t>Cure period length and process</w:t>
      </w:r>
    </w:p>
    <w:p>
      <w:pPr>
        <w:pStyle w:val="ListBullet"/>
      </w:pPr>
      <w:r>
        <w:t>Remedies and limited remedies to avoid windfall to private parties</w:t>
      </w:r>
    </w:p>
    <w:p/>
    <w:p>
      <w:pPr>
        <w:pStyle w:val="Heading2"/>
      </w:pPr>
      <w:r>
        <w:t>7. Exit and Equity Disposition</w:t>
      </w:r>
    </w:p>
    <w:p>
      <w:pPr>
        <w:pStyle w:val="ListBullet"/>
      </w:pPr>
      <w:r>
        <w:t>Voluntary move: buyout formula or transfer rules</w:t>
      </w:r>
    </w:p>
    <w:p>
      <w:pPr>
        <w:pStyle w:val="ListBullet"/>
      </w:pPr>
      <w:r>
        <w:t>Eviction: treatment of accrued account (reserve, partial forfeiture)</w:t>
      </w:r>
    </w:p>
    <w:p>
      <w:pPr>
        <w:pStyle w:val="ListBullet"/>
      </w:pPr>
      <w:r>
        <w:t>Death: succession and transfer to heirs per rules</w:t>
      </w:r>
    </w:p>
    <w:p/>
    <w:p>
      <w:pPr>
        <w:pStyle w:val="Heading2"/>
      </w:pPr>
      <w:r>
        <w:t>8. Dispute Resolution and Governing Law</w:t>
      </w:r>
    </w:p>
    <w:p>
      <w:pPr>
        <w:pStyle w:val="ListBullet"/>
      </w:pPr>
      <w:r>
        <w:t>Informal resolution steps</w:t>
      </w:r>
    </w:p>
    <w:p>
      <w:pPr>
        <w:pStyle w:val="ListBullet"/>
      </w:pPr>
      <w:r>
        <w:t>Arbitration / mediation clause</w:t>
      </w:r>
    </w:p>
    <w:p>
      <w:pPr>
        <w:pStyle w:val="ListBullet"/>
      </w:pPr>
      <w:r>
        <w:t>Governing law: New York State; venue: New York County</w:t>
      </w:r>
    </w:p>
    <w:p/>
    <w:p>
      <w:pPr>
        <w:pStyle w:val="Heading2"/>
      </w:pPr>
      <w:r>
        <w:t>9. Article XI / Low-Income Covenants</w:t>
      </w:r>
    </w:p>
    <w:p>
      <w:pPr>
        <w:pStyle w:val="ListBullet"/>
      </w:pPr>
      <w:r>
        <w:t>Reference to perpetual affordability covenants or HDFC-style restrictions</w:t>
      </w:r>
    </w:p>
    <w:p>
      <w:pPr>
        <w:pStyle w:val="ListBullet"/>
      </w:pPr>
      <w:r>
        <w:t>Reversionary clauses or right-of-first-refusal for the CLT/cooperative</w:t>
      </w:r>
    </w:p>
    <w:p/>
    <w:p>
      <w:pPr>
        <w:pStyle w:val="Heading2"/>
      </w:pPr>
      <w:r>
        <w:t>10. Signatures</w:t>
      </w:r>
    </w:p>
    <w:p>
      <w:pPr>
        <w:pStyle w:val="ListBullet"/>
      </w:pPr>
      <w:r>
        <w:t>Household representative</w:t>
      </w:r>
    </w:p>
    <w:p>
      <w:pPr>
        <w:pStyle w:val="ListBullet"/>
      </w:pPr>
      <w:r>
        <w:t>Cooperatively-governed entity representative</w:t>
      </w:r>
    </w:p>
    <w:p>
      <w:pPr>
        <w:pStyle w:val="ListBullet"/>
      </w:pPr>
      <w:r>
        <w:t>HPD or City authorized signer</w:t>
      </w:r>
    </w:p>
    <w:p>
      <w:pPr>
        <w:pStyle w:val="ListBullet"/>
      </w:pPr>
      <w:r>
        <w:t>Acknowledgment of Right-to-Counsel receipt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