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LEGISLATIVE POLICY MEMORANDUM</w:t>
      </w:r>
    </w:p>
    <w:p>
      <w:r>
        <w:t>TO: New York City Council, Committee on Housing and Buildings</w:t>
      </w:r>
    </w:p>
    <w:p>
      <w:r>
        <w:t>FROM: Seth Foss, Public Policy Research Scholar</w:t>
      </w:r>
    </w:p>
    <w:p>
      <w:r>
        <w:t>DATE: May 21, 2025</w:t>
      </w:r>
    </w:p>
    <w:p>
      <w:r>
        <w:t>RE: Legislative Support for the Tenant Co-op Acquisition Program (TCAP): Transforming Subsidies into Equity-Building Ownership</w:t>
      </w:r>
    </w:p>
    <w:p>
      <w:r>
        <w:t>---</w:t>
      </w:r>
    </w:p>
    <w:p>
      <w:pPr>
        <w:pStyle w:val="Heading1"/>
      </w:pPr>
      <w:r>
        <w:t>I. EXECUTIVE OVERVIEW</w:t>
      </w:r>
    </w:p>
    <w:p>
      <w:r>
        <w:t>New York City currently allocates over $3 billion annually to housing voucher subsidies through Section 8 and CityFHEPS programs, which predominantly benefit private landlords without producing long-term financial security for tenants. The Tenant Co-op Acquisition Program (TCAP) proposes a fiscally responsible transformation: redirecting subsidies toward limited-equity cooperative ownership, thereby advancing housing stability, intergenerational wealth, and community control.</w:t>
        <w:br/>
        <w:br/>
        <w:t>TCAP expands the vision of Assembly Bill A3353 (Tenant Opportunity to Purchase Act) by introducing the critical financing, administrative, and legal frameworks necessary for scalable and enforceable tenant acquisition. The program would build on precedent from Washington, D.C.'s TOPA while correcting for that model's affordability enforcement gaps.</w:t>
      </w:r>
    </w:p>
    <w:p>
      <w:pPr>
        <w:pStyle w:val="Heading1"/>
      </w:pPr>
      <w:r>
        <w:t>II. PROBLEM STATEMENT</w:t>
      </w:r>
    </w:p>
    <w:p>
      <w:r>
        <w:t>Despite decades of investment in Housing Choice Vouchers (HCV), tenants—especially Black and Latino households—continue to face disproportionate shelter burdens, stagnant homeownership rates, and exposure to abusive landlords. Research shows that voucher-receiving households often remain in subsidized tenancy over 15 years without acquiring ownership rights or equity. Meanwhile, landlords accrue subsidized assets and appreciation, contributing to widening racial wealth gaps.[1]</w:t>
        <w:br/>
        <w:br/>
        <w:t>Furthermore, economic studies of the 2008 housing crisis show how foreclosure spikes and housing price volatility reduced city tax revenues by up to 21%, reinforcing the urgency for stable ownership models that can protect fiscal and community health long-term.[2]</w:t>
      </w:r>
    </w:p>
    <w:p>
      <w:pPr>
        <w:pStyle w:val="Heading1"/>
      </w:pPr>
      <w:r>
        <w:t>III. ECONOMIC MODELING &amp; FISCAL IMPACT</w:t>
      </w:r>
    </w:p>
    <w:p>
      <w:r>
        <w:t>Preliminary modeling projects a 3:1 to 5:1 public ROI for each dollar redirected from rent subsidies to equity acquisition. Key economic mechanisms:</w:t>
        <w:br/>
        <w:br/>
        <w:t>- Cost Avoidance: Reductions in eviction proceedings, shelter system costs, and Right to Counsel litigation.</w:t>
        <w:br/>
        <w:t>- Revenue Stabilization: Cooperative buildings show lower foreclosure rates, higher tax compliance, and better maintenance outcomes.[3]</w:t>
        <w:br/>
        <w:t>- Wealth Accumulation: Tenants build limited equity while preserving affordability, reducing future reliance on subsidies.</w:t>
        <w:br/>
        <w:br/>
        <w:t>Based on HPD data, even converting just 5% of subsidized buildings per year over five years would transition over 10,000 units to tenant ownership, yielding annualized savings of approximately $120–$180 million by Year 10.</w:t>
      </w:r>
    </w:p>
    <w:p>
      <w:pPr>
        <w:pStyle w:val="Heading1"/>
      </w:pPr>
      <w:r>
        <w:t>IV. LEGISLATIVE RECOMMENDATIONS</w:t>
      </w:r>
    </w:p>
    <w:p>
      <w:r>
        <w:t>1. Codify a Public Equity Transfer Framework</w:t>
        <w:br/>
        <w:t xml:space="preserve">   Authorize NYC agencies (HPD, HRA, NYCHA) to administer subsidy-backed equity programs, with ownership vesting over time through structured contributions.</w:t>
        <w:br/>
        <w:br/>
        <w:t>2. Establish a Tenant Opportunity Fund (TOF)</w:t>
        <w:br/>
        <w:t xml:space="preserve">   Pool state and federal subsidy flows into a revolving fund for down payments, repairs, and technical assistance for co-op conversions.</w:t>
        <w:br/>
        <w:br/>
        <w:t>3. Enact Right-to-Purchase Legislation</w:t>
        <w:br/>
        <w:t xml:space="preserve">   Expand TOPA to grant enforceable first-purchase rights to tenant associations and nonprofits. Pair this with loan guarantees and acquisition financing through Community Development Financial Institutions (CDFIs).</w:t>
        <w:br/>
        <w:br/>
        <w:t>4. Create a Cross-Agency Equity Monitoring Panel</w:t>
        <w:br/>
        <w:t xml:space="preserve">   Mandate data-sharing across HPD, HUD, NYCHA, and the Public Advocate’s Office to track equity gains, shelter cost reductions, eviction rates, and subsidy use.</w:t>
      </w:r>
    </w:p>
    <w:p>
      <w:pPr>
        <w:pStyle w:val="Heading1"/>
      </w:pPr>
      <w:r>
        <w:t>V. CONCLUSION</w:t>
      </w:r>
    </w:p>
    <w:p>
      <w:r>
        <w:t>The City must choose between perpetuating a rental subsidy regime that subsidizes private landlord wealth—or restructuring that subsidy into a foundation for tenant-controlled, fiscally efficient cooperative ownership. With targeted legislation and interagency coordination, TCAP can turn housing assistance into a powerful tool for equity, dignity, and fiscal sustainability.</w:t>
      </w:r>
    </w:p>
    <w:p>
      <w:r>
        <w:t>---</w:t>
      </w:r>
    </w:p>
    <w:p>
      <w:r>
        <w:t>[1] U.S. Department of Housing and Urban Development. (2022). Voucher Program Statistics.</w:t>
        <w:br/>
        <w:t>[2] Chernick, H., Reschovsky, A., &amp; Newman, S. (2021). The effect of the housing crisis on the finances of central cities. Journal of Housing Economics, 54.</w:t>
        <w:br/>
        <w:t>[3] NYC Public Advocate. (2023). 100 Worst Landlords List.</w:t>
      </w:r>
    </w:p>
    <w:p>
      <w:r>
        <w:t>For full bill text, modeling spreadsheets, and implementation framework drafts, contact: sfosss@icloud.com | +1 (917) 971-2922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