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 w:line="360" w:lineRule="auto"/>
        <w:ind w:left="0" w:right="0"/>
        <w:jc w:val="left"/>
      </w:pPr>
      <w:r>
        <w:t>LEGISLATIVE POLICY MEMORANDUM</w:t>
      </w:r>
    </w:p>
    <w:p>
      <w:pPr>
        <w:spacing w:after="120" w:line="360" w:lineRule="auto"/>
        <w:ind w:left="0" w:right="0"/>
        <w:jc w:val="left"/>
      </w:pPr>
      <w:r>
        <w:t>TO: New York City Council, Committee on Housing and Buildings</w:t>
      </w:r>
    </w:p>
    <w:p>
      <w:pPr>
        <w:spacing w:after="120" w:line="360" w:lineRule="auto"/>
        <w:ind w:left="0" w:right="0"/>
        <w:jc w:val="left"/>
      </w:pPr>
      <w:r>
        <w:t>FROM: Seth Foss, Public Policy Research Scholar</w:t>
      </w:r>
    </w:p>
    <w:p>
      <w:pPr>
        <w:spacing w:after="120" w:line="360" w:lineRule="auto"/>
        <w:ind w:left="0" w:right="0"/>
        <w:jc w:val="left"/>
      </w:pPr>
      <w:r>
        <w:t>DATE: May 21, 2025</w:t>
      </w:r>
    </w:p>
    <w:p>
      <w:pPr>
        <w:spacing w:after="120" w:line="360" w:lineRule="auto"/>
        <w:ind w:left="0" w:right="0"/>
        <w:jc w:val="left"/>
      </w:pPr>
      <w:r>
        <w:t>RE: Legislative Support for the Tenant Co-op Acquisition Program (TCAP): Transforming Subsidies into Equity-Building Ownership</w:t>
      </w:r>
    </w:p>
    <w:p>
      <w:pPr>
        <w:spacing w:after="120" w:line="360" w:lineRule="auto"/>
        <w:ind w:left="0" w:right="0"/>
        <w:jc w:val="left"/>
      </w:pPr>
      <w:r>
        <w:t>---</w:t>
      </w:r>
    </w:p>
    <w:p>
      <w:pPr>
        <w:pStyle w:val="Heading1"/>
        <w:spacing w:after="120" w:line="360" w:lineRule="auto"/>
        <w:ind w:left="0" w:right="0"/>
        <w:jc w:val="center"/>
      </w:pPr>
      <w:r>
        <w:rPr>
          <w:b/>
        </w:rPr>
        <w:t>I. EXECUTIVE OVERVIEW</w:t>
      </w:r>
    </w:p>
    <w:p>
      <w:pPr>
        <w:spacing w:after="120" w:line="360" w:lineRule="auto"/>
        <w:ind w:left="0" w:right="0"/>
        <w:jc w:val="left"/>
      </w:pPr>
      <w:r>
        <w:t>New York City currently allocates over $3 billion annually... (Elmelech, 2004; Maqbool et al., 2015).</w:t>
      </w:r>
    </w:p>
    <w:p>
      <w:pPr>
        <w:pStyle w:val="Heading1"/>
        <w:spacing w:after="120" w:line="360" w:lineRule="auto"/>
        <w:ind w:left="0" w:right="0"/>
        <w:jc w:val="center"/>
      </w:pPr>
      <w:r>
        <w:rPr>
          <w:b/>
        </w:rPr>
        <w:t>II. PROBLEM STATEMENT</w:t>
      </w:r>
    </w:p>
    <w:p>
      <w:pPr>
        <w:spacing w:after="120" w:line="360" w:lineRule="auto"/>
        <w:ind w:left="0" w:right="0"/>
        <w:jc w:val="left"/>
      </w:pPr>
      <w:r>
        <w:t>Despite decades of investment in Housing Choice Vouchers... (Mimura, 2007).</w:t>
      </w:r>
    </w:p>
    <w:p>
      <w:pPr>
        <w:pStyle w:val="Heading1"/>
        <w:spacing w:after="120" w:line="360" w:lineRule="auto"/>
        <w:ind w:left="0" w:right="0"/>
        <w:jc w:val="center"/>
      </w:pPr>
      <w:r>
        <w:rPr>
          <w:b/>
        </w:rPr>
        <w:t>III. ECONOMIC MODELING &amp; FISCAL IMPACT</w:t>
      </w:r>
    </w:p>
    <w:p>
      <w:pPr>
        <w:spacing w:after="120" w:line="360" w:lineRule="auto"/>
        <w:ind w:left="0" w:right="0"/>
        <w:jc w:val="left"/>
      </w:pPr>
      <w:r>
        <w:t>Preliminary modeling projects a 3:1 to 5:1 public ROI... (HUD, 2025; LISC, 2020).</w:t>
      </w:r>
    </w:p>
    <w:p>
      <w:pPr>
        <w:pStyle w:val="Heading1"/>
        <w:spacing w:after="120" w:line="360" w:lineRule="auto"/>
        <w:ind w:left="0" w:right="0"/>
        <w:jc w:val="center"/>
      </w:pPr>
      <w:r>
        <w:rPr>
          <w:b/>
        </w:rPr>
        <w:t>IV. LEGISLATIVE RECOMMENDATIONS</w:t>
      </w:r>
    </w:p>
    <w:p>
      <w:pPr>
        <w:spacing w:after="120" w:line="360" w:lineRule="auto"/>
        <w:ind w:left="0" w:right="0"/>
        <w:jc w:val="left"/>
      </w:pPr>
      <w:r>
        <w:t>1. Codify a Public Equity Transfer Framework</w:t>
        <w:br/>
        <w:t xml:space="preserve">   Authorize NYC agencies (HPD, HRA, NYCHA)... (Elmelech, 2004).</w:t>
        <w:br/>
        <w:br/>
        <w:t>2. Establish a Tenant Opportunity Fund (TOF)</w:t>
        <w:br/>
        <w:t xml:space="preserve">   Pool state and federal subsidy flows... (Brennan et al., 2014; LISC, 2020).</w:t>
        <w:br/>
        <w:br/>
        <w:t>3. Enact Right-to-Purchase Legislation</w:t>
        <w:br/>
        <w:t xml:space="preserve">   Expand TOPA... (Shrier, 2016).</w:t>
        <w:br/>
        <w:br/>
        <w:t>4. Create a Cross-Agency Equity Monitoring Panel</w:t>
        <w:br/>
        <w:t xml:space="preserve">   Mandate data-sharing... (Maqbool et al., 2015).</w:t>
      </w:r>
    </w:p>
    <w:p>
      <w:pPr>
        <w:pStyle w:val="Heading1"/>
        <w:spacing w:after="120" w:line="360" w:lineRule="auto"/>
        <w:ind w:left="0" w:right="0"/>
        <w:jc w:val="center"/>
      </w:pPr>
      <w:r>
        <w:rPr>
          <w:b/>
        </w:rPr>
        <w:t>V. CONCLUSION</w:t>
      </w:r>
    </w:p>
    <w:p>
      <w:pPr>
        <w:spacing w:after="120" w:line="360" w:lineRule="auto"/>
        <w:ind w:left="0" w:right="0"/>
        <w:jc w:val="left"/>
      </w:pPr>
      <w:r>
        <w:t>The City must choose... (LISC, 2020; Brennan &amp; Lipman, 2008).</w:t>
      </w:r>
    </w:p>
    <w:p>
      <w:pPr>
        <w:spacing w:after="120" w:line="360" w:lineRule="auto"/>
        <w:ind w:left="0" w:right="0"/>
        <w:jc w:val="left"/>
      </w:pPr>
      <w:r>
        <w:t>---</w:t>
      </w:r>
    </w:p>
    <w:p>
      <w:pPr>
        <w:pStyle w:val="Heading1"/>
        <w:spacing w:after="120" w:line="360" w:lineRule="auto"/>
        <w:ind w:left="0" w:right="0"/>
        <w:jc w:val="center"/>
      </w:pPr>
      <w:r>
        <w:rPr>
          <w:b/>
        </w:rPr>
        <w:t>References</w:t>
      </w:r>
    </w:p>
    <w:p>
      <w:pPr>
        <w:spacing w:after="120" w:line="360" w:lineRule="auto"/>
        <w:ind w:left="0" w:right="0"/>
        <w:jc w:val="left"/>
      </w:pPr>
      <w:r>
        <w:t>Brennan, M., &amp; Lipman, B. (2008). *Stretched Thin: The Impact of Rising Housing Expenses on America’s Owners and Renters*. Urban Institute.</w:t>
      </w:r>
    </w:p>
    <w:p>
      <w:pPr>
        <w:spacing w:after="120" w:line="360" w:lineRule="auto"/>
        <w:ind w:left="0" w:right="0"/>
        <w:jc w:val="left"/>
      </w:pPr>
      <w:r>
        <w:t>Brennan, M., Lubell, J., &amp; Holtzclaw, J. (2014). *The Impacts of Affordable Housing on Education: A Research Summary*. Center for Housing Policy.</w:t>
      </w:r>
    </w:p>
    <w:p>
      <w:pPr>
        <w:spacing w:after="120" w:line="360" w:lineRule="auto"/>
        <w:ind w:left="0" w:right="0"/>
        <w:jc w:val="left"/>
      </w:pPr>
      <w:r>
        <w:t>Chernick, H., Reschovsky, A., &amp; Newman, S. (2021). *The effect of the housing crisis on the finances of central cities*. *Journal of Housing Economics*, 54.</w:t>
      </w:r>
    </w:p>
    <w:p>
      <w:pPr>
        <w:spacing w:after="120" w:line="360" w:lineRule="auto"/>
        <w:ind w:left="0" w:right="0"/>
        <w:jc w:val="left"/>
      </w:pPr>
      <w:r>
        <w:t>Clark, W. A., &amp; Ledwith, V. (2006). *Mobility, housing stress, and neighborhood contexts: Evidence from Los Angeles*. *Environment and Planning A*, 38(6).</w:t>
      </w:r>
    </w:p>
    <w:p>
      <w:pPr>
        <w:spacing w:after="120" w:line="360" w:lineRule="auto"/>
        <w:ind w:left="0" w:right="0"/>
        <w:jc w:val="left"/>
      </w:pPr>
      <w:r>
        <w:t>Elmelech, Y. (2004). *Housing inequality in NYC: Racial disparities in homeownership and shelter-cost burden*. *Housing, Theory and Society*, 21.</w:t>
      </w:r>
    </w:p>
    <w:p>
      <w:pPr>
        <w:spacing w:after="120" w:line="360" w:lineRule="auto"/>
        <w:ind w:left="0" w:right="0"/>
        <w:jc w:val="left"/>
      </w:pPr>
      <w:r>
        <w:t>HUD. (2022). *Voucher Program Statistics*. U.S. Department of Housing and Urban Development.</w:t>
      </w:r>
    </w:p>
    <w:p>
      <w:pPr>
        <w:spacing w:after="120" w:line="360" w:lineRule="auto"/>
        <w:ind w:left="0" w:right="0"/>
        <w:jc w:val="left"/>
      </w:pPr>
      <w:r>
        <w:t>HUD. (2025). *FY 2025 Homeowner Assistance Fund Income Limits: New York Metro*.</w:t>
      </w:r>
    </w:p>
    <w:p>
      <w:pPr>
        <w:spacing w:after="120" w:line="360" w:lineRule="auto"/>
        <w:ind w:left="0" w:right="0"/>
        <w:jc w:val="left"/>
      </w:pPr>
      <w:r>
        <w:t>LISC. (2020). *LISC at 40: Coming to Terms with the Limits of Markets*. Nonprofit Quarterly.</w:t>
      </w:r>
    </w:p>
    <w:p>
      <w:pPr>
        <w:spacing w:after="120" w:line="360" w:lineRule="auto"/>
        <w:ind w:left="0" w:right="0"/>
        <w:jc w:val="left"/>
      </w:pPr>
      <w:r>
        <w:t>Maqbool, N., Viveiros, J., &amp; Ault, M. (2015). *The Impacts of Affordable Housing on Health*. Center for Housing Policy.</w:t>
      </w:r>
    </w:p>
    <w:p>
      <w:pPr>
        <w:spacing w:after="120" w:line="360" w:lineRule="auto"/>
        <w:ind w:left="0" w:right="0"/>
        <w:jc w:val="left"/>
      </w:pPr>
      <w:r>
        <w:t>McConnell, E. D. (2013). *Disparities in housing cost burden by race, nativity, and legal status*. *Population Research and Policy Review*, 32.</w:t>
      </w:r>
    </w:p>
    <w:p>
      <w:pPr>
        <w:spacing w:after="120" w:line="360" w:lineRule="auto"/>
        <w:ind w:left="0" w:right="0"/>
        <w:jc w:val="left"/>
      </w:pPr>
      <w:r>
        <w:t>Mimura, Y. (2007). *Housing cost burden, poverty status, and economic hardship among low-income families*. *Journal of Family and Economic Issues*, 28.</w:t>
      </w:r>
    </w:p>
    <w:p>
      <w:pPr>
        <w:spacing w:after="120" w:line="360" w:lineRule="auto"/>
        <w:ind w:left="0" w:right="0"/>
        <w:jc w:val="left"/>
      </w:pPr>
      <w:r>
        <w:t>NYC Department of Social Services. (2023). *CityFHEPS Budget Overview*.</w:t>
      </w:r>
    </w:p>
    <w:p>
      <w:pPr>
        <w:spacing w:after="120" w:line="360" w:lineRule="auto"/>
        <w:ind w:left="0" w:right="0"/>
        <w:jc w:val="left"/>
      </w:pPr>
      <w:r>
        <w:t>NYC Public Advocate. (2023). *100 Worst Landlords List*.</w:t>
      </w:r>
    </w:p>
    <w:p>
      <w:pPr>
        <w:spacing w:after="120" w:line="360" w:lineRule="auto"/>
        <w:ind w:left="0" w:right="0"/>
        <w:jc w:val="left"/>
      </w:pPr>
      <w:r>
        <w:t>Shrier, C. (2016). *No Place Like Home: Tenant Harassment and the Frailty of Housing Court*. NYU Review of Law &amp; Social Change.</w:t>
      </w:r>
    </w:p>
    <w:p>
      <w:pPr>
        <w:spacing w:after="120" w:line="360" w:lineRule="auto"/>
        <w:ind w:left="0" w:right="0"/>
        <w:jc w:val="left"/>
      </w:pPr>
      <w:r>
        <w:t>---</w:t>
      </w:r>
    </w:p>
    <w:p>
      <w:pPr>
        <w:spacing w:after="120" w:line="360" w:lineRule="auto"/>
        <w:ind w:left="0" w:right="0"/>
        <w:jc w:val="left"/>
      </w:pPr>
      <w:r>
        <w:t>For full bill text, modeling spreadsheets, and implementation framework drafts, contact: sfosss@icloud.com | +1 (917) 971-2922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