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APA Reference Tracker – Housing Subsidy Research</w:t>
      </w:r>
    </w:p>
    <w:p>
      <w:r>
        <w:t>This document includes all primary and secondary references identified so far, formatted in APA style. In-text citation suggestions include layered references where applicable.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 Code</w:t>
            </w:r>
          </w:p>
        </w:tc>
        <w:tc>
          <w:tcPr>
            <w:tcW w:type="dxa" w:w="1728"/>
          </w:tcPr>
          <w:p>
            <w:r>
              <w:t>APA Citation</w:t>
            </w:r>
          </w:p>
        </w:tc>
        <w:tc>
          <w:tcPr>
            <w:tcW w:type="dxa" w:w="1728"/>
          </w:tcPr>
          <w:p>
            <w:r>
              <w:t>Cited In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MUL2013</w:t>
            </w:r>
          </w:p>
        </w:tc>
        <w:tc>
          <w:tcPr>
            <w:tcW w:type="dxa" w:w="1728"/>
          </w:tcPr>
          <w:p>
            <w:r>
              <w:t>Mullainathan, S., &amp; Shafir, E. (2013). Scarcity: Why having too little means so much. Picador.</w:t>
            </w:r>
          </w:p>
        </w:tc>
        <w:tc>
          <w:tcPr>
            <w:tcW w:type="dxa" w:w="1728"/>
          </w:tcPr>
          <w:p>
            <w:r>
              <w:t>Proposal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Scarcity mindset; cognitive bandwidth theory</w:t>
            </w:r>
          </w:p>
        </w:tc>
      </w:tr>
      <w:tr>
        <w:tc>
          <w:tcPr>
            <w:tcW w:type="dxa" w:w="1728"/>
          </w:tcPr>
          <w:p>
            <w:r>
              <w:t>MEL2016</w:t>
            </w:r>
          </w:p>
        </w:tc>
        <w:tc>
          <w:tcPr>
            <w:tcW w:type="dxa" w:w="1728"/>
          </w:tcPr>
          <w:p>
            <w:r>
              <w:t>Meltzer, R., &amp; Schwartz, A. (2016). Housing affordability and health: Evidence from New York City. Housing Policy Debate, 26(1), 80–104. https://doi.org/10.1080/10511482.2015.1020321</w:t>
            </w:r>
          </w:p>
        </w:tc>
        <w:tc>
          <w:tcPr>
            <w:tcW w:type="dxa" w:w="1728"/>
          </w:tcPr>
          <w:p>
            <w:r>
              <w:t>Proposal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NYC empirical tenant health study</w:t>
            </w:r>
          </w:p>
        </w:tc>
      </w:tr>
      <w:tr>
        <w:tc>
          <w:tcPr>
            <w:tcW w:type="dxa" w:w="1728"/>
          </w:tcPr>
          <w:p>
            <w:r>
              <w:t>MEL2016.1</w:t>
            </w:r>
          </w:p>
        </w:tc>
        <w:tc>
          <w:tcPr>
            <w:tcW w:type="dxa" w:w="1728"/>
          </w:tcPr>
          <w:p>
            <w:r>
              <w:t>Lubell, J., Morley, R., Ashe, M., &amp; Merola, L. (2011). Housing and Health: New Opportunities for Dialogue and Action. Center for Housing Policy.</w:t>
            </w:r>
          </w:p>
        </w:tc>
        <w:tc>
          <w:tcPr>
            <w:tcW w:type="dxa" w:w="1728"/>
          </w:tcPr>
          <w:p>
            <w:r>
              <w:t>MEL2016</w:t>
            </w:r>
          </w:p>
        </w:tc>
        <w:tc>
          <w:tcPr>
            <w:tcW w:type="dxa" w:w="1728"/>
          </w:tcPr>
          <w:p>
            <w:r>
              <w:t>Secondary</w:t>
            </w:r>
          </w:p>
        </w:tc>
        <w:tc>
          <w:tcPr>
            <w:tcW w:type="dxa" w:w="1728"/>
          </w:tcPr>
          <w:p>
            <w:r>
              <w:t>Links housing conditions with asthma and mental health.</w:t>
            </w:r>
          </w:p>
        </w:tc>
      </w:tr>
      <w:tr>
        <w:tc>
          <w:tcPr>
            <w:tcW w:type="dxa" w:w="1728"/>
          </w:tcPr>
          <w:p>
            <w:r>
              <w:t>BOA2023</w:t>
            </w:r>
          </w:p>
        </w:tc>
        <w:tc>
          <w:tcPr>
            <w:tcW w:type="dxa" w:w="1728"/>
          </w:tcPr>
          <w:p>
            <w:r>
              <w:t>Boateng, B. K. (2023). Examining the nexus of housing instability and neighborhood within New York City (NYC) [Doctoral dissertation, Georgia Southern University]. Digital Commons @ Georgia Southern.</w:t>
            </w:r>
          </w:p>
        </w:tc>
        <w:tc>
          <w:tcPr>
            <w:tcW w:type="dxa" w:w="1728"/>
          </w:tcPr>
          <w:p>
            <w:r>
              <w:t>Proposal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Descriptive and quantitative analysis of housing instability in NYC</w:t>
            </w:r>
          </w:p>
        </w:tc>
      </w:tr>
      <w:tr>
        <w:tc>
          <w:tcPr>
            <w:tcW w:type="dxa" w:w="1728"/>
          </w:tcPr>
          <w:p>
            <w:r>
              <w:t>CDC2020</w:t>
            </w:r>
          </w:p>
        </w:tc>
        <w:tc>
          <w:tcPr>
            <w:tcW w:type="dxa" w:w="1728"/>
          </w:tcPr>
          <w:p>
            <w:r>
              <w:t>Centers for Disease Control and Prevention. (2020). Healthy housing reference manual. U.S. Department of Health and Human Services.</w:t>
            </w:r>
          </w:p>
        </w:tc>
        <w:tc>
          <w:tcPr>
            <w:tcW w:type="dxa" w:w="1728"/>
          </w:tcPr>
          <w:p>
            <w:r>
              <w:t>MEL2016</w:t>
            </w:r>
          </w:p>
        </w:tc>
        <w:tc>
          <w:tcPr>
            <w:tcW w:type="dxa" w:w="1728"/>
          </w:tcPr>
          <w:p>
            <w:r>
              <w:t>Secondary</w:t>
            </w:r>
          </w:p>
        </w:tc>
        <w:tc>
          <w:tcPr>
            <w:tcW w:type="dxa" w:w="1728"/>
          </w:tcPr>
          <w:p>
            <w:r>
              <w:t>Physical housing risk data referenced in multiple empirical sources</w:t>
            </w:r>
          </w:p>
        </w:tc>
      </w:tr>
      <w:tr>
        <w:tc>
          <w:tcPr>
            <w:tcW w:type="dxa" w:w="1728"/>
          </w:tcPr>
          <w:p>
            <w:r>
              <w:t>KRH2002</w:t>
            </w:r>
          </w:p>
        </w:tc>
        <w:tc>
          <w:tcPr>
            <w:tcW w:type="dxa" w:w="1728"/>
          </w:tcPr>
          <w:p>
            <w:r>
              <w:t>Krieger, J., &amp; Higgins, D. L. (2002). Housing and health: Time again for public health action. American Journal of Public Health, 92(5), 758–768.</w:t>
            </w:r>
          </w:p>
        </w:tc>
        <w:tc>
          <w:tcPr>
            <w:tcW w:type="dxa" w:w="1728"/>
          </w:tcPr>
          <w:p>
            <w:r>
              <w:t>MEL2016</w:t>
            </w:r>
          </w:p>
        </w:tc>
        <w:tc>
          <w:tcPr>
            <w:tcW w:type="dxa" w:w="1728"/>
          </w:tcPr>
          <w:p>
            <w:r>
              <w:t>Secondary</w:t>
            </w:r>
          </w:p>
        </w:tc>
        <w:tc>
          <w:tcPr>
            <w:tcW w:type="dxa" w:w="1728"/>
          </w:tcPr>
          <w:p>
            <w:r>
              <w:t>Mental health and overcrowding risk associated with low-quality housing.</w:t>
            </w:r>
          </w:p>
        </w:tc>
      </w:tr>
      <w:tr>
        <w:tc>
          <w:tcPr>
            <w:tcW w:type="dxa" w:w="1728"/>
          </w:tcPr>
          <w:p>
            <w:r>
              <w:t>TBD, 01</w:t>
            </w:r>
          </w:p>
        </w:tc>
        <w:tc>
          <w:tcPr>
            <w:tcW w:type="dxa" w:w="1728"/>
          </w:tcPr>
          <w:p>
            <w:r>
              <w:t>(TBD, 01)</w:t>
            </w:r>
          </w:p>
        </w:tc>
        <w:tc>
          <w:tcPr>
            <w:tcW w:type="dxa" w:w="1728"/>
          </w:tcPr>
          <w:p>
            <w:r>
              <w:t>Placeholder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To be identified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