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Housing Subsidy Reform: A Wealth-Building, Tenant-Ownership Strategy</w:t>
      </w:r>
    </w:p>
    <w:p>
      <w:r>
        <w:rPr>
          <w:rFonts w:ascii="Times New Roman" w:hAnsi="Times New Roman"/>
          <w:color w:val="0000FF"/>
          <w:sz w:val="24"/>
        </w:rPr>
        <w:t>Introduction</w:t>
      </w:r>
    </w:p>
    <w:p>
      <w:r>
        <w:rPr>
          <w:rFonts w:ascii="Times New Roman" w:hAnsi="Times New Roman"/>
          <w:color w:val="0000FF"/>
          <w:sz w:val="24"/>
        </w:rPr>
        <w:t>This policy proposal outlines a multi-phase housing reform strategy designed to shift away from the current landlord-centered voucher rental model toward a tenant-ownership model.</w:t>
      </w:r>
    </w:p>
    <w:p>
      <w:r>
        <w:rPr>
          <w:rFonts w:ascii="Times New Roman" w:hAnsi="Times New Roman"/>
          <w:color w:val="0000FF"/>
          <w:sz w:val="24"/>
        </w:rPr>
        <w:t>Problem Statement</w:t>
      </w:r>
    </w:p>
    <w:p>
      <w:r>
        <w:rPr>
          <w:rFonts w:ascii="Times New Roman" w:hAnsi="Times New Roman"/>
          <w:color w:val="0000FF"/>
          <w:sz w:val="24"/>
        </w:rPr>
        <w:t>Rental subsidies have historically reinforced landlord profit and intergenerational disenfranchisement of tenants, particularly within communities of color. This model has failed to provide long-term housing stability or wealth-building opportunities.</w:t>
      </w:r>
    </w:p>
    <w:p>
      <w:r>
        <w:rPr>
          <w:rFonts w:ascii="Times New Roman" w:hAnsi="Times New Roman"/>
          <w:color w:val="0000FF"/>
          <w:sz w:val="24"/>
        </w:rPr>
        <w:t>Proposed Solution</w:t>
      </w:r>
    </w:p>
    <w:p>
      <w:r>
        <w:rPr>
          <w:rFonts w:ascii="Times New Roman" w:hAnsi="Times New Roman"/>
          <w:color w:val="0000FF"/>
          <w:sz w:val="24"/>
        </w:rPr>
        <w:t>Redirect housing vouchers toward tenant ownership through a rent-to-own model supported by existing subsidy streams. By reallocating these subsidies to support cooperative housing buyouts and tenant-owned housing stock, communities can build equity and reduce generational poverty.</w:t>
      </w:r>
    </w:p>
    <w:p>
      <w:r>
        <w:rPr>
          <w:rFonts w:ascii="Times New Roman" w:hAnsi="Times New Roman"/>
          <w:color w:val="0000FF"/>
          <w:sz w:val="24"/>
        </w:rPr>
        <w:t>Implementation Framework</w:t>
      </w:r>
    </w:p>
    <w:p>
      <w:r>
        <w:rPr>
          <w:rFonts w:ascii="Times New Roman" w:hAnsi="Times New Roman"/>
          <w:color w:val="0000FF"/>
          <w:sz w:val="24"/>
        </w:rPr>
        <w:t>- Reallocation of subsidies to support co-op conversion buyouts.</w:t>
      </w:r>
    </w:p>
    <w:p>
      <w:r>
        <w:rPr>
          <w:rFonts w:ascii="Times New Roman" w:hAnsi="Times New Roman"/>
          <w:color w:val="0000FF"/>
          <w:sz w:val="24"/>
        </w:rPr>
        <w:t>- 5-year subsidy runway covering down payments, renovations, and HOA reserves.</w:t>
      </w:r>
    </w:p>
    <w:p>
      <w:r>
        <w:rPr>
          <w:rFonts w:ascii="Times New Roman" w:hAnsi="Times New Roman"/>
          <w:color w:val="0000FF"/>
          <w:sz w:val="24"/>
        </w:rPr>
        <w:t>- Multi-agency oversight via HPD, DHCR, Right to Counsel, and Housing Court.</w:t>
      </w:r>
    </w:p>
    <w:p>
      <w:r>
        <w:rPr>
          <w:rFonts w:ascii="Times New Roman" w:hAnsi="Times New Roman"/>
          <w:color w:val="0000FF"/>
          <w:sz w:val="24"/>
        </w:rPr>
        <w:t>- Priority buildings include those owned by landlords on NYC's Worst Landlord List.</w:t>
      </w:r>
    </w:p>
    <w:p>
      <w:r>
        <w:rPr>
          <w:rFonts w:ascii="Times New Roman" w:hAnsi="Times New Roman"/>
          <w:color w:val="008000"/>
          <w:sz w:val="24"/>
        </w:rPr>
        <w:t>Concern: Ensure subsidy laws allow redirecting funds to tenant equity models without triggering federal clawbacks.</w:t>
      </w:r>
    </w:p>
    <w:p>
      <w:r>
        <w:br w:type="page"/>
      </w:r>
    </w:p>
    <w:p>
      <w:pPr>
        <w:pStyle w:val="Heading1"/>
      </w:pPr>
      <w:r>
        <w:t>Strategic Roadmap: Housing Subsidy Reform Project</w:t>
      </w:r>
    </w:p>
    <w:p>
      <w:r>
        <w:rPr>
          <w:b/>
          <w:color w:val="0000FF"/>
          <w:sz w:val="24"/>
        </w:rPr>
        <w:t>1. Executive Summary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2. Policy Problem Overview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3. Policy Goals and Objectives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4. Proposed Solution – Tenant Ownership Model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5. Implementation Strategy (Phases &amp; Agencies)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6. Legal and Budgetary Considerations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7. Anticipated Challenges and Mitigation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8. Supporting Research &amp; Comparative Models</w:t>
      </w:r>
    </w:p>
    <w:p>
      <w:r>
        <w:rPr>
          <w:i/>
          <w:color w:val="0000FF"/>
        </w:rPr>
        <w:t>[Add your notes, outlines, or draft content here to guide full report/memo development]</w:t>
      </w:r>
    </w:p>
    <w:p>
      <w:r>
        <w:rPr>
          <w:b/>
          <w:color w:val="0000FF"/>
          <w:sz w:val="24"/>
        </w:rPr>
        <w:t>9. Next Steps for Briefing Memo and Final Report</w:t>
      </w:r>
    </w:p>
    <w:p>
      <w:r>
        <w:rPr>
          <w:i/>
          <w:color w:val="0000FF"/>
        </w:rPr>
        <w:t>[Add your notes, outlines, or draft content here to guide full report/memo development]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Housing Subsidy Reform Proposal – Strategic Roadmap | Draft Version 1 | 2025-04-06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