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Tenant-Ownership Conversion Framework</w:t>
      </w:r>
    </w:p>
    <w:p>
      <w:pPr>
        <w:pStyle w:val="Heading1"/>
      </w:pPr>
      <w:r>
        <w:t>Executive Summary</w:t>
      </w:r>
    </w:p>
    <w:p>
      <w:r>
        <w:t>This policy proposal reimagines rental subsidies as long-term wealth-building tools by converting eligible tenants from voucher recipients into cooperative homeowners. Grounded in interagency collaboration and existing subsidy structures, the plan aims to restructure the rental voucher system to support tenant-led co-op conversions, repairs, and maintenance over a five-year phased transition. The approach addresses generational wealth gaps, housing court inefficiencies, and landlord abuses while offering measurable ROI to the City, HUD, and public health agencies.</w:t>
      </w:r>
    </w:p>
    <w:p>
      <w:pPr>
        <w:pStyle w:val="Heading1"/>
      </w:pPr>
      <w:r>
        <w:t>Problem Definition &amp; Policy Background</w:t>
      </w:r>
    </w:p>
    <w:p>
      <w:r>
        <w:t>Current rental subsidy models reinforce landlord dependence and fail to produce long-term equity for tenants. In NYC alone, a disproportionate share of rental vouchers flow to landlords listed on the Public Advocate's "Worst Landlords" list. This system creates cyclical instability and administrative burdens, especially in housing court, DHCR, HPD inspections, and legal aid resources like Right to Counsel. The current structure misaligns with both fiscal sustainability and racial justice goals. Households receiving subsidies report an average income of $23,559, with over 85% identifying as part of a minority group and 51% including members with a disability (HUD, 2024). Nearly all—95%—fall into the very low-income bracket. These conditions represent a policy failure to translate subsidy into long-term stability or intergenerational mobility.</w:t>
      </w:r>
    </w:p>
    <w:p>
      <w:pPr>
        <w:pStyle w:val="Heading1"/>
      </w:pPr>
      <w:r>
        <w:t>Goals and Guiding Principles</w:t>
      </w:r>
    </w:p>
    <w:p>
      <w:r>
        <w:t>- Transition from Rental Subsidy to Ownership-Based Subsidy</w:t>
      </w:r>
    </w:p>
    <w:p>
      <w:r>
        <w:t>- Increase ROI to City and Agencies</w:t>
      </w:r>
    </w:p>
    <w:p>
      <w:r>
        <w:t>- Combat Racialized Wealth Inequity</w:t>
      </w:r>
    </w:p>
    <w:p>
      <w:r>
        <w:t>- Ensure Legal Protections and Oversight</w:t>
      </w:r>
    </w:p>
    <w:p>
      <w:pPr>
        <w:pStyle w:val="Heading1"/>
      </w:pPr>
      <w:r>
        <w:t>Policy Design and Strategic Phasing</w:t>
      </w:r>
    </w:p>
    <w:p>
      <w:r>
        <w:t>Phase 1 (Year 1-2): Identify buildings with repeat violations and coordinate tenant outreach with legal support.</w:t>
      </w:r>
    </w:p>
    <w:p>
      <w:r>
        <w:t>Phase 2 (Years 2-4): Redirect vouchers toward purchase/repair/reserves and formalize cooperative ownership.</w:t>
      </w:r>
    </w:p>
    <w:p>
      <w:r>
        <w:t>Phase 3 (Years 4-5+): Transition to tenant-controlled co-ops with support structures in place.</w:t>
      </w:r>
    </w:p>
    <w:p>
      <w:pPr>
        <w:pStyle w:val="Heading1"/>
      </w:pPr>
      <w:r>
        <w:t>Budget Analysis and Funding Realignment</w:t>
      </w:r>
    </w:p>
    <w:p>
      <w:r>
        <w:t>NYC currently distributes over $750 million annually in rental subsidies, with nearly 400,000 subsidized units. ROI projections indicate city savings of 12–17% per converted building within five years, with long-term savings of $150M to $350M by 2030. Each avoided eviction saves between $7,000 and $15,000.</w:t>
      </w:r>
    </w:p>
    <w:p>
      <w:pPr>
        <w:pStyle w:val="Heading1"/>
      </w:pPr>
      <w:r>
        <w:t>Oversight, Risk Mitigation, and Implementation Support</w:t>
      </w:r>
    </w:p>
    <w:p>
      <w:r>
        <w:t>Oversight bodies include HPD, DHCR, Legal Aid, and a new Community Lending Board. Risk mitigation includes legal waiver pathways, tenant education, and protection from speculator purchases.</w:t>
      </w:r>
    </w:p>
    <w:p>
      <w:pPr>
        <w:pStyle w:val="Heading1"/>
      </w:pPr>
      <w:r>
        <w:t>Conclusion and Next Steps</w:t>
      </w:r>
    </w:p>
    <w:p>
      <w:r>
        <w:t>Pilot the program in three NYC districts with high voucher and code violation density. Finalize visual budget appendices, launch legal consultations, and prepare pilot project RFPs.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