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Housing Subsidy Reform: A Wealth-Building, Tenant-Ownership Strategy</w:t>
      </w:r>
    </w:p>
    <w:p>
      <w:pPr>
        <w:pStyle w:val="Heading1"/>
      </w:pPr>
      <w:r>
        <w:t>Executive Summary</w:t>
      </w:r>
    </w:p>
    <w:p>
      <w:r>
        <w:t>This proposal advocates a comprehensive transformation of New York City’s housing subsidy infrastructure, shifting from a landlord-centered model to a tenant equity and ownership model. Through reallocation of existing federal and local housing subsidies, the initiative will fund cooperative housing conversions, preserve affordability, and reduce costs associated with housing court and eviction prevention.</w:t>
      </w:r>
    </w:p>
    <w:p>
      <w:pPr>
        <w:pStyle w:val="Heading1"/>
      </w:pPr>
      <w:r>
        <w:t>Historical Context and Racial Wealth Gaps</w:t>
      </w:r>
    </w:p>
    <w:p>
      <w:r>
        <w:t>The racial wealth gap in the United States is inextricably linked to exclusion from homeownership. Policies like redlining, urban renewal, and voucher allocation have enriched landlords while denying Black and brown families the ability to accrue wealth. The proposed model addresses these injustices through wealth-building mechanisms embedded in subsidy reform.</w:t>
      </w:r>
    </w:p>
    <w:p>
      <w:pPr>
        <w:pStyle w:val="Heading1"/>
      </w:pPr>
      <w:r>
        <w:t>Review of Current NYC Housing Subsidy Models</w:t>
      </w:r>
    </w:p>
    <w:p>
      <w:r>
        <w:t>NYC’s fragmented housing assistance system relies heavily on Section 8, CityFHEPS, and HASA to fund rent for low-income tenants. These subsidies are disbursed to private landlords with minimal accountability and do not result in equity for tenants. The administration of vouchers is further plagued by unit discrimination and underutilization.</w:t>
      </w:r>
    </w:p>
    <w:p>
      <w:pPr>
        <w:pStyle w:val="Heading1"/>
      </w:pPr>
      <w:r>
        <w:t>Policy Problem Overview</w:t>
      </w:r>
    </w:p>
    <w:p>
      <w:r>
        <w:t>Public funds intended for housing stability flow into the hands of landlords, including those with repeat violations. Tenants remain in unsafe housing while voucher funding continues with little leverage to negotiate quality or stability. Ownership remains out of reach for most subsidized renters.</w:t>
      </w:r>
    </w:p>
    <w:p>
      <w:pPr>
        <w:pStyle w:val="Heading1"/>
      </w:pPr>
      <w:r>
        <w:t>Proposed Solution – Tenant Ownership Model</w:t>
      </w:r>
    </w:p>
    <w:p>
      <w:r>
        <w:t>This proposal would redirect subsidies to a fund that finances tenant-led buyouts and cooperative conversions. Vouchers would support down payments, repair reserves, and operating expenses for limited-equity co-ops. Buildings with high HPD violations and ownership on the Public Advocate's Worst Landlord List would be prioritized.</w:t>
      </w:r>
    </w:p>
    <w:p>
      <w:pPr>
        <w:pStyle w:val="Heading1"/>
      </w:pPr>
      <w:r>
        <w:t>Case Studies</w:t>
      </w:r>
    </w:p>
    <w:p>
      <w:r>
        <w:t>• Cooper Square, NYC: One of NYC’s oldest mutual housing associations. Demonstrates long-term success of resident control and affordability.</w:t>
      </w:r>
    </w:p>
    <w:p>
      <w:r>
        <w:t>• Vienna, Austria: 60% of residents live in public or nonprofit housing, with stable rents and no homelessness crisis.</w:t>
      </w:r>
    </w:p>
    <w:p>
      <w:r>
        <w:t>• TOPA in D.C.: Over 16,000 affordable units preserved through tenant rights to purchase buildings at time of sale.</w:t>
      </w:r>
    </w:p>
    <w:p>
      <w:pPr>
        <w:pStyle w:val="Heading1"/>
      </w:pPr>
      <w:r>
        <w:t>Budget and ROI Strategy</w:t>
      </w:r>
    </w:p>
    <w:p>
      <w:r>
        <w:t>Using existing Section 8 and CityFHEPS allocations, we project a reallocation of $400M/year to cooperative financing. Eviction cost savings are projected at $150M+ annually. Additional savings come from decreased legal defense, shelter placements, and building emergency repair programs.</w:t>
      </w:r>
    </w:p>
    <w:p>
      <w:pPr>
        <w:pStyle w:val="Heading1"/>
      </w:pPr>
      <w:r>
        <w:t>NYC Eviction Landscape and Cost Burden</w:t>
      </w:r>
    </w:p>
    <w:p>
      <w:r>
        <w:t>2023 saw over 132,000 eviction filings and ~12,000 executed evictions. Cost per eviction is estimated at $7,000–$15,000, totaling over $150M in avoidable costs annually. The Bronx and Brooklyn bear the highest burdens. A shift to ownership drastically lowers eviction risk and long-term municipal costs.</w:t>
      </w:r>
    </w:p>
    <w:p>
      <w:pPr>
        <w:pStyle w:val="Heading1"/>
      </w:pPr>
      <w:r>
        <w:t>Implementation Plan</w:t>
      </w:r>
    </w:p>
    <w:p>
      <w:r>
        <w:t>Phase 1: Target 50 buildings with high violations and subsidy density. Phase 2: Structure conversions with OMB and HPD. Phase 3: Support tenant governance for five years through city grants and nonprofit technical support.</w:t>
      </w:r>
    </w:p>
    <w:p>
      <w:r>
        <w:t>HPD, RTC, DHCR, and the Public Advocate would act as oversight bodies.</w:t>
      </w:r>
    </w:p>
    <w:p>
      <w:pPr>
        <w:pStyle w:val="Heading1"/>
      </w:pPr>
      <w:r>
        <w:t>Legal and HUD Waiver Options</w:t>
      </w:r>
    </w:p>
    <w:p>
      <w:r>
        <w:t>HUD allows for experimental waiver models and public housing redevelopment pilots. We propose legal analysis and agency collaboration to file for such waivers. Voucher redirection must comply with the Fair Housing Act and existing rent reasonableness tests, but can be justified under affordability preservation.</w:t>
      </w:r>
    </w:p>
    <w:p>
      <w:pPr>
        <w:pStyle w:val="Heading1"/>
      </w:pPr>
      <w:r>
        <w:t>Interagency Roles</w:t>
      </w:r>
    </w:p>
    <w:p>
      <w:r>
        <w:t>• HPD: Building assessments, repair subsidies, oversight.</w:t>
        <w:br/>
        <w:t>• HRA: Voucher administration, recategorization.</w:t>
        <w:br/>
        <w:t>• OMB: Reclassification of budget line items.</w:t>
        <w:br/>
        <w:t>• RTC: Legal support and tenant outreach.</w:t>
        <w:br/>
        <w:t>• DHCR: State-level compliance and fair housing oversight.</w:t>
      </w:r>
    </w:p>
    <w:p>
      <w:pPr>
        <w:pStyle w:val="Heading1"/>
      </w:pPr>
      <w:r>
        <w:t>Legislative Recommendations</w:t>
      </w:r>
    </w:p>
    <w:p>
      <w:r>
        <w:t>Draft city-level Tenant Opportunity to Purchase Act (TOPA) modeled on D.C. Pre-file home rule support at the state level to expand pilot citywide. Align voucher rules with cooperative principles using state authority under existing subsidy programs.</w:t>
      </w:r>
    </w:p>
    <w:p>
      <w:pPr>
        <w:pStyle w:val="Heading1"/>
      </w:pPr>
      <w:r>
        <w:t>Tenant Governance Models</w:t>
      </w:r>
    </w:p>
    <w:p>
      <w:r>
        <w:t>Governance training would be provided by nonprofit partners, modeled after the HDFC and LES CLT support systems. Budgets will include legal aid, accounting, and leadership stipends for 5 years post-conversion.</w:t>
      </w:r>
    </w:p>
    <w:p>
      <w:pPr>
        <w:pStyle w:val="Heading1"/>
      </w:pPr>
      <w:r>
        <w:t>Community Engagement and Outreach</w:t>
      </w:r>
    </w:p>
    <w:p>
      <w:r>
        <w:t>Public campaigns in affected boroughs will include multilingual tenant rights workshops, info sessions with elected officials, and media coverage explaining the ownership pathway.</w:t>
      </w:r>
    </w:p>
    <w:p>
      <w:pPr>
        <w:pStyle w:val="Heading1"/>
      </w:pPr>
      <w:r>
        <w:t>Risk Mitigation and Challenges</w:t>
      </w:r>
    </w:p>
    <w:p>
      <w:r>
        <w:t>Major risks include tenant turnover, early failure of co-op governance, and legal landlord retaliation. These are mitigated by creating a stabilization reserve, legal clinic support, and technical assistance from HPD/RTC.</w:t>
      </w:r>
    </w:p>
    <w:p>
      <w:pPr>
        <w:pStyle w:val="Heading1"/>
      </w:pPr>
      <w:r>
        <w:t>Conclusion</w:t>
      </w:r>
    </w:p>
    <w:p>
      <w:r>
        <w:t>Housing subsidy reform is not only about public spending—it is about who benefits from public investment. By re-centering tenants as stakeholders and owners, we correct a decades-long injustice and unlock the stabilizing, growth-driving power of true affordability.</w:t>
      </w:r>
    </w:p>
    <w:p>
      <w:r>
        <w:br/>
        <w:t>Prepared for NYC Council – Draft generated on 2025-04-09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