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Policy Proposal Outline: Housing Subsidy Reform for Tenant-Owned Housing in NYC</w:t>
      </w:r>
    </w:p>
    <w:p>
      <w:pPr>
        <w:pStyle w:val="Heading1"/>
      </w:pPr>
      <w:r>
        <w:t>Executive Summary</w:t>
      </w:r>
    </w:p>
    <w:p>
      <w:r>
        <w:t>This proposal addresses systemic inefficiencies within New York City's current housing subsidy framework, emphasizing a shift from landlord-focused rental subsidies to cooperative tenant-owned housing.</w:t>
      </w:r>
    </w:p>
    <w:p>
      <w:r>
        <w:t>The reform aims to address socioeconomic disparities, racial inequities, and chronic instability in marginalized communities through direct tenant empowerment, enhanced stability, and improved public health outcomes.</w:t>
      </w:r>
    </w:p>
    <w:p>
      <w:r>
        <w:t>It underscores the necessity of reallocating existing subsidies towards sustainable tenant ownership.</w:t>
      </w:r>
    </w:p>
    <w:p>
      <w:pPr>
        <w:pStyle w:val="Heading1"/>
      </w:pPr>
      <w:r>
        <w:t>Introduction</w:t>
      </w:r>
    </w:p>
    <w:p>
      <w:r>
        <w:t>Housing instability remains a severe socioeconomic challenge in NYC, exacerbating economic disparities, poor health outcomes, and racial inequities.</w:t>
      </w:r>
    </w:p>
    <w:p>
      <w:r>
        <w:t>The current system significantly favors landlords, perpetuating a cycle of poverty and dependency among tenants, particularly in communities of color.</w:t>
      </w:r>
    </w:p>
    <w:p>
      <w:r>
        <w:t>Transitioning to tenant-owned models, this policy proposal outlines actionable frameworks to foster economic stability and intergenerational wealth.</w:t>
      </w:r>
    </w:p>
    <w:p>
      <w:pPr>
        <w:pStyle w:val="Heading1"/>
      </w:pPr>
      <w:r>
        <w:t>Problem Statement</w:t>
      </w:r>
    </w:p>
    <w:p>
      <w:r>
        <w:t>The current subsidy structure disproportionately benefits landlords, perpetuating economic and racial disparities.</w:t>
      </w:r>
    </w:p>
    <w:p>
      <w:r>
        <w:t>Tenant conditions remain substandard, resulting in chronic health issues, while homeownership remains largely inaccessible.</w:t>
      </w:r>
    </w:p>
    <w:p>
      <w:r>
        <w:t>This structure perpetuates dependency, maintaining racial disparities in housing stability and wealth accumulation.</w:t>
      </w:r>
    </w:p>
    <w:p>
      <w:pPr>
        <w:pStyle w:val="Heading1"/>
      </w:pPr>
      <w:r>
        <w:t>Policy Proposal</w:t>
      </w:r>
    </w:p>
    <w:p>
      <w:r>
        <w:t>The proposal advocates substantial redirection of subsidies from rental support to cooperative tenant ownership.</w:t>
      </w:r>
    </w:p>
    <w:p>
      <w:r>
        <w:t>Focus will be on transitioning problematic properties into cooperatives, supported by legislative reforms like the Tenant Opportunity to Purchase Act (TOPA).</w:t>
      </w:r>
    </w:p>
    <w:p>
      <w:r>
        <w:t>Financial instruments will facilitate down payments, maintenance, and governance of new housing cooperatives.</w:t>
      </w:r>
    </w:p>
    <w:p>
      <w:pPr>
        <w:pStyle w:val="Heading1"/>
      </w:pPr>
      <w:r>
        <w:t>Evidence Base</w:t>
      </w:r>
    </w:p>
    <w:p>
      <w:r>
        <w:t>International benchmarks, notably Vienna's model, demonstrate effectiveness in tenant-centric housing approaches.</w:t>
      </w:r>
    </w:p>
    <w:p>
      <w:r>
        <w:t>Research links stable housing to better health outcomes and socioeconomic stability.</w:t>
      </w:r>
    </w:p>
    <w:p>
      <w:r>
        <w:t>Financial analyses indicate tenant ownership as economically sustainable compared to rental subsidies.</w:t>
      </w:r>
    </w:p>
    <w:p>
      <w:pPr>
        <w:pStyle w:val="Heading1"/>
      </w:pPr>
      <w:r>
        <w:t>Implementation Strategy</w:t>
      </w:r>
    </w:p>
    <w:p>
      <w:r>
        <w:t>A multi-agency approach involving HPD, DHCR, and Housing Court is necessary for implementation.</w:t>
      </w:r>
    </w:p>
    <w:p>
      <w:r>
        <w:t>A phased five-year transition will reallocate voucher resources towards tenant-owned housing.</w:t>
      </w:r>
    </w:p>
    <w:p>
      <w:r>
        <w:t>Strategic partnerships and robust oversight mechanisms will support this transition.</w:t>
      </w:r>
    </w:p>
    <w:p>
      <w:pPr>
        <w:pStyle w:val="Heading1"/>
      </w:pPr>
      <w:r>
        <w:t>Anticipated Outcomes</w:t>
      </w:r>
    </w:p>
    <w:p>
      <w:r>
        <w:t>Expected outcomes include improved public health, economic empowerment, reduced racial disparities, and intergenerational wealth opportunities.</w:t>
      </w:r>
    </w:p>
    <w:p>
      <w:r>
        <w:t>Financial analyses predict cost savings from reduced reliance on rental subsidies and operational housing court costs.</w:t>
      </w:r>
    </w:p>
    <w:p>
      <w:pPr>
        <w:pStyle w:val="Heading1"/>
      </w:pPr>
      <w:r>
        <w:t>Political Messaging &amp; Public Engagement</w:t>
      </w:r>
    </w:p>
    <w:p>
      <w:r>
        <w:t>Housing reform will be framed as integral to public health, economic justice, and racial equity.</w:t>
      </w:r>
    </w:p>
    <w:p>
      <w:r>
        <w:t>Strategies include community outreach, bipartisan collaboration, and advocacy campaigns.</w:t>
      </w:r>
    </w:p>
    <w:p>
      <w:pPr>
        <w:pStyle w:val="Heading1"/>
      </w:pPr>
      <w:r>
        <w:t>Potential Barriers &amp; Counterarguments</w:t>
      </w:r>
    </w:p>
    <w:p>
      <w:r>
        <w:t>Potential barriers include real estate opposition, regulatory challenges, administrative complexities, and corruption risks.</w:t>
      </w:r>
    </w:p>
    <w:p>
      <w:r>
        <w:t>Proactive measures include enhanced regulatory compliance, robust oversight, and transparent financial management.</w:t>
      </w:r>
    </w:p>
    <w:p>
      <w:pPr>
        <w:pStyle w:val="Heading1"/>
      </w:pPr>
      <w:r>
        <w:t>Conclusion &amp; Next Steps</w:t>
      </w:r>
    </w:p>
    <w:p>
      <w:r>
        <w:t>Immediate steps include pilot programs, extensive impact studies, and legislative advocacy.</w:t>
      </w:r>
    </w:p>
    <w:p>
      <w:r>
        <w:t>Continued community engagement and stakeholder consultations will refine and effectively implement the policy.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ListBullet"/>
      </w:pPr>
      <w:r>
        <w:t>Community Service Society of New York. (2023). Our analysis of NYC housing and vacancy survey. Retrieved from https://www.cssny.org</w:t>
      </w:r>
    </w:p>
    <w:p>
      <w:pPr>
        <w:pStyle w:val="ListBullet"/>
      </w:pPr>
      <w:r>
        <w:t>Desmond, M. (2023). Poverty, by America. Crown.</w:t>
      </w:r>
    </w:p>
    <w:p>
      <w:pPr>
        <w:pStyle w:val="ListBullet"/>
      </w:pPr>
      <w:r>
        <w:t>HUD. (2023). Housing subsidy programs and limitations. Retrieved from https://hud.gov</w:t>
      </w:r>
    </w:p>
    <w:p>
      <w:pPr>
        <w:pStyle w:val="ListBullet"/>
      </w:pPr>
      <w:r>
        <w:t>Lorenz, M. (2023). How Vienna found a unique model for low rent. Datawrapper Blog.</w:t>
      </w:r>
    </w:p>
    <w:p>
      <w:pPr>
        <w:pStyle w:val="ListBullet"/>
      </w:pPr>
      <w:r>
        <w:t>Mullainathan, S., &amp; Shafir, E. (2013). Scarcity: The new science of having less and how it defines our lives. Picador.</w:t>
      </w:r>
    </w:p>
    <w:p>
      <w:pPr>
        <w:pStyle w:val="ListBullet"/>
      </w:pPr>
      <w:r>
        <w:t>New York State Attorney General. (2023). Racial disparities in homeownership. Retrieved from https://ag.ny.gov</w:t>
      </w:r>
    </w:p>
    <w:p>
      <w:pPr>
        <w:pStyle w:val="ListBullet"/>
      </w:pPr>
      <w:r>
        <w:t>NYC Department of Health. (2024). Health disparities report.</w:t>
      </w:r>
    </w:p>
    <w:p>
      <w:pPr>
        <w:pStyle w:val="ListBullet"/>
      </w:pPr>
      <w:r>
        <w:t>QuALMRI Proposal Draft. (2024). Cognitive and social impacts of housing instability.</w:t>
      </w:r>
    </w:p>
    <w:p>
      <w:pPr>
        <w:pStyle w:val="ListBullet"/>
      </w:pPr>
      <w:r>
        <w:t>United Nations. (2021). Urban population trends and implications.</w:t>
      </w:r>
    </w:p>
    <w:p>
      <w:pPr>
        <w:pStyle w:val="ListBullet"/>
      </w:pPr>
      <w:r>
        <w:t>Your Comprehensive Policy Reform. (2024). Transforming housing subsidies into tenant ownership pathways.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