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Times New Roman" w:cs="Times New Roman" w:hAnsi="Times New Roman" w:eastAsia="Times New Roman"/>
          <w:b w:val="0"/>
          <w:bCs w:val="0"/>
        </w:rPr>
      </w:pPr>
      <w:r>
        <w:rPr>
          <w:rFonts w:ascii="Times New Roman" w:hAnsi="Times New Roman"/>
          <w:b w:val="1"/>
          <w:bCs w:val="1"/>
          <w:rtl w:val="0"/>
          <w:lang w:val="en-US"/>
        </w:rPr>
        <w:t>QuALMRI Proposal Draft</w:t>
      </w:r>
    </w:p>
    <w:p>
      <w:pPr>
        <w:pStyle w:val="Title"/>
        <w:rPr>
          <w:rFonts w:ascii="Times New Roman" w:cs="Times New Roman" w:hAnsi="Times New Roman" w:eastAsia="Times New Roman"/>
        </w:rPr>
      </w:pPr>
      <w:r>
        <w:rPr>
          <w:rFonts w:ascii="Times New Roman" w:hAnsi="Times New Roman"/>
          <w:rtl w:val="0"/>
          <w:lang w:val="en-US"/>
        </w:rPr>
        <w:t>The Cognitive and Social Impact of Housing Instability on Tenants in NYC</w:t>
      </w:r>
    </w:p>
    <w:p>
      <w:pPr>
        <w:pStyle w:val="Heading"/>
        <w:rPr>
          <w:rFonts w:ascii="Times New Roman" w:cs="Times New Roman" w:hAnsi="Times New Roman" w:eastAsia="Times New Roman"/>
        </w:rPr>
      </w:pPr>
      <w:r>
        <w:rPr>
          <w:rFonts w:ascii="Times New Roman" w:hAnsi="Times New Roman"/>
          <w:rtl w:val="0"/>
          <w:lang w:val="en-US"/>
        </w:rPr>
        <w:t>I. Research Question (Qu)</w:t>
      </w:r>
    </w:p>
    <w:p>
      <w:pPr>
        <w:pStyle w:val="Body"/>
        <w:numPr>
          <w:ilvl w:val="0"/>
          <w:numId w:val="2"/>
        </w:numPr>
        <w:bidi w:val="0"/>
      </w:pPr>
      <w:r>
        <w:rPr>
          <w:rFonts w:ascii="Times New Roman" w:hAnsi="Times New Roman"/>
          <w:b w:val="1"/>
          <w:bCs w:val="1"/>
          <w:rtl w:val="0"/>
          <w:lang w:val="it-IT"/>
        </w:rPr>
        <w:t>Big Picture Question:</w:t>
      </w:r>
      <w:r>
        <w:rPr>
          <w:rFonts w:ascii="Times New Roman" w:hAnsi="Times New Roman"/>
          <w:rtl w:val="0"/>
          <w:lang w:val="en-US"/>
        </w:rPr>
        <w:t xml:space="preserve"> How does housing instability impact cognitive function, executive decision-making, and social mobility in everyday life?</w:t>
      </w:r>
    </w:p>
    <w:p>
      <w:pPr>
        <w:pStyle w:val="Body"/>
        <w:numPr>
          <w:ilvl w:val="0"/>
          <w:numId w:val="2"/>
        </w:numPr>
        <w:bidi w:val="0"/>
      </w:pPr>
      <w:r>
        <w:rPr>
          <w:rFonts w:ascii="Times New Roman" w:hAnsi="Times New Roman"/>
          <w:b w:val="1"/>
          <w:bCs w:val="1"/>
          <w:rtl w:val="0"/>
          <w:lang w:val="it-IT"/>
        </w:rPr>
        <w:t>Specific Question:</w:t>
      </w:r>
      <w:r>
        <w:rPr>
          <w:rFonts w:ascii="Times New Roman" w:hAnsi="Times New Roman"/>
          <w:rtl w:val="0"/>
          <w:lang w:val="en-US"/>
        </w:rPr>
        <w:t xml:space="preserve"> Do tenants facing predatory landlord tactics (e.g., eviction proceedings, neglect, non-compliance with violations, harassment) experience increased cognitive load and impaired memory, attention, and executive function, specifically in the areas of working memory, cognitive flexibility, and decision-making speed? How do these impairments affect their ability to manage daily responsibilities such as employment, financial planning, and social interactions?</w:t>
      </w:r>
    </w:p>
    <w:p>
      <w:pPr>
        <w:pStyle w:val="Body"/>
        <w:numPr>
          <w:ilvl w:val="0"/>
          <w:numId w:val="2"/>
        </w:numPr>
        <w:bidi w:val="0"/>
      </w:pPr>
      <w:r>
        <w:rPr>
          <w:rFonts w:ascii="Times New Roman" w:hAnsi="Times New Roman"/>
          <w:b w:val="1"/>
          <w:bCs w:val="1"/>
          <w:rtl w:val="0"/>
          <w:lang w:val="en-US"/>
        </w:rPr>
        <w:t>Connection Between the Two:</w:t>
      </w:r>
      <w:r>
        <w:rPr>
          <w:rFonts w:ascii="Times New Roman" w:hAnsi="Times New Roman"/>
          <w:rtl w:val="0"/>
          <w:lang w:val="en-US"/>
        </w:rPr>
        <w:t xml:space="preserve"> If housing instability contributes to cognitive overload and impaired executive function, it may limit tenants</w:t>
      </w:r>
      <w:r>
        <w:rPr>
          <w:rFonts w:ascii="Times New Roman" w:hAnsi="Times New Roman" w:hint="default"/>
          <w:rtl w:val="1"/>
        </w:rPr>
        <w:t xml:space="preserve">’ </w:t>
      </w:r>
      <w:r>
        <w:rPr>
          <w:rFonts w:ascii="Times New Roman" w:hAnsi="Times New Roman"/>
          <w:rtl w:val="0"/>
          <w:lang w:val="en-US"/>
        </w:rPr>
        <w:t>ability to make decisions that affect their broader economic and social stability, not just their housing circumstances. This would support shifting public funding from housing court interventions toward cooperative housing models that foster long-term stability and self-sufficiency.</w:t>
      </w:r>
    </w:p>
    <w:p>
      <w:pPr>
        <w:pStyle w:val="Body"/>
        <w:rPr>
          <w:rFonts w:ascii="Times New Roman" w:cs="Times New Roman" w:hAnsi="Times New Roman" w:eastAsia="Times New Roman"/>
        </w:rPr>
      </w:pPr>
    </w:p>
    <w:p>
      <w:pPr>
        <w:pStyle w:val="Heading"/>
        <w:rPr>
          <w:rFonts w:ascii="Times New Roman" w:cs="Times New Roman" w:hAnsi="Times New Roman" w:eastAsia="Times New Roman"/>
        </w:rPr>
      </w:pPr>
      <w:r>
        <w:rPr>
          <w:rFonts w:ascii="Times New Roman" w:hAnsi="Times New Roman"/>
          <w:rtl w:val="0"/>
          <w:lang w:val="en-US"/>
        </w:rPr>
        <w:t>II. Alternative Hypotheses (A)</w:t>
      </w:r>
    </w:p>
    <w:p>
      <w:pPr>
        <w:pStyle w:val="Body"/>
        <w:numPr>
          <w:ilvl w:val="0"/>
          <w:numId w:val="4"/>
        </w:numPr>
        <w:bidi w:val="0"/>
      </w:pPr>
      <w:r>
        <w:rPr>
          <w:rFonts w:ascii="Times New Roman" w:hAnsi="Times New Roman"/>
          <w:b w:val="1"/>
          <w:bCs w:val="1"/>
          <w:rtl w:val="0"/>
          <w:lang w:val="en-US"/>
        </w:rPr>
        <w:t>Main Hypothesis:</w:t>
      </w:r>
      <w:r>
        <w:rPr>
          <w:rFonts w:ascii="Times New Roman" w:hAnsi="Times New Roman"/>
          <w:rtl w:val="0"/>
          <w:lang w:val="en-US"/>
        </w:rPr>
        <w:t xml:space="preserve"> If housing instability leads to cognitive overload, tenants experiencing eviction threats and landlord exploitation should exhibit higher cognitive load, impaired memory, and decreased executive function, affecting not only housing-related decisions but also their financial decision-making, work performance and overall social mobility.</w:t>
      </w:r>
    </w:p>
    <w:p>
      <w:pPr>
        <w:pStyle w:val="Body"/>
        <w:numPr>
          <w:ilvl w:val="0"/>
          <w:numId w:val="5"/>
        </w:numPr>
        <w:rPr>
          <w:rFonts w:ascii="Times New Roman" w:hAnsi="Times New Roman"/>
          <w:b w:val="1"/>
          <w:bCs w:val="1"/>
          <w:lang w:val="en-US"/>
        </w:rPr>
      </w:pPr>
      <w:r>
        <w:rPr>
          <w:rFonts w:ascii="Times New Roman" w:hAnsi="Times New Roman"/>
          <w:b w:val="1"/>
          <w:bCs w:val="1"/>
          <w:rtl w:val="0"/>
          <w:lang w:val="en-US"/>
        </w:rPr>
        <w:t>Alternative Explanations:</w:t>
      </w:r>
    </w:p>
    <w:p>
      <w:pPr>
        <w:pStyle w:val="Body"/>
        <w:numPr>
          <w:ilvl w:val="1"/>
          <w:numId w:val="2"/>
        </w:numPr>
        <w:bidi w:val="0"/>
      </w:pPr>
      <w:r>
        <w:rPr>
          <w:rFonts w:ascii="Times New Roman" w:hAnsi="Times New Roman"/>
          <w:rtl w:val="0"/>
          <w:lang w:val="en-US"/>
        </w:rPr>
        <w:t xml:space="preserve">Cognitive impairment may be due to </w:t>
      </w:r>
      <w:r>
        <w:rPr>
          <w:rFonts w:ascii="Times New Roman" w:hAnsi="Times New Roman"/>
          <w:b w:val="1"/>
          <w:bCs w:val="1"/>
          <w:rtl w:val="0"/>
          <w:lang w:val="en-US"/>
        </w:rPr>
        <w:t>general economic stress</w:t>
      </w:r>
      <w:r>
        <w:rPr>
          <w:rFonts w:ascii="Times New Roman" w:hAnsi="Times New Roman"/>
          <w:rtl w:val="0"/>
          <w:lang w:val="en-US"/>
        </w:rPr>
        <w:t xml:space="preserve"> rather than housing instability specifically.</w:t>
      </w:r>
    </w:p>
    <w:p>
      <w:pPr>
        <w:pStyle w:val="Body"/>
        <w:numPr>
          <w:ilvl w:val="1"/>
          <w:numId w:val="2"/>
        </w:numPr>
        <w:bidi w:val="0"/>
      </w:pPr>
      <w:r>
        <w:rPr>
          <w:rFonts w:ascii="Times New Roman" w:hAnsi="Times New Roman"/>
          <w:rtl w:val="0"/>
          <w:lang w:val="en-US"/>
        </w:rPr>
        <w:t xml:space="preserve">Bureaucratic inefficiencies in subsidy programs may create cognitive overload </w:t>
      </w:r>
      <w:r>
        <w:rPr>
          <w:rFonts w:ascii="Times New Roman" w:hAnsi="Times New Roman"/>
          <w:b w:val="1"/>
          <w:bCs w:val="1"/>
          <w:rtl w:val="0"/>
          <w:lang w:val="en-US"/>
        </w:rPr>
        <w:t>independent of landlord behavior</w:t>
      </w:r>
      <w:r>
        <w:rPr>
          <w:rFonts w:ascii="Times New Roman" w:hAnsi="Times New Roman"/>
          <w:rtl w:val="0"/>
        </w:rPr>
        <w:t>.</w:t>
      </w:r>
    </w:p>
    <w:p>
      <w:pPr>
        <w:pStyle w:val="Body"/>
        <w:numPr>
          <w:ilvl w:val="1"/>
          <w:numId w:val="2"/>
        </w:numPr>
        <w:bidi w:val="0"/>
      </w:pPr>
      <w:r>
        <w:rPr>
          <w:rFonts w:ascii="Times New Roman" w:hAnsi="Times New Roman"/>
          <w:b w:val="1"/>
          <w:bCs w:val="1"/>
          <w:rtl w:val="0"/>
          <w:lang w:val="en-US"/>
        </w:rPr>
        <w:t>Community disengagement and reduced advocacy participation</w:t>
      </w:r>
      <w:r>
        <w:rPr>
          <w:rFonts w:ascii="Times New Roman" w:hAnsi="Times New Roman"/>
          <w:rtl w:val="0"/>
          <w:lang w:val="en-US"/>
        </w:rPr>
        <w:t xml:space="preserve"> may be driven by </w:t>
      </w:r>
      <w:r>
        <w:rPr>
          <w:rFonts w:ascii="Times New Roman" w:hAnsi="Times New Roman"/>
          <w:b w:val="1"/>
          <w:bCs w:val="1"/>
          <w:rtl w:val="0"/>
          <w:lang w:val="fr-FR"/>
        </w:rPr>
        <w:t>external social barriers</w:t>
      </w:r>
      <w:r>
        <w:rPr>
          <w:rFonts w:ascii="Times New Roman" w:hAnsi="Times New Roman"/>
          <w:rtl w:val="0"/>
          <w:lang w:val="en-US"/>
        </w:rPr>
        <w:t xml:space="preserve"> (e.g., legal inaccessibility) rather than direct cognitive strain.</w:t>
      </w:r>
    </w:p>
    <w:p>
      <w:pPr>
        <w:pStyle w:val="Body"/>
        <w:rPr>
          <w:rFonts w:ascii="Times New Roman" w:cs="Times New Roman" w:hAnsi="Times New Roman" w:eastAsia="Times New Roman"/>
        </w:rPr>
      </w:pPr>
    </w:p>
    <w:p>
      <w:pPr>
        <w:pStyle w:val="Heading"/>
        <w:rPr>
          <w:rFonts w:ascii="Times New Roman" w:cs="Times New Roman" w:hAnsi="Times New Roman" w:eastAsia="Times New Roman"/>
        </w:rPr>
      </w:pPr>
      <w:r>
        <w:rPr>
          <w:rFonts w:ascii="Times New Roman" w:hAnsi="Times New Roman"/>
          <w:rtl w:val="0"/>
          <w:lang w:val="en-US"/>
        </w:rPr>
        <w:t>III. Logic &amp; Design (L)</w:t>
      </w:r>
    </w:p>
    <w:p>
      <w:pPr>
        <w:pStyle w:val="Body"/>
        <w:numPr>
          <w:ilvl w:val="0"/>
          <w:numId w:val="6"/>
        </w:numPr>
        <w:bidi w:val="0"/>
      </w:pPr>
      <w:r>
        <w:rPr>
          <w:rFonts w:ascii="Times New Roman" w:hAnsi="Times New Roman"/>
          <w:b w:val="1"/>
          <w:bCs w:val="1"/>
          <w:rtl w:val="0"/>
          <w:lang w:val="en-US"/>
        </w:rPr>
        <w:t>If</w:t>
      </w:r>
      <w:r>
        <w:rPr>
          <w:rFonts w:ascii="Times New Roman" w:hAnsi="Times New Roman"/>
          <w:rtl w:val="0"/>
          <w:lang w:val="en-US"/>
        </w:rPr>
        <w:t xml:space="preserve"> housing instability impairs executive function, </w:t>
      </w:r>
      <w:r>
        <w:rPr>
          <w:rFonts w:ascii="Times New Roman" w:hAnsi="Times New Roman"/>
          <w:b w:val="1"/>
          <w:bCs w:val="1"/>
          <w:rtl w:val="0"/>
          <w:lang w:val="en-US"/>
        </w:rPr>
        <w:t>then</w:t>
      </w:r>
      <w:r>
        <w:rPr>
          <w:rFonts w:ascii="Times New Roman" w:hAnsi="Times New Roman"/>
          <w:rtl w:val="0"/>
          <w:lang w:val="en-US"/>
        </w:rPr>
        <w:t xml:space="preserve"> tenants in unstable housing conditions should perform worse on working memory, attention, and decision-making tasks related to personal finance, employment, and legal advocacy compared to those in stable housing.</w:t>
      </w:r>
    </w:p>
    <w:p>
      <w:pPr>
        <w:pStyle w:val="Body"/>
        <w:numPr>
          <w:ilvl w:val="0"/>
          <w:numId w:val="4"/>
        </w:numPr>
        <w:bidi w:val="0"/>
      </w:pPr>
      <w:r>
        <w:rPr>
          <w:rFonts w:ascii="Times New Roman" w:hAnsi="Times New Roman"/>
          <w:b w:val="1"/>
          <w:bCs w:val="1"/>
          <w:rtl w:val="0"/>
          <w:lang w:val="en-US"/>
        </w:rPr>
        <w:t>If</w:t>
      </w:r>
      <w:r>
        <w:rPr>
          <w:rFonts w:ascii="Times New Roman" w:hAnsi="Times New Roman"/>
          <w:rtl w:val="0"/>
          <w:lang w:val="en-US"/>
        </w:rPr>
        <w:t xml:space="preserve"> cognitive overload affects real-world decision-making, </w:t>
      </w:r>
      <w:r>
        <w:rPr>
          <w:rFonts w:ascii="Times New Roman" w:hAnsi="Times New Roman"/>
          <w:b w:val="1"/>
          <w:bCs w:val="1"/>
          <w:rtl w:val="0"/>
          <w:lang w:val="en-US"/>
        </w:rPr>
        <w:t>then</w:t>
      </w:r>
      <w:r>
        <w:rPr>
          <w:rFonts w:ascii="Times New Roman" w:hAnsi="Times New Roman"/>
          <w:rtl w:val="0"/>
          <w:lang w:val="en-US"/>
        </w:rPr>
        <w:t xml:space="preserve"> tenants under housing stress should make more errors or take longer to complete financial planning tasks, job-related cognitive tasks, and legal paperwork.</w:t>
      </w:r>
    </w:p>
    <w:p>
      <w:pPr>
        <w:pStyle w:val="Body"/>
        <w:numPr>
          <w:ilvl w:val="0"/>
          <w:numId w:val="4"/>
        </w:numPr>
        <w:bidi w:val="0"/>
      </w:pPr>
      <w:r>
        <w:rPr>
          <w:rFonts w:ascii="Times New Roman" w:hAnsi="Times New Roman"/>
          <w:b w:val="1"/>
          <w:bCs w:val="1"/>
          <w:rtl w:val="0"/>
          <w:lang w:val="en-US"/>
        </w:rPr>
        <w:t>If</w:t>
      </w:r>
      <w:r>
        <w:rPr>
          <w:rFonts w:ascii="Times New Roman" w:hAnsi="Times New Roman"/>
          <w:rtl w:val="0"/>
          <w:lang w:val="en-US"/>
        </w:rPr>
        <w:t xml:space="preserve"> financial hardship alone (rather than landlord-driven instability) is the key driver, </w:t>
      </w:r>
      <w:r>
        <w:rPr>
          <w:rFonts w:ascii="Times New Roman" w:hAnsi="Times New Roman"/>
          <w:b w:val="1"/>
          <w:bCs w:val="1"/>
          <w:rtl w:val="0"/>
          <w:lang w:val="en-US"/>
        </w:rPr>
        <w:t>then</w:t>
      </w:r>
      <w:r>
        <w:rPr>
          <w:rFonts w:ascii="Times New Roman" w:hAnsi="Times New Roman"/>
          <w:rtl w:val="0"/>
          <w:lang w:val="en-US"/>
        </w:rPr>
        <w:t xml:space="preserve"> tenants experiencing financial strain but living in stable housing should exhibit similar cognitive patterns.</w:t>
      </w:r>
    </w:p>
    <w:p>
      <w:pPr>
        <w:pStyle w:val="Body"/>
        <w:rPr>
          <w:rFonts w:ascii="Times New Roman" w:cs="Times New Roman" w:hAnsi="Times New Roman" w:eastAsia="Times New Roman"/>
        </w:rPr>
      </w:pPr>
    </w:p>
    <w:p>
      <w:pPr>
        <w:pStyle w:val="Heading"/>
        <w:rPr>
          <w:rFonts w:ascii="Times New Roman" w:cs="Times New Roman" w:hAnsi="Times New Roman" w:eastAsia="Times New Roman"/>
        </w:rPr>
      </w:pPr>
      <w:r>
        <w:rPr>
          <w:rFonts w:ascii="Times New Roman" w:hAnsi="Times New Roman"/>
          <w:rtl w:val="0"/>
          <w:lang w:val="en-US"/>
        </w:rPr>
        <w:t>IV. Methods (M)</w:t>
      </w:r>
    </w:p>
    <w:p>
      <w:pPr>
        <w:pStyle w:val="Heading"/>
        <w:rPr>
          <w:rFonts w:ascii="Times New Roman" w:cs="Times New Roman" w:hAnsi="Times New Roman" w:eastAsia="Times New Roman"/>
        </w:rPr>
      </w:pPr>
      <w:r>
        <w:rPr>
          <w:rFonts w:ascii="Times New Roman" w:hAnsi="Times New Roman"/>
          <w:rtl w:val="0"/>
          <w:lang w:val="fr-FR"/>
        </w:rPr>
        <w:t>A. Participants</w:t>
      </w:r>
    </w:p>
    <w:p>
      <w:pPr>
        <w:pStyle w:val="Body"/>
        <w:numPr>
          <w:ilvl w:val="0"/>
          <w:numId w:val="2"/>
        </w:numPr>
        <w:bidi w:val="0"/>
      </w:pPr>
      <w:r>
        <w:rPr>
          <w:rFonts w:ascii="Times New Roman" w:hAnsi="Times New Roman"/>
          <w:b w:val="1"/>
          <w:bCs w:val="1"/>
          <w:rtl w:val="0"/>
          <w:lang w:val="en-US"/>
        </w:rPr>
        <w:t>Group 1 (Unstable Housing):</w:t>
      </w:r>
      <w:r>
        <w:rPr>
          <w:rFonts w:ascii="Times New Roman" w:hAnsi="Times New Roman"/>
          <w:rtl w:val="0"/>
          <w:lang w:val="en-US"/>
        </w:rPr>
        <w:t xml:space="preserve"> Tenants experiencing eviction threats, landlord harassment, or difficulties navigating rental assistance.</w:t>
      </w:r>
    </w:p>
    <w:p>
      <w:pPr>
        <w:pStyle w:val="Body"/>
        <w:numPr>
          <w:ilvl w:val="0"/>
          <w:numId w:val="2"/>
        </w:numPr>
        <w:bidi w:val="0"/>
      </w:pPr>
      <w:r>
        <w:rPr>
          <w:rFonts w:ascii="Times New Roman" w:hAnsi="Times New Roman"/>
          <w:b w:val="1"/>
          <w:bCs w:val="1"/>
          <w:rtl w:val="0"/>
          <w:lang w:val="en-US"/>
        </w:rPr>
        <w:t>Group 2 (Stable Housing):</w:t>
      </w:r>
      <w:r>
        <w:rPr>
          <w:rFonts w:ascii="Times New Roman" w:hAnsi="Times New Roman"/>
          <w:rtl w:val="0"/>
          <w:lang w:val="en-US"/>
        </w:rPr>
        <w:t xml:space="preserve"> Tenants who have lived in the same residence for 3+ years without major instability.</w:t>
      </w:r>
    </w:p>
    <w:p>
      <w:pPr>
        <w:pStyle w:val="Body"/>
        <w:numPr>
          <w:ilvl w:val="0"/>
          <w:numId w:val="2"/>
        </w:numPr>
        <w:bidi w:val="0"/>
      </w:pPr>
      <w:r>
        <w:rPr>
          <w:rFonts w:ascii="Times New Roman" w:hAnsi="Times New Roman"/>
          <w:b w:val="1"/>
          <w:bCs w:val="1"/>
          <w:rtl w:val="0"/>
          <w:lang w:val="en-US"/>
        </w:rPr>
        <w:t>Recruitment:</w:t>
      </w:r>
      <w:r>
        <w:rPr>
          <w:rFonts w:ascii="Times New Roman" w:hAnsi="Times New Roman"/>
          <w:rtl w:val="0"/>
          <w:lang w:val="en-US"/>
        </w:rPr>
        <w:t xml:space="preserve"> Partnering with tenant advocacy groups, outreach via online tenant communities (e.g./NYCtenants), and in-person data collection in housing courts and shelters (if feasible).</w:t>
      </w:r>
    </w:p>
    <w:p>
      <w:pPr>
        <w:pStyle w:val="Heading"/>
        <w:rPr>
          <w:rFonts w:ascii="Times New Roman" w:cs="Times New Roman" w:hAnsi="Times New Roman" w:eastAsia="Times New Roman"/>
        </w:rPr>
      </w:pPr>
      <w:r>
        <w:rPr>
          <w:rFonts w:ascii="Times New Roman" w:hAnsi="Times New Roman"/>
          <w:rtl w:val="0"/>
          <w:lang w:val="fr-FR"/>
        </w:rPr>
        <w:t>B. Data Collection</w:t>
      </w:r>
    </w:p>
    <w:p>
      <w:pPr>
        <w:pStyle w:val="Body"/>
        <w:rPr>
          <w:rFonts w:ascii="Times New Roman" w:cs="Times New Roman" w:hAnsi="Times New Roman" w:eastAsia="Times New Roman"/>
          <w:b w:val="1"/>
          <w:bCs w:val="1"/>
        </w:rPr>
      </w:pPr>
      <w:r>
        <w:rPr>
          <w:rFonts w:ascii="Times New Roman" w:hAnsi="Times New Roman"/>
          <w:b w:val="1"/>
          <w:bCs w:val="1"/>
          <w:rtl w:val="0"/>
          <w:lang w:val="en-US"/>
        </w:rPr>
        <w:t xml:space="preserve">1. Cognitive Testing (Memory &amp; Attention) </w:t>
      </w:r>
      <w:r>
        <w:rPr>
          <w:rFonts w:ascii="Times New Roman" w:hAnsi="Times New Roman" w:hint="default"/>
          <w:b w:val="1"/>
          <w:bCs w:val="1"/>
          <w:rtl w:val="0"/>
        </w:rPr>
        <w:t xml:space="preserve">– </w:t>
      </w:r>
      <w:r>
        <w:rPr>
          <w:rFonts w:ascii="Times New Roman" w:hAnsi="Times New Roman"/>
          <w:b w:val="1"/>
          <w:bCs w:val="1"/>
          <w:rtl w:val="0"/>
          <w:lang w:val="it-IT"/>
        </w:rPr>
        <w:t>Quantitative</w:t>
      </w:r>
    </w:p>
    <w:p>
      <w:pPr>
        <w:pStyle w:val="Body"/>
        <w:numPr>
          <w:ilvl w:val="0"/>
          <w:numId w:val="7"/>
        </w:numPr>
        <w:bidi w:val="0"/>
      </w:pPr>
      <w:r>
        <w:rPr>
          <w:rFonts w:ascii="Times New Roman" w:hAnsi="Times New Roman"/>
          <w:b w:val="1"/>
          <w:bCs w:val="1"/>
          <w:rtl w:val="0"/>
        </w:rPr>
        <w:t>Digit Span Task:</w:t>
      </w:r>
      <w:r>
        <w:rPr>
          <w:rFonts w:ascii="Times New Roman" w:hAnsi="Times New Roman"/>
          <w:rtl w:val="0"/>
          <w:lang w:val="en-US"/>
        </w:rPr>
        <w:t xml:space="preserve"> Measures working memory capacity and cognitive load.</w:t>
      </w:r>
    </w:p>
    <w:p>
      <w:pPr>
        <w:pStyle w:val="Body"/>
        <w:numPr>
          <w:ilvl w:val="0"/>
          <w:numId w:val="4"/>
        </w:numPr>
        <w:bidi w:val="0"/>
      </w:pPr>
      <w:r>
        <w:rPr>
          <w:rFonts w:ascii="Times New Roman" w:hAnsi="Times New Roman"/>
          <w:b w:val="1"/>
          <w:bCs w:val="1"/>
          <w:rtl w:val="0"/>
          <w:lang w:val="nl-NL"/>
        </w:rPr>
        <w:t>Stroop Task:</w:t>
      </w:r>
      <w:r>
        <w:rPr>
          <w:rFonts w:ascii="Times New Roman" w:hAnsi="Times New Roman"/>
          <w:rtl w:val="0"/>
          <w:lang w:val="en-US"/>
        </w:rPr>
        <w:t xml:space="preserve"> Assesses attentional control and cognitive flexibility.</w:t>
      </w:r>
    </w:p>
    <w:p>
      <w:pPr>
        <w:pStyle w:val="Body"/>
        <w:numPr>
          <w:ilvl w:val="0"/>
          <w:numId w:val="4"/>
        </w:numPr>
        <w:bidi w:val="0"/>
      </w:pPr>
      <w:r>
        <w:rPr>
          <w:rFonts w:ascii="Times New Roman" w:hAnsi="Times New Roman"/>
          <w:b w:val="1"/>
          <w:bCs w:val="1"/>
          <w:rtl w:val="0"/>
          <w:lang w:val="en-US"/>
        </w:rPr>
        <w:t>Decision-Making Simulation:</w:t>
      </w:r>
      <w:r>
        <w:rPr>
          <w:rFonts w:ascii="Times New Roman" w:hAnsi="Times New Roman"/>
          <w:rtl w:val="0"/>
          <w:lang w:val="en-US"/>
        </w:rPr>
        <w:t xml:space="preserve"> Participants complete a simulated financial planning exercise and job-related cognitive tasks under time constraints and distraction conditions.</w:t>
      </w:r>
    </w:p>
    <w:p>
      <w:pPr>
        <w:pStyle w:val="Body"/>
        <w:rPr>
          <w:rFonts w:ascii="Times New Roman" w:cs="Times New Roman" w:hAnsi="Times New Roman" w:eastAsia="Times New Roman"/>
          <w:b w:val="1"/>
          <w:bCs w:val="1"/>
        </w:rPr>
      </w:pPr>
      <w:r>
        <w:rPr>
          <w:rFonts w:ascii="Times New Roman" w:hAnsi="Times New Roman"/>
          <w:b w:val="1"/>
          <w:bCs w:val="1"/>
          <w:rtl w:val="0"/>
          <w:lang w:val="en-US"/>
        </w:rPr>
        <w:t xml:space="preserve">2. Surveys &amp; Interviews </w:t>
      </w:r>
      <w:r>
        <w:rPr>
          <w:rFonts w:ascii="Times New Roman" w:hAnsi="Times New Roman" w:hint="default"/>
          <w:b w:val="1"/>
          <w:bCs w:val="1"/>
          <w:rtl w:val="0"/>
        </w:rPr>
        <w:t xml:space="preserve">– </w:t>
      </w:r>
      <w:r>
        <w:rPr>
          <w:rFonts w:ascii="Times New Roman" w:hAnsi="Times New Roman"/>
          <w:b w:val="1"/>
          <w:bCs w:val="1"/>
          <w:rtl w:val="0"/>
          <w:lang w:val="it-IT"/>
        </w:rPr>
        <w:t>Qualitative</w:t>
      </w:r>
    </w:p>
    <w:p>
      <w:pPr>
        <w:pStyle w:val="Body"/>
        <w:numPr>
          <w:ilvl w:val="0"/>
          <w:numId w:val="2"/>
        </w:numPr>
        <w:bidi w:val="0"/>
      </w:pPr>
      <w:r>
        <w:rPr>
          <w:rFonts w:ascii="Times New Roman" w:hAnsi="Times New Roman"/>
          <w:b w:val="1"/>
          <w:bCs w:val="1"/>
          <w:rtl w:val="0"/>
          <w:lang w:val="en-US"/>
        </w:rPr>
        <w:t>Self-reported cognitive load:</w:t>
      </w:r>
      <w:r>
        <w:rPr>
          <w:rFonts w:ascii="Times New Roman" w:hAnsi="Times New Roman"/>
          <w:rtl w:val="0"/>
          <w:lang w:val="en-US"/>
        </w:rPr>
        <w:t xml:space="preserve"> How does housing instability affect focus, stress levels, and decision-making confidence in everyday life?</w:t>
      </w:r>
    </w:p>
    <w:p>
      <w:pPr>
        <w:pStyle w:val="Body"/>
        <w:numPr>
          <w:ilvl w:val="0"/>
          <w:numId w:val="2"/>
        </w:numPr>
        <w:bidi w:val="0"/>
      </w:pPr>
      <w:r>
        <w:rPr>
          <w:rFonts w:ascii="Times New Roman" w:hAnsi="Times New Roman"/>
          <w:b w:val="1"/>
          <w:bCs w:val="1"/>
          <w:rtl w:val="0"/>
          <w:lang w:val="en-US"/>
        </w:rPr>
        <w:t>Employment performance &amp; financial decision-making:</w:t>
      </w:r>
      <w:r>
        <w:rPr>
          <w:rFonts w:ascii="Times New Roman" w:hAnsi="Times New Roman"/>
          <w:rtl w:val="0"/>
          <w:lang w:val="en-US"/>
        </w:rPr>
        <w:t xml:space="preserve"> Do tenants report difficulty managing work tasks or making sound financial decisions due to housing stress?</w:t>
      </w:r>
    </w:p>
    <w:p>
      <w:pPr>
        <w:pStyle w:val="Body"/>
        <w:numPr>
          <w:ilvl w:val="0"/>
          <w:numId w:val="2"/>
        </w:numPr>
        <w:bidi w:val="0"/>
      </w:pPr>
      <w:r>
        <w:rPr>
          <w:rFonts w:ascii="Times New Roman" w:hAnsi="Times New Roman"/>
          <w:b w:val="1"/>
          <w:bCs w:val="1"/>
          <w:rtl w:val="0"/>
          <w:lang w:val="en-US"/>
        </w:rPr>
        <w:t>Legal advocacy perception:</w:t>
      </w:r>
      <w:r>
        <w:rPr>
          <w:rFonts w:ascii="Times New Roman" w:hAnsi="Times New Roman"/>
          <w:rtl w:val="0"/>
          <w:lang w:val="en-US"/>
        </w:rPr>
        <w:t xml:space="preserve"> Do tenants feel capable of challenging predatory practices? If not, why?</w:t>
      </w:r>
    </w:p>
    <w:p>
      <w:pPr>
        <w:pStyle w:val="Body"/>
        <w:numPr>
          <w:ilvl w:val="0"/>
          <w:numId w:val="2"/>
        </w:numPr>
        <w:bidi w:val="0"/>
      </w:pPr>
      <w:r>
        <w:rPr>
          <w:rFonts w:ascii="Times New Roman" w:hAnsi="Times New Roman"/>
          <w:b w:val="1"/>
          <w:bCs w:val="1"/>
          <w:rtl w:val="0"/>
          <w:lang w:val="en-US"/>
        </w:rPr>
        <w:t>Impact of instability on daily life:</w:t>
      </w:r>
      <w:r>
        <w:rPr>
          <w:rFonts w:ascii="Times New Roman" w:hAnsi="Times New Roman"/>
          <w:rtl w:val="0"/>
          <w:lang w:val="en-US"/>
        </w:rPr>
        <w:t xml:space="preserve"> Examines how housing uncertainty influences financial management, employment stability, and social mobility.</w:t>
      </w:r>
    </w:p>
    <w:p>
      <w:pPr>
        <w:pStyle w:val="Body"/>
        <w:rPr>
          <w:rFonts w:ascii="Times New Roman" w:cs="Times New Roman" w:hAnsi="Times New Roman" w:eastAsia="Times New Roman"/>
          <w:b w:val="1"/>
          <w:bCs w:val="1"/>
        </w:rPr>
      </w:pPr>
      <w:r>
        <w:rPr>
          <w:rFonts w:ascii="Times New Roman" w:hAnsi="Times New Roman"/>
          <w:b w:val="1"/>
          <w:bCs w:val="1"/>
          <w:rtl w:val="0"/>
        </w:rPr>
        <w:t xml:space="preserve">3. Public Data </w:t>
      </w:r>
      <w:r>
        <w:rPr>
          <w:rFonts w:ascii="Times New Roman" w:hAnsi="Times New Roman" w:hint="default"/>
          <w:b w:val="1"/>
          <w:bCs w:val="1"/>
          <w:rtl w:val="0"/>
        </w:rPr>
        <w:t xml:space="preserve">– </w:t>
      </w:r>
      <w:r>
        <w:rPr>
          <w:rFonts w:ascii="Times New Roman" w:hAnsi="Times New Roman"/>
          <w:b w:val="1"/>
          <w:bCs w:val="1"/>
          <w:rtl w:val="0"/>
          <w:lang w:val="en-US"/>
        </w:rPr>
        <w:t>Systemic Cost Analysis</w:t>
      </w:r>
    </w:p>
    <w:p>
      <w:pPr>
        <w:pStyle w:val="Body"/>
        <w:numPr>
          <w:ilvl w:val="0"/>
          <w:numId w:val="2"/>
        </w:numPr>
        <w:rPr>
          <w:rFonts w:ascii="Times New Roman" w:hAnsi="Times New Roman"/>
          <w:lang w:val="en-US"/>
        </w:rPr>
      </w:pPr>
      <w:r>
        <w:rPr>
          <w:rFonts w:ascii="Times New Roman" w:hAnsi="Times New Roman"/>
          <w:rtl w:val="0"/>
          <w:lang w:val="en-US"/>
        </w:rPr>
        <w:t>NYC Housing Court eviction rates &amp; associated legal aid costs</w:t>
      </w:r>
    </w:p>
    <w:p>
      <w:pPr>
        <w:pStyle w:val="Body"/>
        <w:numPr>
          <w:ilvl w:val="0"/>
          <w:numId w:val="2"/>
        </w:numPr>
        <w:rPr>
          <w:rFonts w:ascii="Times New Roman" w:hAnsi="Times New Roman"/>
          <w:lang w:val="en-US"/>
        </w:rPr>
      </w:pPr>
      <w:r>
        <w:rPr>
          <w:rFonts w:ascii="Times New Roman" w:hAnsi="Times New Roman"/>
          <w:rtl w:val="0"/>
          <w:lang w:val="en-US"/>
        </w:rPr>
        <w:t>Government spending on emergency housing vs. cooperative housing programs</w:t>
      </w:r>
    </w:p>
    <w:p>
      <w:pPr>
        <w:pStyle w:val="Body"/>
        <w:numPr>
          <w:ilvl w:val="0"/>
          <w:numId w:val="2"/>
        </w:numPr>
        <w:rPr>
          <w:rFonts w:ascii="Times New Roman" w:hAnsi="Times New Roman"/>
          <w:lang w:val="en-US"/>
        </w:rPr>
      </w:pPr>
      <w:r>
        <w:rPr>
          <w:rFonts w:ascii="Times New Roman" w:hAnsi="Times New Roman"/>
          <w:rtl w:val="0"/>
          <w:lang w:val="en-US"/>
        </w:rPr>
        <w:t>Tenant turnover rates in high-instability vs. low-instability areas</w:t>
      </w:r>
    </w:p>
    <w:p>
      <w:pPr>
        <w:pStyle w:val="Body"/>
        <w:rPr>
          <w:rFonts w:ascii="Times New Roman" w:cs="Times New Roman" w:hAnsi="Times New Roman" w:eastAsia="Times New Roman"/>
        </w:rPr>
      </w:pPr>
    </w:p>
    <w:p>
      <w:pPr>
        <w:pStyle w:val="Heading"/>
        <w:rPr>
          <w:rFonts w:ascii="Times New Roman" w:cs="Times New Roman" w:hAnsi="Times New Roman" w:eastAsia="Times New Roman"/>
        </w:rPr>
      </w:pPr>
      <w:r>
        <w:rPr>
          <w:rFonts w:ascii="Times New Roman" w:hAnsi="Times New Roman"/>
          <w:rtl w:val="0"/>
          <w:lang w:val="en-US"/>
        </w:rPr>
        <w:t>V. Results</w:t>
      </w:r>
    </w:p>
    <w:p>
      <w:pPr>
        <w:pStyle w:val="Body"/>
        <w:numPr>
          <w:ilvl w:val="0"/>
          <w:numId w:val="2"/>
        </w:numPr>
        <w:bidi w:val="0"/>
      </w:pPr>
      <w:r>
        <w:rPr>
          <w:rFonts w:ascii="Times New Roman" w:hAnsi="Times New Roman"/>
          <w:b w:val="1"/>
          <w:bCs w:val="1"/>
          <w:rtl w:val="0"/>
          <w:lang w:val="en-US"/>
        </w:rPr>
        <w:t>Expected Findings:</w:t>
      </w:r>
      <w:r>
        <w:rPr>
          <w:rFonts w:ascii="Times New Roman" w:hAnsi="Times New Roman"/>
          <w:rtl w:val="0"/>
          <w:lang w:val="en-US"/>
        </w:rPr>
        <w:t xml:space="preserve"> Tenants in unstable housing will show higher cognitive load, poorer memory recall, and increased errors in decision-making tasks related to financial planning, employment, and legal processes than those in stable housing.</w:t>
      </w:r>
    </w:p>
    <w:p>
      <w:pPr>
        <w:pStyle w:val="Body"/>
        <w:numPr>
          <w:ilvl w:val="0"/>
          <w:numId w:val="2"/>
        </w:numPr>
        <w:bidi w:val="0"/>
      </w:pPr>
      <w:r>
        <w:rPr>
          <w:rFonts w:ascii="Times New Roman" w:hAnsi="Times New Roman"/>
          <w:b w:val="1"/>
          <w:bCs w:val="1"/>
          <w:rtl w:val="0"/>
          <w:lang w:val="en-US"/>
        </w:rPr>
        <w:t>Alternative Outcomes:</w:t>
      </w:r>
      <w:r>
        <w:rPr>
          <w:rFonts w:ascii="Times New Roman" w:hAnsi="Times New Roman"/>
          <w:rtl w:val="0"/>
          <w:lang w:val="en-US"/>
        </w:rPr>
        <w:t xml:space="preserve"> If no cognitive impairment is observed, this may suggest that </w:t>
      </w:r>
      <w:r>
        <w:rPr>
          <w:rFonts w:ascii="Times New Roman" w:hAnsi="Times New Roman"/>
          <w:b w:val="1"/>
          <w:bCs w:val="1"/>
          <w:rtl w:val="0"/>
          <w:lang w:val="en-US"/>
        </w:rPr>
        <w:t>financial stress or subsidy system inefficiencies</w:t>
      </w:r>
      <w:r>
        <w:rPr>
          <w:rFonts w:ascii="Times New Roman" w:hAnsi="Times New Roman"/>
          <w:rtl w:val="0"/>
          <w:lang w:val="en-US"/>
        </w:rPr>
        <w:t>, rather than landlord exploitation, are responsible for decision-making difficulties.</w:t>
      </w:r>
    </w:p>
    <w:p>
      <w:pPr>
        <w:pStyle w:val="Body"/>
        <w:rPr>
          <w:rFonts w:ascii="Times New Roman" w:cs="Times New Roman" w:hAnsi="Times New Roman" w:eastAsia="Times New Roman"/>
        </w:rPr>
      </w:pPr>
    </w:p>
    <w:p>
      <w:pPr>
        <w:pStyle w:val="Heading"/>
        <w:rPr>
          <w:rFonts w:ascii="Times New Roman" w:cs="Times New Roman" w:hAnsi="Times New Roman" w:eastAsia="Times New Roman"/>
        </w:rPr>
      </w:pPr>
      <w:r>
        <w:rPr>
          <w:rFonts w:ascii="Times New Roman" w:hAnsi="Times New Roman"/>
          <w:rtl w:val="0"/>
          <w:lang w:val="fr-FR"/>
        </w:rPr>
        <w:t>VI. Inferences</w:t>
      </w:r>
    </w:p>
    <w:p>
      <w:pPr>
        <w:pStyle w:val="Body"/>
        <w:numPr>
          <w:ilvl w:val="0"/>
          <w:numId w:val="8"/>
        </w:numPr>
        <w:bidi w:val="0"/>
      </w:pPr>
      <w:r>
        <w:rPr>
          <w:rFonts w:ascii="Times New Roman" w:hAnsi="Times New Roman"/>
          <w:b w:val="1"/>
          <w:bCs w:val="1"/>
          <w:rtl w:val="0"/>
          <w:lang w:val="en-US"/>
        </w:rPr>
        <w:t>Policy Implications:</w:t>
      </w:r>
      <w:r>
        <w:rPr>
          <w:rFonts w:ascii="Times New Roman" w:hAnsi="Times New Roman"/>
          <w:rtl w:val="0"/>
          <w:lang w:val="en-US"/>
        </w:rPr>
        <w:t xml:space="preserve"> If housing instability significantly impairs cognitive function and broader social mobility, then funding should shift from reactionary legal interventions (e.g., housing court) toward </w:t>
      </w:r>
      <w:r>
        <w:rPr>
          <w:rFonts w:ascii="Times New Roman" w:hAnsi="Times New Roman"/>
          <w:b w:val="1"/>
          <w:bCs w:val="1"/>
          <w:rtl w:val="0"/>
          <w:lang w:val="en-US"/>
        </w:rPr>
        <w:t>proactive, cooperative housing models</w:t>
      </w:r>
      <w:r>
        <w:rPr>
          <w:rFonts w:ascii="Times New Roman" w:hAnsi="Times New Roman"/>
          <w:rtl w:val="0"/>
          <w:lang w:val="en-US"/>
        </w:rPr>
        <w:t xml:space="preserve"> that promote tenant stability and independence.</w:t>
      </w:r>
    </w:p>
    <w:p>
      <w:pPr>
        <w:pStyle w:val="Body"/>
        <w:numPr>
          <w:ilvl w:val="0"/>
          <w:numId w:val="4"/>
        </w:numPr>
        <w:bidi w:val="0"/>
      </w:pPr>
      <w:r>
        <w:rPr>
          <w:rFonts w:ascii="Times New Roman" w:hAnsi="Times New Roman"/>
          <w:b w:val="1"/>
          <w:bCs w:val="1"/>
          <w:rtl w:val="0"/>
          <w:lang w:val="en-US"/>
        </w:rPr>
        <w:t>Addressing Limitations:</w:t>
      </w:r>
      <w:r>
        <w:rPr>
          <w:rFonts w:ascii="Times New Roman" w:hAnsi="Times New Roman"/>
          <w:rtl w:val="0"/>
          <w:lang w:val="en-US"/>
        </w:rPr>
        <w:t xml:space="preserve"> Future research should expand sample sizes, integrate physiological stress measures (e.g. cortisol levels), and examine longitudinal effects of housing instability on economic and social outcomes.</w:t>
      </w:r>
    </w:p>
    <w:p>
      <w:pPr>
        <w:pStyle w:val="Body"/>
        <w:numPr>
          <w:ilvl w:val="0"/>
          <w:numId w:val="4"/>
        </w:numPr>
        <w:bidi w:val="0"/>
      </w:pPr>
      <w:r>
        <w:rPr>
          <w:rFonts w:ascii="Times New Roman" w:hAnsi="Times New Roman"/>
          <w:b w:val="1"/>
          <w:bCs w:val="1"/>
          <w:rtl w:val="0"/>
          <w:lang w:val="en-US"/>
        </w:rPr>
        <w:t>Supporting Evidence:</w:t>
      </w:r>
      <w:r>
        <w:rPr>
          <w:rFonts w:ascii="Times New Roman" w:hAnsi="Times New Roman"/>
          <w:rtl w:val="0"/>
          <w:lang w:val="en-US"/>
        </w:rPr>
        <w:t xml:space="preserve"> Prior research on </w:t>
      </w:r>
      <w:r>
        <w:rPr>
          <w:rFonts w:ascii="Times New Roman" w:hAnsi="Times New Roman"/>
          <w:b w:val="1"/>
          <w:bCs w:val="1"/>
          <w:rtl w:val="0"/>
          <w:lang w:val="en-US"/>
        </w:rPr>
        <w:t>scarcity mindset and decision-making</w:t>
      </w:r>
      <w:r>
        <w:rPr>
          <w:rFonts w:ascii="Times New Roman" w:hAnsi="Times New Roman"/>
          <w:rtl w:val="0"/>
          <w:lang w:val="en-US"/>
        </w:rPr>
        <w:t xml:space="preserve"> (Mullainathan &amp; Shafir, 2013) suggests financial instability reduces cognitive bandwidth. This study applies these principles to housing insecurity and its effects on social mobility.</w:t>
      </w:r>
    </w:p>
    <w:p>
      <w:pPr>
        <w:pStyle w:val="Body"/>
        <w:rPr>
          <w:rFonts w:ascii="Times New Roman" w:cs="Times New Roman" w:hAnsi="Times New Roman" w:eastAsia="Times New Roman"/>
        </w:rPr>
      </w:pPr>
    </w:p>
    <w:p>
      <w:pPr>
        <w:pStyle w:val="Heading"/>
        <w:rPr>
          <w:rFonts w:ascii="Times New Roman" w:cs="Times New Roman" w:hAnsi="Times New Roman" w:eastAsia="Times New Roman"/>
        </w:rPr>
      </w:pPr>
      <w:r>
        <w:rPr>
          <w:rFonts w:ascii="Times New Roman" w:hAnsi="Times New Roman"/>
          <w:rtl w:val="0"/>
          <w:lang w:val="it-IT"/>
        </w:rPr>
        <w:t>Conclusion</w:t>
      </w:r>
    </w:p>
    <w:p>
      <w:pPr>
        <w:pStyle w:val="Body"/>
        <w:bidi w:val="0"/>
        <w:rPr>
          <w:rFonts w:ascii="Times New Roman" w:cs="Times New Roman" w:hAnsi="Times New Roman" w:eastAsia="Times New Roman"/>
        </w:rPr>
      </w:pPr>
      <w:r>
        <w:rPr>
          <w:rFonts w:ascii="Times New Roman" w:hAnsi="Times New Roman"/>
          <w:rtl w:val="0"/>
          <w:lang w:val="en-US"/>
        </w:rPr>
        <w:t xml:space="preserve">By analyzing how housing instability impacts cognitive function and social mobility, this research provides empirical support for </w:t>
      </w:r>
      <w:r>
        <w:rPr>
          <w:rFonts w:ascii="Times New Roman" w:hAnsi="Times New Roman"/>
          <w:b w:val="1"/>
          <w:bCs w:val="1"/>
          <w:rtl w:val="0"/>
          <w:lang w:val="en-US"/>
        </w:rPr>
        <w:t>shifting public resources from housing courts toward cooperative housing investments</w:t>
      </w:r>
      <w:r>
        <w:rPr>
          <w:rFonts w:ascii="Times New Roman" w:hAnsi="Times New Roman"/>
          <w:rtl w:val="0"/>
          <w:lang w:val="en-US"/>
        </w:rPr>
        <w:t xml:space="preserve">. Findings will highlight how predatory landlord tactics impose hidden cognitive and social costs that limit tenant empowerment and economic mobility, reinforcing the need for systemic interventions such as cooperative housing models, streamlined rental assistance programs, and proactive tenant education initiatives. These findings could justify the reallocation of public funding from reactionary measures like housing court litigation toward long-term stability solutions prioritizing tenant ownership and economic self-sufficiency, strengthening the case for </w:t>
      </w:r>
      <w:r>
        <w:rPr>
          <w:rFonts w:ascii="Times New Roman" w:hAnsi="Times New Roman"/>
          <w:b w:val="1"/>
          <w:bCs w:val="1"/>
          <w:rtl w:val="0"/>
          <w:lang w:val="en-US"/>
        </w:rPr>
        <w:t>tenant ownership as a sustainable alternative to rental instability</w:t>
      </w:r>
      <w:r>
        <w:rPr>
          <w:rFonts w:ascii="Times New Roman" w:hAnsi="Times New Roman"/>
          <w:rtl w:val="0"/>
        </w:rPr>
        <w:t>.</w:t>
      </w:r>
    </w:p>
    <w:p>
      <w:pPr>
        <w:pStyle w:val="Body"/>
        <w:rPr>
          <w:rFonts w:ascii="Times New Roman" w:cs="Times New Roman" w:hAnsi="Times New Roman" w:eastAsia="Times New Roman"/>
        </w:rPr>
      </w:pPr>
    </w:p>
    <w:p>
      <w:pPr>
        <w:pStyle w:val="Heading"/>
        <w:rPr>
          <w:rFonts w:ascii="Times New Roman" w:cs="Times New Roman" w:hAnsi="Times New Roman" w:eastAsia="Times New Roman"/>
        </w:rPr>
      </w:pPr>
      <w:r>
        <w:rPr>
          <w:rFonts w:ascii="Times New Roman" w:hAnsi="Times New Roman"/>
          <w:rtl w:val="0"/>
          <w:lang w:val="en-US"/>
        </w:rPr>
        <w:t>Cited Source</w:t>
      </w:r>
    </w:p>
    <w:p>
      <w:pPr>
        <w:pStyle w:val="Body"/>
        <w:bidi w:val="0"/>
        <w:rPr>
          <w:rFonts w:ascii="Times New Roman" w:cs="Times New Roman" w:hAnsi="Times New Roman" w:eastAsia="Times New Roman"/>
        </w:rPr>
      </w:pPr>
      <w:r>
        <w:rPr>
          <w:rFonts w:ascii="Times New Roman" w:hAnsi="Times New Roman"/>
          <w:rtl w:val="0"/>
          <w:lang w:val="en-US"/>
        </w:rPr>
        <w:t xml:space="preserve">Mullainathan, S., &amp; Shafir, E. (2013). </w:t>
      </w:r>
      <w:r>
        <w:rPr>
          <w:rFonts w:ascii="Times New Roman" w:hAnsi="Times New Roman"/>
          <w:i w:val="1"/>
          <w:iCs w:val="1"/>
          <w:rtl w:val="0"/>
          <w:lang w:val="en-US"/>
        </w:rPr>
        <w:t>Scarcity: The new science of having less and how it defines our lives</w:t>
      </w:r>
      <w:r>
        <w:rPr>
          <w:rFonts w:ascii="Times New Roman" w:hAnsi="Times New Roman"/>
          <w:rtl w:val="0"/>
          <w:lang w:val="pt-PT"/>
        </w:rPr>
        <w:t>. Picador.</w:t>
      </w:r>
    </w:p>
    <w:p>
      <w:pPr>
        <w:pStyle w:val="Body"/>
      </w:pPr>
      <w:r>
        <w:rPr>
          <w:rFonts w:ascii="Times New Roman" w:cs="Times New Roman" w:hAnsi="Times New Roman" w:eastAsia="Times New Roman"/>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sz w:val="12"/>
        <w:szCs w:val="12"/>
        <w:highlight w:val="none"/>
        <w:vertAlign w:val="baseline"/>
      </w:rPr>
    </w:lvl>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sz w:val="9"/>
        <w:szCs w:val="9"/>
        <w:highlight w:val="none"/>
        <w:vertAlign w:val="baseline"/>
      </w:rPr>
    </w:lvl>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sz w:val="9"/>
        <w:szCs w:val="9"/>
        <w:highlight w:val="none"/>
        <w:vertAlign w:val="baseline"/>
      </w:rPr>
    </w:lvl>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sz w:val="17"/>
        <w:szCs w:val="17"/>
        <w:highlight w:val="none"/>
        <w:vertAlign w:val="baseline"/>
      </w:rPr>
    </w:lvl>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sz w:val="17"/>
        <w:szCs w:val="17"/>
        <w:highlight w:val="none"/>
        <w:vertAlign w:val="baseline"/>
      </w:rPr>
    </w:lvl>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sz w:val="7"/>
        <w:szCs w:val="7"/>
        <w:highlight w:val="none"/>
        <w:vertAlign w:val="baseline"/>
      </w:rPr>
    </w:lvl>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sz w:val="7"/>
        <w:szCs w:val="7"/>
        <w:highlight w:val="none"/>
        <w:vertAlign w:val="baseline"/>
      </w:rPr>
    </w:lvl>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decimal"/>
        <w:suff w:val="tab"/>
        <w:lvlText w:val="%1."/>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0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32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numbering" w:styleId="Numbered">
    <w:name w:val="Numbered"/>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