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Community Service Society of New York (CSS) Housing Policy Reform</w:t>
      </w:r>
    </w:p>
    <w:p>
      <w:pPr>
        <w:pStyle w:val="Body"/>
        <w:bidi w:val="0"/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nl-NL"/>
        </w:rPr>
        <w:t>Overview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CSS proposes 20 policies to transform New York</w:t>
      </w:r>
      <w:r>
        <w:rPr>
          <w:rtl w:val="1"/>
        </w:rPr>
        <w:t>’</w:t>
      </w:r>
      <w:r>
        <w:rPr>
          <w:rtl w:val="0"/>
        </w:rPr>
        <w:t>s housing system from a profit-driven model to one centered on social welfare. These policies are categorized into four areas: Democratic Control of Housing, Financial Resources for Housing Justice, Tenants</w:t>
      </w:r>
      <w:r>
        <w:rPr>
          <w:rtl w:val="1"/>
        </w:rPr>
        <w:t xml:space="preserve">’ </w:t>
      </w:r>
      <w:r>
        <w:rPr>
          <w:rtl w:val="0"/>
        </w:rPr>
        <w:t>Rights and Protections, and Code Enforcement &amp; Tools for Safe Conditions.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1. Democratic Control of Housing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Pros:</w:t>
      </w:r>
    </w:p>
    <w:p>
      <w:pPr>
        <w:pStyle w:val="Body"/>
        <w:bidi w:val="0"/>
      </w:pPr>
      <w:r>
        <w:rPr>
          <w:rtl w:val="0"/>
        </w:rPr>
        <w:t>- Empowers tenants by involving them in decision-making, leading to housing solutions that better reflect community needs.</w:t>
      </w:r>
    </w:p>
    <w:p>
      <w:pPr>
        <w:pStyle w:val="Body"/>
        <w:bidi w:val="0"/>
      </w:pPr>
      <w:r>
        <w:rPr>
          <w:rtl w:val="0"/>
        </w:rPr>
        <w:t>- Promotes long-term affordability and stability by removing properties from speculative markets.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Cons:</w:t>
      </w:r>
    </w:p>
    <w:p>
      <w:pPr>
        <w:pStyle w:val="Body"/>
        <w:bidi w:val="0"/>
      </w:pPr>
      <w:r>
        <w:rPr>
          <w:rtl w:val="0"/>
        </w:rPr>
        <w:t>- Transitioning to these models requires substantial initial investment and coordination.</w:t>
      </w:r>
    </w:p>
    <w:p>
      <w:pPr>
        <w:pStyle w:val="Body"/>
        <w:bidi w:val="0"/>
      </w:pPr>
      <w:r>
        <w:rPr>
          <w:rtl w:val="0"/>
        </w:rPr>
        <w:t>- Potential challenges in scaling these models to meet the vast housing demands of New York City.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2. Financial Resources for Housing Justice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Pros:</w:t>
      </w:r>
    </w:p>
    <w:p>
      <w:pPr>
        <w:pStyle w:val="Body"/>
        <w:bidi w:val="0"/>
      </w:pPr>
      <w:r>
        <w:rPr>
          <w:rtl w:val="0"/>
        </w:rPr>
        <w:t>- Allocates public funds to support affordable housing initiatives, reducing reliance on private capital.</w:t>
      </w:r>
    </w:p>
    <w:p>
      <w:pPr>
        <w:pStyle w:val="Body"/>
        <w:bidi w:val="0"/>
      </w:pPr>
      <w:r>
        <w:rPr>
          <w:rtl w:val="0"/>
        </w:rPr>
        <w:t>- Provides financial mechanisms to preserve existing affordable housing and develop new units.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Cons:</w:t>
      </w:r>
    </w:p>
    <w:p>
      <w:pPr>
        <w:pStyle w:val="Body"/>
        <w:bidi w:val="0"/>
      </w:pPr>
      <w:r>
        <w:rPr>
          <w:rtl w:val="0"/>
        </w:rPr>
        <w:t>- Requires consistent political will and public funding, which can be influenced by economic fluctuations.</w:t>
      </w:r>
    </w:p>
    <w:p>
      <w:pPr>
        <w:pStyle w:val="Body"/>
        <w:bidi w:val="0"/>
      </w:pPr>
      <w:r>
        <w:rPr>
          <w:rtl w:val="0"/>
        </w:rPr>
        <w:t>- May face opposition from stakeholders benefiting from the current profit-driven housing market.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3. Tenants</w:t>
      </w:r>
      <w:r>
        <w:rPr>
          <w:b w:val="1"/>
          <w:bCs w:val="1"/>
          <w:rtl w:val="1"/>
        </w:rPr>
        <w:t xml:space="preserve">’ </w:t>
      </w:r>
      <w:r>
        <w:rPr>
          <w:b w:val="1"/>
          <w:bCs w:val="1"/>
          <w:rtl w:val="0"/>
          <w:lang w:val="en-US"/>
        </w:rPr>
        <w:t>Rights and Protections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Pros:</w:t>
      </w:r>
    </w:p>
    <w:p>
      <w:pPr>
        <w:pStyle w:val="Body"/>
        <w:bidi w:val="0"/>
      </w:pPr>
      <w:r>
        <w:rPr>
          <w:rtl w:val="0"/>
        </w:rPr>
        <w:t>- Strengthens legal protections for tenants, safeguarding them from unjust evictions and rent hikes.</w:t>
      </w:r>
    </w:p>
    <w:p>
      <w:pPr>
        <w:pStyle w:val="Body"/>
        <w:bidi w:val="0"/>
      </w:pPr>
      <w:r>
        <w:rPr>
          <w:rtl w:val="0"/>
        </w:rPr>
        <w:t>- Enhances housing stability, contributing to healthier and more cohesive communities.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Cons:</w:t>
      </w:r>
    </w:p>
    <w:p>
      <w:pPr>
        <w:pStyle w:val="Body"/>
        <w:bidi w:val="0"/>
      </w:pPr>
      <w:r>
        <w:rPr>
          <w:rtl w:val="0"/>
        </w:rPr>
        <w:t>- Enhanced regulations might discourage some landlords from maintaining rental properties or investing in new ones.</w:t>
      </w:r>
    </w:p>
    <w:p>
      <w:pPr>
        <w:pStyle w:val="Body"/>
        <w:bidi w:val="0"/>
      </w:pPr>
      <w:r>
        <w:rPr>
          <w:rtl w:val="0"/>
        </w:rPr>
        <w:t>- Implementation and enforcement require robust administrative systems and resources.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4. Code Enforcement &amp; Tools for Safe Conditions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Pros:</w:t>
      </w:r>
    </w:p>
    <w:p>
      <w:pPr>
        <w:pStyle w:val="Body"/>
        <w:bidi w:val="0"/>
      </w:pPr>
      <w:r>
        <w:rPr>
          <w:rtl w:val="0"/>
        </w:rPr>
        <w:t>- Ensures landlords maintain safe and habitable living conditions, protecting tenant health and safety.</w:t>
      </w:r>
    </w:p>
    <w:p>
      <w:pPr>
        <w:pStyle w:val="Body"/>
        <w:bidi w:val="0"/>
      </w:pPr>
      <w:r>
        <w:rPr>
          <w:rtl w:val="0"/>
        </w:rPr>
        <w:t>- Holds negligent property owners accountable, potentially leading to improvements in housing quality.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Cons:</w:t>
      </w:r>
    </w:p>
    <w:p>
      <w:pPr>
        <w:pStyle w:val="Body"/>
        <w:bidi w:val="0"/>
      </w:pPr>
      <w:r>
        <w:rPr>
          <w:rtl w:val="0"/>
        </w:rPr>
        <w:t>- Increased enforcement may lead some landlords to sell properties, potentially reducing the affordable housing stock.</w:t>
      </w:r>
    </w:p>
    <w:p>
      <w:pPr>
        <w:pStyle w:val="Body"/>
        <w:bidi w:val="0"/>
      </w:pPr>
      <w:r>
        <w:rPr>
          <w:rtl w:val="0"/>
        </w:rPr>
        <w:t>- Requires significant municipal resources to monitor and enforce compliance effectively.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Comparative Analysis with Our Policy Reform Concept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Our policy reform proposal emphasizes shifting from landlord-driven rental subsidies to promoting tenant ownership as a long-term wealth-building strategy, especially for historically marginalized communities. This approach aligns with CSS</w:t>
      </w:r>
      <w:r>
        <w:rPr>
          <w:rtl w:val="1"/>
        </w:rPr>
        <w:t>’</w:t>
      </w:r>
      <w:r>
        <w:rPr>
          <w:rtl w:val="0"/>
        </w:rPr>
        <w:t>s emphasis on decommodifying housing and enhancing tenant empowerment.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Suggestions for Enhancing Our Proposal: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0"/>
          <w:bCs w:val="0"/>
          <w:rtl w:val="0"/>
        </w:rPr>
        <w:t xml:space="preserve">1. </w:t>
      </w:r>
      <w:r>
        <w:rPr>
          <w:b w:val="1"/>
          <w:bCs w:val="1"/>
          <w:rtl w:val="0"/>
          <w:lang w:val="en-US"/>
        </w:rPr>
        <w:t>Incorporate Democratic Control Mechanisms:</w:t>
      </w:r>
    </w:p>
    <w:p>
      <w:pPr>
        <w:pStyle w:val="Body"/>
        <w:bidi w:val="0"/>
      </w:pPr>
      <w:r>
        <w:rPr>
          <w:b w:val="1"/>
          <w:bCs w:val="1"/>
          <w:rtl w:val="0"/>
        </w:rPr>
        <w:t xml:space="preserve">   </w:t>
      </w:r>
      <w:r>
        <w:rPr>
          <w:rtl w:val="0"/>
        </w:rPr>
        <w:t>- Integrate elements like community land trusts or limited-equity cooperatives to ensure collective ownership and decision-making, preventing future speculative threats.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0"/>
          <w:bCs w:val="0"/>
          <w:rtl w:val="0"/>
        </w:rPr>
        <w:t xml:space="preserve">2. </w:t>
      </w:r>
      <w:r>
        <w:rPr>
          <w:b w:val="1"/>
          <w:bCs w:val="1"/>
          <w:rtl w:val="0"/>
          <w:lang w:val="en-US"/>
        </w:rPr>
        <w:t>Establish Dedicated Financial Instruments:</w:t>
      </w:r>
    </w:p>
    <w:p>
      <w:pPr>
        <w:pStyle w:val="Body"/>
        <w:bidi w:val="0"/>
      </w:pPr>
      <w:r>
        <w:rPr>
          <w:b w:val="1"/>
          <w:bCs w:val="1"/>
          <w:rtl w:val="0"/>
        </w:rPr>
        <w:t xml:space="preserve">   </w:t>
      </w:r>
      <w:r>
        <w:rPr>
          <w:rtl w:val="0"/>
        </w:rPr>
        <w:t>- Create public banks or housing trust funds to provide low-interest loans and grants for tenant-led ownership initiatives, ensuring sustained funding beyond initial subsidies.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0"/>
          <w:bCs w:val="0"/>
          <w:rtl w:val="0"/>
        </w:rPr>
        <w:t xml:space="preserve">3. </w:t>
      </w:r>
      <w:r>
        <w:rPr>
          <w:b w:val="1"/>
          <w:bCs w:val="1"/>
          <w:rtl w:val="0"/>
          <w:lang w:val="en-US"/>
        </w:rPr>
        <w:t>Strengthen Legal Frameworks:</w:t>
      </w:r>
    </w:p>
    <w:p>
      <w:pPr>
        <w:pStyle w:val="Body"/>
        <w:bidi w:val="0"/>
      </w:pPr>
      <w:r>
        <w:rPr>
          <w:b w:val="1"/>
          <w:bCs w:val="1"/>
          <w:rtl w:val="0"/>
        </w:rPr>
        <w:t xml:space="preserve">   </w:t>
      </w:r>
      <w:r>
        <w:rPr>
          <w:rtl w:val="0"/>
        </w:rPr>
        <w:t>- Advocate for policies such as the Tenant Opportunity to Purchase Act (TOPA), granting tenants the first right to purchase their residences, facilitating smoother transitions to ownership.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0"/>
          <w:bCs w:val="0"/>
          <w:rtl w:val="0"/>
        </w:rPr>
        <w:t xml:space="preserve">4. </w:t>
      </w:r>
      <w:r>
        <w:rPr>
          <w:b w:val="1"/>
          <w:bCs w:val="1"/>
          <w:rtl w:val="0"/>
          <w:lang w:val="en-US"/>
        </w:rPr>
        <w:t>Enhance Code Enforcement:</w:t>
      </w:r>
    </w:p>
    <w:p>
      <w:pPr>
        <w:pStyle w:val="Body"/>
        <w:bidi w:val="0"/>
      </w:pPr>
      <w:r>
        <w:rPr>
          <w:b w:val="1"/>
          <w:bCs w:val="1"/>
          <w:rtl w:val="0"/>
        </w:rPr>
        <w:t xml:space="preserve">   </w:t>
      </w:r>
      <w:r>
        <w:rPr>
          <w:rtl w:val="0"/>
        </w:rPr>
        <w:t>- Implement stricter building code enforcement to ensure properties transitioning to tenant ownership are safe and habitable, safeguarding new owners from unforeseen repair burdens.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Supporting Data and Statistics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- Homeownership and Wealth Accumulation:</w:t>
      </w:r>
    </w:p>
    <w:p>
      <w:pPr>
        <w:pStyle w:val="Body"/>
        <w:bidi w:val="0"/>
      </w:pPr>
      <w:r>
        <w:rPr>
          <w:b w:val="1"/>
          <w:bCs w:val="1"/>
          <w:rtl w:val="0"/>
        </w:rPr>
        <w:t xml:space="preserve">  </w:t>
      </w:r>
      <w:r>
        <w:rPr>
          <w:rtl w:val="0"/>
        </w:rPr>
        <w:t>- Homeownership remains a significant avenue for wealth accumulation. However, the rising costs and market fluctuations have made it increasingly difficult for average New Yorkers to own property.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  <w:lang w:val="en-US"/>
        </w:rPr>
        <w:t>Community Land Trusts (CLTs):</w:t>
      </w:r>
    </w:p>
    <w:p>
      <w:pPr>
        <w:pStyle w:val="Body"/>
        <w:bidi w:val="0"/>
      </w:pPr>
      <w:r>
        <w:rPr>
          <w:b w:val="1"/>
          <w:bCs w:val="1"/>
          <w:rtl w:val="0"/>
        </w:rPr>
        <w:t xml:space="preserve">  </w:t>
      </w:r>
      <w:r>
        <w:rPr>
          <w:rtl w:val="0"/>
        </w:rPr>
        <w:t>- CLTs have been effective in providing affordable housing. The number of CLTs has risen significantly, with 308 reported in 2024, up from 289 in 2021, indicating a growing interest in this model.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0"/>
          <w:bCs w:val="0"/>
          <w:rtl w:val="0"/>
          <w:lang w:val="ru-RU"/>
        </w:rPr>
        <w:t xml:space="preserve">- </w:t>
      </w:r>
      <w:r>
        <w:rPr>
          <w:b w:val="1"/>
          <w:bCs w:val="1"/>
          <w:rtl w:val="0"/>
          <w:lang w:val="en-US"/>
        </w:rPr>
        <w:t>Tenant Opportunity to Purchase Act (TOPA):</w:t>
      </w:r>
    </w:p>
    <w:p>
      <w:pPr>
        <w:pStyle w:val="Body"/>
        <w:bidi w:val="0"/>
      </w:pPr>
      <w:r>
        <w:rPr>
          <w:b w:val="1"/>
          <w:bCs w:val="1"/>
          <w:rtl w:val="0"/>
        </w:rPr>
        <w:t xml:space="preserve">  </w:t>
      </w:r>
      <w:r>
        <w:rPr>
          <w:rtl w:val="0"/>
        </w:rPr>
        <w:t>- Implementing TOPA policies has shown promise in empowering tenants to purchase their homes, thereby preventing displacement and promoting stable communities.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integrating these strategies and insights, our policy reform can more effectively promote tenant ownership, address systemic inequities, and foster intergenerational wealth-building for communities historically denied such opportunities.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0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