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Housing Subsidy Reform: Tenant-Ownership Conversion Framework</w:t>
      </w:r>
    </w:p>
    <w:p>
      <w:pPr>
        <w:pStyle w:val="Heading1"/>
      </w:pPr>
      <w:r>
        <w:t>Executive Summary</w:t>
      </w:r>
    </w:p>
    <w:p>
      <w:r>
        <w:t>This policy proposal reimagines rental subsidies as long-term wealth-building tools by converting eligible tenants from voucher recipients into cooperative homeowners. Grounded in interagency collaboration and existing subsidy structures, the plan aims to restructure the rental voucher system to support tenant-led co-op conversions, repairs, and maintenance over a five-year phased transition. The approach addresses generational wealth gaps, housing court inefficiencies, and landlord abuses while offering measurable ROI to the City, HUD, and public health agencies.</w:t>
      </w:r>
    </w:p>
    <w:p>
      <w:pPr>
        <w:pStyle w:val="Heading1"/>
      </w:pPr>
      <w:r>
        <w:t>Problem Definition &amp; Policy Background</w:t>
      </w:r>
    </w:p>
    <w:p>
      <w:r>
        <w:t>Current rental subsidy models reinforce landlord dependence and fail to produce long-term equity for tenants. In NYC alone, a disproportionate share of rental vouchers flow to landlords listed on the Public Advocate's "Worst Landlords" list. This system creates cyclical instability and administrative burdens, especially in housing court, DHCR, HPD inspections, and legal aid resources like Right to Counsel. Households receiving subsidies report an average income of $23,559, with over 85% identifying as part of a minority group and 51% including members with a disability (HUD, 2024). Nearly all—95%—fall into the very low-income bracket. These conditions represent a policy failure to translate subsidy into long-term stability or intergenerational mobility.</w:t>
      </w:r>
    </w:p>
    <w:p>
      <w:pPr>
        <w:pStyle w:val="Heading1"/>
      </w:pPr>
      <w:r>
        <w:t>Goals and Guiding Principles</w:t>
      </w:r>
    </w:p>
    <w:p>
      <w:r>
        <w:t>- Transition from Rental Subsidy to Ownership-Based Subsidy</w:t>
      </w:r>
    </w:p>
    <w:p>
      <w:r>
        <w:t>- Increase ROI to City and Agencies</w:t>
      </w:r>
    </w:p>
    <w:p>
      <w:r>
        <w:t>- Combat Racialized Wealth Inequity</w:t>
      </w:r>
    </w:p>
    <w:p>
      <w:r>
        <w:t>- Ensure Legal Protections and Oversight</w:t>
      </w:r>
    </w:p>
    <w:p>
      <w:pPr>
        <w:pStyle w:val="Heading1"/>
      </w:pPr>
      <w:r>
        <w:t>Policy Design and Strategic Phasing</w:t>
      </w:r>
    </w:p>
    <w:p>
      <w:r>
        <w:t>Phase 1 (Year 1–2): Identification of eligible buildings—target landlords with major violations, voucher saturation, or foreclosure risk. Coordinate with tenant associations, HPD, DHCR, and legal advocates.</w:t>
      </w:r>
    </w:p>
    <w:p>
      <w:r>
        <w:t>Phase 2 (Years 2–4): Begin transitions—redirect voucher funding toward cooperative down payments, repairs, and reserves. Establish wraparound services with technical and legal support.</w:t>
      </w:r>
    </w:p>
    <w:p>
      <w:r>
        <w:t>Phase 3 (Years 4–5+): Full tenant governance and ownership. Measure outcomes in equity growth, building condition, and eviction decline.</w:t>
      </w:r>
    </w:p>
    <w:p>
      <w:pPr>
        <w:pStyle w:val="Heading1"/>
      </w:pPr>
      <w:r>
        <w:t>Budget Analysis and Funding Realignment</w:t>
      </w:r>
    </w:p>
    <w:p>
      <w:r>
        <w:t>NYC distributes over $750 million in rental subsidies annually. A tenant ownership strategy would reduce legal aid, shelter, and repair duplication costs. Estimated savings: $150M–$350M/year by 2030. Pilot data shows the co-op model generates long-term wealth and requires lower public expenditure than emergency shelter systems. Each avoided eviction saves the city $7,000–$15,000, and the Bronx and Brooklyn alone account for over 7,000 executed evictions annually.</w:t>
      </w:r>
    </w:p>
    <w:p>
      <w:pPr>
        <w:pStyle w:val="Heading1"/>
      </w:pPr>
      <w:r>
        <w:t>Oversight, Risk Mitigation, and Implementation Support</w:t>
      </w:r>
    </w:p>
    <w:p>
      <w:r>
        <w:t>Oversight: HPD, DHCR, RTC, and a new Community Lending Board. Risk mitigation includes protections from speculative buyouts, legal aid for co-op transitions, and community education.</w:t>
      </w:r>
    </w:p>
    <w:p>
      <w:pPr>
        <w:pStyle w:val="Heading1"/>
      </w:pPr>
      <w:r>
        <w:t>Implementation and Administration</w:t>
      </w:r>
    </w:p>
    <w:p>
      <w:r>
        <w:t>Implementation will begin with HPD compiling a list of properties using HPD violations, 311 data, and voucher density. NYCHA and HDC will work with OMB and City Council to reclassify budgets. Tenant associations will be supported in forming co-ops, with credit unions providing first-position lending. Administrative support will be funded through reallocated HPD repair and legal aid line items.</w:t>
      </w:r>
    </w:p>
    <w:p>
      <w:pPr>
        <w:pStyle w:val="Heading1"/>
      </w:pPr>
      <w:r>
        <w:t>Rental-to-Cooperative Conversion Process</w:t>
      </w:r>
    </w:p>
    <w:p>
      <w:r>
        <w:t>The conversion begins with tenants receiving a notice of intended sale or code enforcement-triggered acquisition. A City-level TFOS ordinance grants them first refusal rights. Tenant associations have up to 180 days to organize and secure financing. Cooperatives will be formed using existing HDFC or CLT frameworks, with legal and financial training supported by the city and nonprofits.</w:t>
      </w:r>
    </w:p>
    <w:p>
      <w:pPr>
        <w:pStyle w:val="Heading1"/>
      </w:pPr>
      <w:r>
        <w:t>Legal Amendments Required</w:t>
      </w:r>
    </w:p>
    <w:p>
      <w:r>
        <w:t>Federal: Amend 24 C.F.R. § 982.1 to allow tenant-based vouchers in affordability-restricted co-ops. Redefine voucher benefits as personal property interests.</w:t>
      </w:r>
    </w:p>
    <w:p>
      <w:r>
        <w:t>State/Local: Enact NYC Tenant First Option on Sale (TFOS). Mirror TOPA by granting right of refusal, 180-day planning periods, and access to municipal lending.</w:t>
      </w:r>
    </w:p>
    <w:p>
      <w:r>
        <w:t>HPD/NYCHA: Enable regulatory reclassification of voucher leases as convertible toward equity with HUD oversight.</w:t>
      </w:r>
    </w:p>
    <w:p>
      <w:pPr>
        <w:pStyle w:val="Heading1"/>
      </w:pPr>
      <w:r>
        <w:t>Credit Union Integration Strategy</w:t>
      </w:r>
    </w:p>
    <w:p>
      <w:r>
        <w:t>Credit unions and CDFIs are ideal partners for financing tenant equity transitions. NYC’s LES People's Credit Union, Spring Bank, and Brooklyn Cooperative Federal Credit Union have experience with limited equity lending. These institutions can leverage CRA incentives, NYS support, and philanthropic guarantees to finance co-op conversions while mitigating risk.</w:t>
      </w:r>
    </w:p>
    <w:p>
      <w:pPr>
        <w:pStyle w:val="Heading1"/>
      </w:pPr>
      <w:r>
        <w:t>Conclusion and Next Steps</w:t>
      </w:r>
    </w:p>
    <w:p>
      <w:r>
        <w:t>We propose initiating this pilot in three districts with the highest code violation overlap, voucher saturation, and housing court burden. The City Council should allocate transitional reserves and legal infrastructure in the FY2025 budget. HPD and HDC should issue an RFP for a pilot co-op support entity and propose TFOS legislation before Q4 2025.</w:t>
      </w:r>
    </w:p>
    <w:p>
      <w:r>
        <w:t>Prepared by Seth Foss | Updated: 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