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9B936" w14:textId="77777777" w:rsidR="00BB3B79" w:rsidRDefault="00BB3B79">
      <w:pPr>
        <w:pStyle w:val="Body"/>
        <w:spacing w:line="312" w:lineRule="auto"/>
      </w:pPr>
    </w:p>
    <w:p w14:paraId="77B317C4" w14:textId="77777777" w:rsidR="00BB3B79" w:rsidRDefault="004514AA">
      <w:pPr>
        <w:pStyle w:val="Heading2"/>
        <w:rPr>
          <w:rFonts w:hint="eastAsia"/>
        </w:rPr>
      </w:pPr>
      <w:r>
        <w:t>Formal Policy Proposal</w:t>
      </w:r>
    </w:p>
    <w:p w14:paraId="2CA3C186" w14:textId="77777777" w:rsidR="00BB3B79" w:rsidRDefault="004514AA">
      <w:pPr>
        <w:pStyle w:val="Body"/>
        <w:spacing w:line="312" w:lineRule="auto"/>
      </w:pPr>
      <w:r>
        <w:rPr>
          <w:rFonts w:ascii="Arial Unicode MS" w:eastAsia="Arial Unicode MS" w:hAnsi="Arial Unicode MS" w:cs="Arial Unicode MS"/>
        </w:rPr>
        <w:t>⸻</w:t>
      </w:r>
    </w:p>
    <w:p w14:paraId="21440D2B" w14:textId="77777777" w:rsidR="00BB3B79" w:rsidRDefault="004514AA">
      <w:pPr>
        <w:pStyle w:val="Body"/>
        <w:spacing w:line="312" w:lineRule="auto"/>
      </w:pPr>
      <w:r>
        <w:t>Tenant Opportunity to Purchase Act (TOPA) of New York City</w:t>
      </w:r>
    </w:p>
    <w:p w14:paraId="4AB9FC25" w14:textId="77777777" w:rsidR="00BB3B79" w:rsidRDefault="004514AA">
      <w:pPr>
        <w:pStyle w:val="Body"/>
        <w:spacing w:line="312" w:lineRule="auto"/>
      </w:pPr>
      <w:r>
        <w:t>Submitted by: Council Members Bottcher, Rivera, Cab</w:t>
      </w:r>
      <w:r>
        <w:t>á</w:t>
      </w:r>
      <w:r>
        <w:t xml:space="preserve">n, Louis, </w:t>
      </w:r>
      <w:proofErr w:type="spellStart"/>
      <w:r>
        <w:t>Restler</w:t>
      </w:r>
      <w:proofErr w:type="spellEnd"/>
      <w:r>
        <w:t>, and Brannan</w:t>
      </w:r>
    </w:p>
    <w:p w14:paraId="5C0AE2E5" w14:textId="77777777" w:rsidR="00BB3B79" w:rsidRDefault="004514AA">
      <w:pPr>
        <w:pStyle w:val="Body"/>
        <w:spacing w:line="312" w:lineRule="auto"/>
      </w:pPr>
      <w:r>
        <w:rPr>
          <w:b/>
          <w:bCs/>
          <w:lang w:val="de-DE"/>
        </w:rPr>
        <w:t>Date:</w:t>
      </w:r>
      <w:r>
        <w:rPr>
          <w:lang w:val="de-DE"/>
        </w:rPr>
        <w:t xml:space="preserve"> [Insert Date]</w:t>
      </w:r>
    </w:p>
    <w:p w14:paraId="28AF41A9" w14:textId="77777777" w:rsidR="00BB3B79" w:rsidRDefault="004514AA">
      <w:pPr>
        <w:pStyle w:val="Body"/>
        <w:spacing w:line="312" w:lineRule="auto"/>
      </w:pPr>
      <w:r>
        <w:rPr>
          <w:b/>
          <w:bCs/>
        </w:rPr>
        <w:t>Prepared by:</w:t>
      </w:r>
      <w:r>
        <w:t xml:space="preserve"> [Insert Preparer</w:t>
      </w:r>
      <w:r>
        <w:rPr>
          <w:rtl/>
        </w:rPr>
        <w:t>’</w:t>
      </w:r>
      <w:r>
        <w:t>s Name or Department]</w:t>
      </w:r>
    </w:p>
    <w:p w14:paraId="6676BB65" w14:textId="77777777" w:rsidR="00BB3B79" w:rsidRDefault="00BB3B79">
      <w:pPr>
        <w:pStyle w:val="Body"/>
        <w:spacing w:line="312" w:lineRule="auto"/>
      </w:pPr>
    </w:p>
    <w:p w14:paraId="74000B13" w14:textId="77777777" w:rsidR="00BB3B79" w:rsidRDefault="004514AA">
      <w:pPr>
        <w:pStyle w:val="Body"/>
        <w:spacing w:line="312" w:lineRule="auto"/>
      </w:pPr>
      <w:r>
        <w:rPr>
          <w:rFonts w:ascii="Arial Unicode MS" w:eastAsia="Arial Unicode MS" w:hAnsi="Arial Unicode MS" w:cs="Arial Unicode MS"/>
        </w:rPr>
        <w:t>⸻</w:t>
      </w:r>
    </w:p>
    <w:p w14:paraId="40B5BBA2" w14:textId="77777777" w:rsidR="00BB3B79" w:rsidRDefault="004514AA">
      <w:pPr>
        <w:pStyle w:val="Heading2"/>
        <w:rPr>
          <w:rFonts w:hint="eastAsia"/>
        </w:rPr>
      </w:pPr>
      <w:r>
        <w:t xml:space="preserve">I. Executive </w:t>
      </w:r>
      <w:r>
        <w:t>Summary</w:t>
      </w:r>
    </w:p>
    <w:p w14:paraId="16EC06B4" w14:textId="77777777" w:rsidR="00BB3B79" w:rsidRDefault="004514AA">
      <w:pPr>
        <w:pStyle w:val="Body"/>
        <w:spacing w:line="312" w:lineRule="auto"/>
      </w:pPr>
      <w:r>
        <w:t>The Tenant Opportunity to Purchase Act (TOPA) seeks to transform New York City</w:t>
      </w:r>
      <w:r>
        <w:rPr>
          <w:rtl/>
        </w:rPr>
        <w:t>’</w:t>
      </w:r>
      <w:r>
        <w:t>s approach to affordable housing by empowering tenants with the right to purchase their subsidized housing units when owners opt to sell. This policy reorients billions in rental subsidies toward sustainable homeownership, addressing racial and economic inequities, promoting neighborhood stability, and reducing long-term dependency on rental assistance programs.</w:t>
      </w:r>
    </w:p>
    <w:p w14:paraId="77C9DA7D" w14:textId="77777777" w:rsidR="00BB3B79" w:rsidRDefault="00BB3B79">
      <w:pPr>
        <w:pStyle w:val="Body"/>
        <w:spacing w:line="312" w:lineRule="auto"/>
      </w:pPr>
    </w:p>
    <w:p w14:paraId="15CFE8F8" w14:textId="77777777" w:rsidR="00BB3B79" w:rsidRDefault="004514AA">
      <w:pPr>
        <w:pStyle w:val="Body"/>
        <w:spacing w:line="312" w:lineRule="auto"/>
      </w:pPr>
      <w:r>
        <w:rPr>
          <w:rFonts w:ascii="Arial Unicode MS" w:eastAsia="Arial Unicode MS" w:hAnsi="Arial Unicode MS" w:cs="Arial Unicode MS"/>
        </w:rPr>
        <w:t>⸻</w:t>
      </w:r>
    </w:p>
    <w:p w14:paraId="642939CC" w14:textId="77777777" w:rsidR="00BB3B79" w:rsidRDefault="004514AA">
      <w:pPr>
        <w:pStyle w:val="Heading2"/>
        <w:rPr>
          <w:rFonts w:hint="eastAsia"/>
        </w:rPr>
      </w:pPr>
      <w:r>
        <w:t>II. Background and Problem Statement</w:t>
      </w:r>
    </w:p>
    <w:p w14:paraId="1C9B40CC" w14:textId="77777777" w:rsidR="00BB3B79" w:rsidRDefault="004514AA">
      <w:pPr>
        <w:pStyle w:val="Body"/>
        <w:spacing w:line="312" w:lineRule="auto"/>
      </w:pPr>
      <w:r>
        <w:t>New York City currently allocates billions annually to rental subsidies, yet these investments yield:</w:t>
      </w:r>
    </w:p>
    <w:p w14:paraId="0B1184FD"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0% Return on Investment (ROI):</w:t>
      </w:r>
      <w:r>
        <w:t xml:space="preserve"> No long-term wealth accumulation for tenants or fiscal return for the city.</w:t>
      </w:r>
    </w:p>
    <w:p w14:paraId="3A279E33"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Perpetuated Inequities:</w:t>
      </w:r>
      <w:r>
        <w:t xml:space="preserve"> Existing subsidy models reinforce racial and economic disparities.</w:t>
      </w:r>
    </w:p>
    <w:p w14:paraId="1CECDE86"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Public Health Concerns:</w:t>
      </w:r>
      <w:r>
        <w:t xml:space="preserve"> Rental instability correlates with adverse childhood experiences (ACEs) and negative public health outcomes.</w:t>
      </w:r>
    </w:p>
    <w:p w14:paraId="462185E8"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Systemic Inefficiencies:</w:t>
      </w:r>
      <w:r>
        <w:t xml:space="preserve"> High expenditures on Housing Court proceedings and administrative overhead.</w:t>
      </w:r>
    </w:p>
    <w:p w14:paraId="0F1AFD36" w14:textId="77777777" w:rsidR="00BB3B79" w:rsidRDefault="00BB3B79">
      <w:pPr>
        <w:pStyle w:val="Body"/>
        <w:spacing w:line="312" w:lineRule="auto"/>
      </w:pPr>
    </w:p>
    <w:p w14:paraId="1970B19F" w14:textId="77777777" w:rsidR="00BB3B79" w:rsidRDefault="004514AA">
      <w:pPr>
        <w:pStyle w:val="Body"/>
        <w:spacing w:line="312" w:lineRule="auto"/>
      </w:pPr>
      <w:r>
        <w:t>Research indicates that stable, tenant-controlled housing fosters improved public health, community investment, and economic growth.</w:t>
      </w:r>
    </w:p>
    <w:p w14:paraId="135AF2A9" w14:textId="77777777" w:rsidR="00BB3B79" w:rsidRDefault="00BB3B79">
      <w:pPr>
        <w:pStyle w:val="Body"/>
        <w:spacing w:line="312" w:lineRule="auto"/>
      </w:pPr>
    </w:p>
    <w:p w14:paraId="231C0554" w14:textId="77777777" w:rsidR="00BB3B79" w:rsidRDefault="00BB3B79">
      <w:pPr>
        <w:pStyle w:val="Body"/>
        <w:spacing w:line="312" w:lineRule="auto"/>
      </w:pPr>
    </w:p>
    <w:p w14:paraId="05052962" w14:textId="77777777" w:rsidR="00BB3B79" w:rsidRDefault="00BB3B79">
      <w:pPr>
        <w:pStyle w:val="Body"/>
        <w:spacing w:line="312" w:lineRule="auto"/>
      </w:pPr>
    </w:p>
    <w:p w14:paraId="32113B1E" w14:textId="77777777" w:rsidR="00BB3B79" w:rsidRDefault="004514AA">
      <w:pPr>
        <w:pStyle w:val="Body"/>
        <w:spacing w:line="312" w:lineRule="auto"/>
      </w:pPr>
      <w:r>
        <w:rPr>
          <w:rFonts w:ascii="Arial Unicode MS" w:eastAsia="Arial Unicode MS" w:hAnsi="Arial Unicode MS" w:cs="Arial Unicode MS"/>
        </w:rPr>
        <w:lastRenderedPageBreak/>
        <w:t>⸻</w:t>
      </w:r>
    </w:p>
    <w:p w14:paraId="5A15AF4F" w14:textId="77777777" w:rsidR="00BB3B79" w:rsidRDefault="00BB3B79">
      <w:pPr>
        <w:pStyle w:val="Heading2"/>
        <w:rPr>
          <w:rFonts w:hint="eastAsia"/>
        </w:rPr>
      </w:pPr>
    </w:p>
    <w:p w14:paraId="0CF3597F" w14:textId="77777777" w:rsidR="00BB3B79" w:rsidRDefault="004514AA">
      <w:pPr>
        <w:pStyle w:val="Heading2"/>
        <w:rPr>
          <w:rFonts w:hint="eastAsia"/>
        </w:rPr>
      </w:pPr>
      <w:r>
        <w:t>III. Policy Objectives</w:t>
      </w:r>
    </w:p>
    <w:p w14:paraId="6EBD10E9"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Empower Tenants:</w:t>
      </w:r>
      <w:r>
        <w:t xml:space="preserve"> Provide tenants the first right of refusal to purchase their subsidized housing units.</w:t>
      </w:r>
    </w:p>
    <w:p w14:paraId="663EA830"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Reallocate Subsidies:</w:t>
      </w:r>
      <w:r>
        <w:t xml:space="preserve"> Redirect rental assistance funds to financial support programs that encourage homeownership.</w:t>
      </w:r>
    </w:p>
    <w:p w14:paraId="0CC728B6"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Reduce Bureaucratic Waste:</w:t>
      </w:r>
      <w:r>
        <w:t xml:space="preserve"> Eliminate inefficiencies associated with traditional rental subsidy models.</w:t>
      </w:r>
    </w:p>
    <w:p w14:paraId="4F71777A"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proofErr w:type="spellStart"/>
      <w:r>
        <w:rPr>
          <w:b/>
          <w:bCs/>
          <w:lang w:val="pt-PT"/>
        </w:rPr>
        <w:t>Promote</w:t>
      </w:r>
      <w:proofErr w:type="spellEnd"/>
      <w:r>
        <w:rPr>
          <w:b/>
          <w:bCs/>
          <w:lang w:val="pt-PT"/>
        </w:rPr>
        <w:t xml:space="preserve"> </w:t>
      </w:r>
      <w:proofErr w:type="spellStart"/>
      <w:r>
        <w:rPr>
          <w:b/>
          <w:bCs/>
          <w:lang w:val="pt-PT"/>
        </w:rPr>
        <w:t>Equity</w:t>
      </w:r>
      <w:proofErr w:type="spellEnd"/>
      <w:r>
        <w:rPr>
          <w:b/>
          <w:bCs/>
          <w:lang w:val="pt-PT"/>
        </w:rPr>
        <w:t>:</w:t>
      </w:r>
      <w:r>
        <w:t xml:space="preserve"> Address systemic racial and economic disparities in housing access and wealth accumulation.</w:t>
      </w:r>
    </w:p>
    <w:p w14:paraId="4F016759" w14:textId="77777777" w:rsidR="00BB3B79" w:rsidRDefault="00BB3B79">
      <w:pPr>
        <w:pStyle w:val="Body"/>
        <w:spacing w:line="312" w:lineRule="auto"/>
      </w:pPr>
    </w:p>
    <w:p w14:paraId="03E6ADFB" w14:textId="77777777" w:rsidR="00BB3B79" w:rsidRDefault="004514AA">
      <w:pPr>
        <w:pStyle w:val="Body"/>
        <w:spacing w:line="312" w:lineRule="auto"/>
      </w:pPr>
      <w:r>
        <w:rPr>
          <w:rFonts w:ascii="Arial Unicode MS" w:eastAsia="Arial Unicode MS" w:hAnsi="Arial Unicode MS" w:cs="Arial Unicode MS"/>
        </w:rPr>
        <w:t>⸻</w:t>
      </w:r>
    </w:p>
    <w:p w14:paraId="43AD3832" w14:textId="77777777" w:rsidR="00BB3B79" w:rsidRDefault="004514AA">
      <w:pPr>
        <w:pStyle w:val="Heading2"/>
        <w:rPr>
          <w:rFonts w:hint="eastAsia"/>
        </w:rPr>
      </w:pPr>
      <w:r>
        <w:t>IV. Policy Proposal Details</w:t>
      </w:r>
    </w:p>
    <w:p w14:paraId="6751B0FA" w14:textId="77777777" w:rsidR="00BB3B79" w:rsidRDefault="004514AA">
      <w:pPr>
        <w:pStyle w:val="Body"/>
        <w:spacing w:line="312" w:lineRule="auto"/>
      </w:pPr>
      <w:r>
        <w:t>A. Tenant Right of First Refusal</w:t>
      </w:r>
    </w:p>
    <w:p w14:paraId="43FF465B"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Notification Requirement:</w:t>
      </w:r>
      <w:r>
        <w:t xml:space="preserve"> Owners must provide tenants and relevant city agencies with written notice 90 days prior to engaging third-party buyers.</w:t>
      </w:r>
    </w:p>
    <w:p w14:paraId="333ADB3D"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Content of Notice:</w:t>
      </w:r>
      <w:r>
        <w:t xml:space="preserve"> Must include the proposed sale price, terms, and conditions.</w:t>
      </w:r>
    </w:p>
    <w:p w14:paraId="73F98641"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Tenant Response Period:</w:t>
      </w:r>
      <w:r>
        <w:t xml:space="preserve"> Tenants have 60 days to submit a binding offer on terms equal to or better than third-party offers.</w:t>
      </w:r>
    </w:p>
    <w:p w14:paraId="46A05650"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Non-Response:</w:t>
      </w:r>
      <w:r>
        <w:t xml:space="preserve"> Owners may proceed with third-party sales if tenants decline or do not respond within the specified timeframe.</w:t>
      </w:r>
    </w:p>
    <w:p w14:paraId="101C07B8" w14:textId="77777777" w:rsidR="00BB3B79" w:rsidRDefault="00BB3B79">
      <w:pPr>
        <w:pStyle w:val="Heading2"/>
        <w:rPr>
          <w:rFonts w:hint="eastAsia"/>
        </w:rPr>
      </w:pPr>
    </w:p>
    <w:p w14:paraId="1E60CA5B" w14:textId="77777777" w:rsidR="00BB3B79" w:rsidRDefault="004514AA">
      <w:pPr>
        <w:pStyle w:val="Heading2"/>
        <w:rPr>
          <w:rFonts w:hint="eastAsia"/>
        </w:rPr>
      </w:pPr>
      <w:r>
        <w:t>B. Subsidy Reallocation &amp; Tenant Financial Assistance Program (TFAP)</w:t>
      </w:r>
    </w:p>
    <w:p w14:paraId="023FB47E"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Fund Reallocation:</w:t>
      </w:r>
      <w:r>
        <w:t xml:space="preserve"> Redirect a portion of rental subsidies to:</w:t>
      </w:r>
    </w:p>
    <w:p w14:paraId="60FBF86C"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t>Down payment assistance</w:t>
      </w:r>
    </w:p>
    <w:p w14:paraId="3D763F59"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t>Low-interest loans</w:t>
      </w:r>
    </w:p>
    <w:p w14:paraId="7C690A53"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t>Financial literacy programs</w:t>
      </w:r>
    </w:p>
    <w:p w14:paraId="64BE1FEA"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t>Legal counseling for transitioning tenants</w:t>
      </w:r>
    </w:p>
    <w:p w14:paraId="6CDB4752"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Administration:</w:t>
      </w:r>
      <w:r>
        <w:t xml:space="preserve"> Managed by NYC Department of Housing Preservation and Development (HPD) in collaboration with community-based financial organizations.</w:t>
      </w:r>
    </w:p>
    <w:p w14:paraId="334C0389"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Annual Reporting:</w:t>
      </w:r>
      <w:r>
        <w:t xml:space="preserve"> Reports to the City Council on program participation, cost savings, and ROI achieved through increased homeownership.</w:t>
      </w:r>
    </w:p>
    <w:p w14:paraId="06306415" w14:textId="77777777" w:rsidR="00BB3B79" w:rsidRDefault="00BB3B79">
      <w:pPr>
        <w:pStyle w:val="Heading2"/>
        <w:rPr>
          <w:rFonts w:hint="eastAsia"/>
        </w:rPr>
      </w:pPr>
    </w:p>
    <w:p w14:paraId="097C2DC8" w14:textId="77777777" w:rsidR="00BB3B79" w:rsidRDefault="004514AA">
      <w:pPr>
        <w:pStyle w:val="Heading2"/>
        <w:rPr>
          <w:rFonts w:hint="eastAsia"/>
        </w:rPr>
      </w:pPr>
      <w:r>
        <w:t xml:space="preserve">C. </w:t>
      </w:r>
      <w:r>
        <w:t>Enforcement and Oversight</w:t>
      </w:r>
    </w:p>
    <w:p w14:paraId="7BF51550"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proofErr w:type="spellStart"/>
      <w:r>
        <w:rPr>
          <w:b/>
          <w:bCs/>
          <w:lang w:val="es-ES_tradnl"/>
        </w:rPr>
        <w:t>Penalties</w:t>
      </w:r>
      <w:proofErr w:type="spellEnd"/>
      <w:r>
        <w:rPr>
          <w:b/>
          <w:bCs/>
          <w:lang w:val="es-ES_tradnl"/>
        </w:rPr>
        <w:t>:</w:t>
      </w:r>
      <w:r>
        <w:t xml:space="preserve"> Owners violating TOPA provisions face civil penalties and potential reimbursement obligations to affected tenants.</w:t>
      </w:r>
    </w:p>
    <w:p w14:paraId="043F9F18"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Regulatory Authority:</w:t>
      </w:r>
      <w:r>
        <w:t xml:space="preserve"> The </w:t>
      </w:r>
      <w:proofErr w:type="gramStart"/>
      <w:r>
        <w:t>Mayor</w:t>
      </w:r>
      <w:proofErr w:type="gramEnd"/>
      <w:r>
        <w:t>, in consultation with HPD, will establish regulations for implementation.</w:t>
      </w:r>
    </w:p>
    <w:p w14:paraId="17C706F5"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Independent Oversight Committee:</w:t>
      </w:r>
      <w:r>
        <w:t xml:space="preserve"> To evaluate the law</w:t>
      </w:r>
      <w:r>
        <w:rPr>
          <w:rtl/>
        </w:rPr>
        <w:t>’</w:t>
      </w:r>
      <w:r>
        <w:t>s long-term economic and community health impacts.</w:t>
      </w:r>
    </w:p>
    <w:p w14:paraId="49629110" w14:textId="77777777" w:rsidR="00BB3B79" w:rsidRDefault="00BB3B79">
      <w:pPr>
        <w:pStyle w:val="Body"/>
        <w:spacing w:line="312" w:lineRule="auto"/>
      </w:pPr>
    </w:p>
    <w:p w14:paraId="6563E528" w14:textId="77777777" w:rsidR="00BB3B79" w:rsidRDefault="004514AA">
      <w:pPr>
        <w:pStyle w:val="Body"/>
        <w:spacing w:line="312" w:lineRule="auto"/>
      </w:pPr>
      <w:r>
        <w:rPr>
          <w:rFonts w:ascii="Arial Unicode MS" w:eastAsia="Arial Unicode MS" w:hAnsi="Arial Unicode MS" w:cs="Arial Unicode MS"/>
        </w:rPr>
        <w:t>⸻</w:t>
      </w:r>
    </w:p>
    <w:p w14:paraId="445B2146" w14:textId="77777777" w:rsidR="00BB3B79" w:rsidRDefault="004514AA">
      <w:pPr>
        <w:pStyle w:val="Heading2"/>
        <w:rPr>
          <w:rFonts w:hint="eastAsia"/>
        </w:rPr>
      </w:pPr>
      <w:r>
        <w:t>V. Financial and Economic Impact</w:t>
      </w:r>
    </w:p>
    <w:p w14:paraId="771849ED"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Potential Savings:</w:t>
      </w:r>
      <w:r>
        <w:t xml:space="preserve"> Reduction in Housing Court costs estimated at $30</w:t>
      </w:r>
      <w:r>
        <w:t>–</w:t>
      </w:r>
      <w:r>
        <w:t>45 million annually.</w:t>
      </w:r>
    </w:p>
    <w:p w14:paraId="79D8FE95"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Increased ROI:</w:t>
      </w:r>
      <w:r>
        <w:t xml:space="preserve"> Transition from rental subsidies to investments in home equity, leading to long-term fiscal benefits.</w:t>
      </w:r>
    </w:p>
    <w:p w14:paraId="14AB9324"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Community Wealth Building:</w:t>
      </w:r>
      <w:r>
        <w:t xml:space="preserve"> Enhanced neighborhood stability and economic growth through increased homeownership.</w:t>
      </w:r>
    </w:p>
    <w:p w14:paraId="15388D0B" w14:textId="77777777" w:rsidR="00BB3B79" w:rsidRDefault="00BB3B79">
      <w:pPr>
        <w:pStyle w:val="Body"/>
        <w:spacing w:line="312" w:lineRule="auto"/>
      </w:pPr>
    </w:p>
    <w:p w14:paraId="3587A4FB" w14:textId="77777777" w:rsidR="00BB3B79" w:rsidRDefault="004514AA">
      <w:pPr>
        <w:pStyle w:val="Body"/>
        <w:spacing w:line="312" w:lineRule="auto"/>
      </w:pPr>
      <w:r>
        <w:rPr>
          <w:rFonts w:ascii="Arial Unicode MS" w:eastAsia="Arial Unicode MS" w:hAnsi="Arial Unicode MS" w:cs="Arial Unicode MS"/>
        </w:rPr>
        <w:t>⸻</w:t>
      </w:r>
    </w:p>
    <w:p w14:paraId="2FD0FDB0" w14:textId="77777777" w:rsidR="00BB3B79" w:rsidRDefault="004514AA">
      <w:pPr>
        <w:pStyle w:val="Heading2"/>
        <w:rPr>
          <w:rFonts w:hint="eastAsia"/>
        </w:rPr>
      </w:pPr>
      <w:r>
        <w:rPr>
          <w:lang w:val="de-DE"/>
        </w:rPr>
        <w:t>VI. Implementation Plan</w:t>
      </w:r>
    </w:p>
    <w:p w14:paraId="7FA10DDE"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Effective Date:</w:t>
      </w:r>
      <w:r>
        <w:t xml:space="preserve"> 120 days after passage.</w:t>
      </w:r>
    </w:p>
    <w:p w14:paraId="609E020C"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Phased Rollout:</w:t>
      </w:r>
      <w:r>
        <w:t xml:space="preserve"> Pilot programs, stakeholder engagement, and regulatory adjustments within 90 days of effective date.</w:t>
      </w:r>
    </w:p>
    <w:p w14:paraId="28C15EB4"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rPr>
          <w:b/>
          <w:bCs/>
        </w:rPr>
      </w:pPr>
      <w:r>
        <w:rPr>
          <w:b/>
          <w:bCs/>
          <w:lang w:val="da-DK"/>
        </w:rPr>
        <w:t>Timeline:</w:t>
      </w:r>
    </w:p>
    <w:p w14:paraId="1D5AD8CA"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lang w:val="it-IT"/>
        </w:rPr>
        <w:t>Immediate (1</w:t>
      </w:r>
      <w:r>
        <w:rPr>
          <w:b/>
          <w:bCs/>
        </w:rPr>
        <w:t>–</w:t>
      </w:r>
      <w:r>
        <w:rPr>
          <w:b/>
          <w:bCs/>
        </w:rPr>
        <w:t>3 years):</w:t>
      </w:r>
      <w:r>
        <w:t xml:space="preserve"> Pilot programs and stakeholder partnerships.</w:t>
      </w:r>
    </w:p>
    <w:p w14:paraId="413B761B"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proofErr w:type="spellStart"/>
      <w:r>
        <w:rPr>
          <w:b/>
          <w:bCs/>
          <w:lang w:val="nl-NL"/>
        </w:rPr>
        <w:t>Mid</w:t>
      </w:r>
      <w:proofErr w:type="spellEnd"/>
      <w:r>
        <w:rPr>
          <w:b/>
          <w:bCs/>
          <w:lang w:val="nl-NL"/>
        </w:rPr>
        <w:t>-Term (3</w:t>
      </w:r>
      <w:r>
        <w:rPr>
          <w:b/>
          <w:bCs/>
        </w:rPr>
        <w:t>–</w:t>
      </w:r>
      <w:r>
        <w:rPr>
          <w:b/>
          <w:bCs/>
        </w:rPr>
        <w:t>7 years):</w:t>
      </w:r>
      <w:r>
        <w:t xml:space="preserve"> Program expansion and policy refinement.</w:t>
      </w:r>
    </w:p>
    <w:p w14:paraId="212EB08B" w14:textId="77777777" w:rsidR="00BB3B79" w:rsidRDefault="004514AA">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line="312" w:lineRule="auto"/>
      </w:pPr>
      <w:r>
        <w:rPr>
          <w:b/>
          <w:bCs/>
        </w:rPr>
        <w:t>Long-Term (7</w:t>
      </w:r>
      <w:r>
        <w:rPr>
          <w:b/>
          <w:bCs/>
        </w:rPr>
        <w:t>–</w:t>
      </w:r>
      <w:r>
        <w:rPr>
          <w:b/>
          <w:bCs/>
        </w:rPr>
        <w:t>15 years):</w:t>
      </w:r>
      <w:r>
        <w:t xml:space="preserve"> Full integration and impact evaluation.</w:t>
      </w:r>
    </w:p>
    <w:p w14:paraId="173789F5" w14:textId="77777777" w:rsidR="00BB3B79" w:rsidRDefault="00BB3B79">
      <w:pPr>
        <w:pStyle w:val="Body"/>
        <w:spacing w:line="312" w:lineRule="auto"/>
      </w:pPr>
    </w:p>
    <w:p w14:paraId="48B43E17" w14:textId="77777777" w:rsidR="00BB3B79" w:rsidRDefault="004514AA">
      <w:pPr>
        <w:pStyle w:val="Body"/>
        <w:spacing w:line="312" w:lineRule="auto"/>
      </w:pPr>
      <w:r>
        <w:rPr>
          <w:rFonts w:ascii="Arial Unicode MS" w:eastAsia="Arial Unicode MS" w:hAnsi="Arial Unicode MS" w:cs="Arial Unicode MS"/>
        </w:rPr>
        <w:t>⸻</w:t>
      </w:r>
    </w:p>
    <w:p w14:paraId="45BEDA23" w14:textId="77777777" w:rsidR="00BB3B79" w:rsidRDefault="004514AA">
      <w:pPr>
        <w:pStyle w:val="Heading2"/>
        <w:rPr>
          <w:rFonts w:hint="eastAsia"/>
        </w:rPr>
      </w:pPr>
      <w:r>
        <w:t>VII. Conclusion and Call to Action</w:t>
      </w:r>
    </w:p>
    <w:p w14:paraId="45C34C21" w14:textId="77777777" w:rsidR="00BB3B79" w:rsidRDefault="004514AA">
      <w:pPr>
        <w:pStyle w:val="Body"/>
        <w:spacing w:line="312" w:lineRule="auto"/>
      </w:pPr>
      <w:r>
        <w:t>The TOPA initiative represents a transformative shift in New York City</w:t>
      </w:r>
      <w:r>
        <w:rPr>
          <w:rtl/>
        </w:rPr>
        <w:t>’</w:t>
      </w:r>
      <w:r>
        <w:t>s housing policy. By reallocating subsidies toward homeownership and providing tenants with the right to purchase their homes, the City can foster equity, reduce dependency on rental assistance, and build sustainable community wealth.</w:t>
      </w:r>
    </w:p>
    <w:p w14:paraId="704C588A" w14:textId="77777777" w:rsidR="00BB3B79" w:rsidRDefault="00BB3B79">
      <w:pPr>
        <w:pStyle w:val="Body"/>
        <w:spacing w:line="312" w:lineRule="auto"/>
      </w:pPr>
    </w:p>
    <w:p w14:paraId="3BED9C12" w14:textId="77777777" w:rsidR="00BB3B79" w:rsidRDefault="00BB3B79">
      <w:pPr>
        <w:pStyle w:val="Body"/>
        <w:spacing w:line="312" w:lineRule="auto"/>
        <w:rPr>
          <w:b/>
          <w:bCs/>
        </w:rPr>
      </w:pPr>
    </w:p>
    <w:p w14:paraId="258934A2" w14:textId="77777777" w:rsidR="00BB3B79" w:rsidRDefault="004514AA">
      <w:pPr>
        <w:pStyle w:val="Body"/>
        <w:spacing w:line="312" w:lineRule="auto"/>
        <w:rPr>
          <w:b/>
          <w:bCs/>
        </w:rPr>
      </w:pPr>
      <w:r>
        <w:rPr>
          <w:b/>
          <w:bCs/>
        </w:rPr>
        <w:t>U</w:t>
      </w:r>
      <w:r>
        <w:rPr>
          <w:b/>
          <w:bCs/>
        </w:rPr>
        <w:t>rg</w:t>
      </w:r>
      <w:r>
        <w:rPr>
          <w:b/>
          <w:bCs/>
        </w:rPr>
        <w:t>ing stakeholders and policymakers to support this legislation, participate in public consultations, and champion tenant empowerment across New York City.</w:t>
      </w:r>
    </w:p>
    <w:p w14:paraId="1BB4F961" w14:textId="77777777" w:rsidR="00BB3B79" w:rsidRDefault="00BB3B79">
      <w:pPr>
        <w:pStyle w:val="Body"/>
        <w:spacing w:line="312" w:lineRule="auto"/>
      </w:pPr>
    </w:p>
    <w:p w14:paraId="08CFBF81" w14:textId="77777777" w:rsidR="00BB3B79" w:rsidRDefault="004514AA">
      <w:pPr>
        <w:pStyle w:val="Body"/>
        <w:spacing w:line="312" w:lineRule="auto"/>
      </w:pPr>
      <w:r>
        <w:t>Legislative Draft (Word Format)</w:t>
      </w:r>
    </w:p>
    <w:p w14:paraId="24F2735C" w14:textId="77777777" w:rsidR="00BB3B79" w:rsidRDefault="00BB3B79">
      <w:pPr>
        <w:pStyle w:val="Body"/>
        <w:spacing w:line="312" w:lineRule="auto"/>
      </w:pPr>
    </w:p>
    <w:p w14:paraId="04404C72" w14:textId="77777777" w:rsidR="00BB3B79" w:rsidRDefault="004514AA">
      <w:pPr>
        <w:pStyle w:val="Body"/>
        <w:spacing w:line="312" w:lineRule="auto"/>
      </w:pPr>
      <w:r>
        <w:rPr>
          <w:lang w:val="es-ES_tradnl"/>
        </w:rPr>
        <w:t>A DRAFT LOCAL LAW</w:t>
      </w:r>
    </w:p>
    <w:p w14:paraId="31C1517C" w14:textId="77777777" w:rsidR="00BB3B79" w:rsidRDefault="004514AA">
      <w:pPr>
        <w:pStyle w:val="Body"/>
        <w:spacing w:line="312" w:lineRule="auto"/>
      </w:pPr>
      <w:r>
        <w:t>To amend the Administrative Code of the City of New York in relation to the creation of a Tenant Opportunity to Purchase Act (TOPA) for Subsidized Housing</w:t>
      </w:r>
    </w:p>
    <w:p w14:paraId="605FD1FE" w14:textId="77777777" w:rsidR="00BB3B79" w:rsidRDefault="00BB3B79">
      <w:pPr>
        <w:pStyle w:val="Body"/>
        <w:spacing w:line="312" w:lineRule="auto"/>
      </w:pPr>
    </w:p>
    <w:p w14:paraId="5707F635" w14:textId="77777777" w:rsidR="00BB3B79" w:rsidRDefault="004514AA">
      <w:pPr>
        <w:pStyle w:val="Body"/>
        <w:spacing w:line="312" w:lineRule="auto"/>
      </w:pPr>
      <w:r>
        <w:t>Section 1. Title and Purpose.</w:t>
      </w:r>
    </w:p>
    <w:p w14:paraId="677D2F89" w14:textId="77777777" w:rsidR="00BB3B79" w:rsidRDefault="004514AA">
      <w:pPr>
        <w:pStyle w:val="Body"/>
        <w:spacing w:line="312" w:lineRule="auto"/>
      </w:pPr>
      <w:r>
        <w:t xml:space="preserve">(a) Short Title. </w:t>
      </w:r>
      <w:r>
        <w:t xml:space="preserve">– </w:t>
      </w:r>
      <w:r>
        <w:t xml:space="preserve">This local law shall be known as the </w:t>
      </w:r>
      <w:r>
        <w:rPr>
          <w:rtl/>
          <w:lang w:val="ar-SA"/>
        </w:rPr>
        <w:t>“</w:t>
      </w:r>
      <w:r>
        <w:t>Tenant Opportunity to Purchase Act of New York City.</w:t>
      </w:r>
      <w:r>
        <w:t>”</w:t>
      </w:r>
    </w:p>
    <w:p w14:paraId="48958445" w14:textId="77777777" w:rsidR="00BB3B79" w:rsidRDefault="004514AA">
      <w:pPr>
        <w:pStyle w:val="Body"/>
        <w:spacing w:line="312" w:lineRule="auto"/>
      </w:pPr>
      <w:r>
        <w:t xml:space="preserve">(b) Findings and Purpose. </w:t>
      </w:r>
      <w:r>
        <w:t xml:space="preserve">– </w:t>
      </w:r>
      <w:r>
        <w:t>The Council finds that:</w:t>
      </w:r>
    </w:p>
    <w:p w14:paraId="2B001B51" w14:textId="77777777" w:rsidR="00BB3B79" w:rsidRDefault="004514AA">
      <w:pPr>
        <w:pStyle w:val="Body"/>
        <w:spacing w:line="312" w:lineRule="auto"/>
      </w:pPr>
      <w:r>
        <w:tab/>
        <w:t>1.</w:t>
      </w:r>
      <w:r>
        <w:tab/>
        <w:t xml:space="preserve">New </w:t>
      </w:r>
      <w:r>
        <w:t>York City allocates billions annually in rental subsidies that deliver little to no return in terms of long-term wealth accumulation and neighborhood stability.</w:t>
      </w:r>
    </w:p>
    <w:p w14:paraId="3E24BA82" w14:textId="77777777" w:rsidR="00BB3B79" w:rsidRDefault="004514AA">
      <w:pPr>
        <w:pStyle w:val="Body"/>
        <w:spacing w:line="312" w:lineRule="auto"/>
      </w:pPr>
      <w:r>
        <w:tab/>
        <w:t>2.</w:t>
      </w:r>
      <w:r>
        <w:tab/>
        <w:t>The current system perpetuates dependency, wastes resources, and fails to address the inherent racial and economic inequities embedded in the housing market.</w:t>
      </w:r>
    </w:p>
    <w:p w14:paraId="2213DD07" w14:textId="77777777" w:rsidR="00BB3B79" w:rsidRDefault="004514AA">
      <w:pPr>
        <w:pStyle w:val="Body"/>
        <w:spacing w:line="312" w:lineRule="auto"/>
      </w:pPr>
      <w:r>
        <w:tab/>
        <w:t>3.</w:t>
      </w:r>
      <w:r>
        <w:tab/>
        <w:t>Research indicates that stable, tenant-controlled housing positively influences public health, reduces adverse childhood experiences, and generates long-term economic growth.</w:t>
      </w:r>
    </w:p>
    <w:p w14:paraId="6F131A2D" w14:textId="77777777" w:rsidR="00BB3B79" w:rsidRDefault="004514AA">
      <w:pPr>
        <w:pStyle w:val="Body"/>
        <w:spacing w:line="312" w:lineRule="auto"/>
      </w:pPr>
      <w:r>
        <w:tab/>
        <w:t>4.</w:t>
      </w:r>
      <w:r>
        <w:tab/>
        <w:t>A restructured system that supports tenant ownership—in a form that maximizes subsidies, incentives, and transitional supports—would create sustainable wealth and community investment while reducing bureaucratic waste.</w:t>
      </w:r>
    </w:p>
    <w:p w14:paraId="4AE018DF" w14:textId="77777777" w:rsidR="00BB3B79" w:rsidRDefault="004514AA">
      <w:pPr>
        <w:pStyle w:val="Body"/>
        <w:spacing w:line="312" w:lineRule="auto"/>
      </w:pPr>
      <w:r>
        <w:t xml:space="preserve">(c) Purpose. </w:t>
      </w:r>
      <w:r>
        <w:t xml:space="preserve">– </w:t>
      </w:r>
      <w:r>
        <w:t>The purpose of this law is to (</w:t>
      </w:r>
      <w:proofErr w:type="spellStart"/>
      <w:r>
        <w:t>i</w:t>
      </w:r>
      <w:proofErr w:type="spellEnd"/>
      <w:r>
        <w:t>) provide eligible tenant households with a first right of refusal to purchase their subsidized housing units when the owner opts to sell, and (ii) reallocate subsidy funds from rental assistance programs toward tenant financial support programs that encourage ownership transitions.</w:t>
      </w:r>
    </w:p>
    <w:p w14:paraId="12270BD7" w14:textId="77777777" w:rsidR="00BB3B79" w:rsidRDefault="00BB3B79">
      <w:pPr>
        <w:pStyle w:val="Body"/>
        <w:spacing w:line="312" w:lineRule="auto"/>
      </w:pPr>
    </w:p>
    <w:p w14:paraId="7EFDEF00" w14:textId="77777777" w:rsidR="00BB3B79" w:rsidRDefault="004514AA">
      <w:pPr>
        <w:pStyle w:val="Body"/>
        <w:spacing w:line="312" w:lineRule="auto"/>
      </w:pPr>
      <w:r>
        <w:rPr>
          <w:lang w:val="fr-FR"/>
        </w:rPr>
        <w:t xml:space="preserve">Section 2. </w:t>
      </w:r>
      <w:proofErr w:type="spellStart"/>
      <w:r>
        <w:rPr>
          <w:lang w:val="fr-FR"/>
        </w:rPr>
        <w:t>Definitions</w:t>
      </w:r>
      <w:proofErr w:type="spellEnd"/>
      <w:r>
        <w:rPr>
          <w:lang w:val="fr-FR"/>
        </w:rPr>
        <w:t>.</w:t>
      </w:r>
    </w:p>
    <w:p w14:paraId="6EC6C02B" w14:textId="77777777" w:rsidR="00BB3B79" w:rsidRDefault="004514AA">
      <w:pPr>
        <w:pStyle w:val="Body"/>
        <w:spacing w:line="312" w:lineRule="auto"/>
      </w:pPr>
      <w:r>
        <w:t>For purposes of this law:</w:t>
      </w:r>
    </w:p>
    <w:p w14:paraId="59C7247C" w14:textId="77777777" w:rsidR="00BB3B79" w:rsidRDefault="004514AA">
      <w:pPr>
        <w:pStyle w:val="Body"/>
        <w:spacing w:line="312" w:lineRule="auto"/>
      </w:pPr>
      <w:r>
        <w:t xml:space="preserve">(a) </w:t>
      </w:r>
      <w:r>
        <w:rPr>
          <w:rtl/>
          <w:lang w:val="ar-SA"/>
        </w:rPr>
        <w:t>“</w:t>
      </w:r>
      <w:r>
        <w:rPr>
          <w:lang w:val="fr-FR"/>
        </w:rPr>
        <w:t>Tenant</w:t>
      </w:r>
      <w:r>
        <w:t xml:space="preserve">” </w:t>
      </w:r>
      <w:r>
        <w:t>means any resident occupying a housing unit that is subsidized, whether through public housing, Section 8 vouchers, or locally administered affordable housing programs.</w:t>
      </w:r>
    </w:p>
    <w:p w14:paraId="47CF946B" w14:textId="77777777" w:rsidR="00BB3B79" w:rsidRDefault="004514AA">
      <w:pPr>
        <w:pStyle w:val="Body"/>
        <w:spacing w:line="312" w:lineRule="auto"/>
      </w:pPr>
      <w:r>
        <w:t xml:space="preserve">(b) </w:t>
      </w:r>
      <w:r>
        <w:rPr>
          <w:rtl/>
          <w:lang w:val="ar-SA"/>
        </w:rPr>
        <w:t>“</w:t>
      </w:r>
      <w:r>
        <w:t>Eligible Unit</w:t>
      </w:r>
      <w:r>
        <w:t xml:space="preserve">” </w:t>
      </w:r>
      <w:r>
        <w:t>means a rental unit that is subject to a government subsidy and maintained under the current affordable housing program.</w:t>
      </w:r>
    </w:p>
    <w:p w14:paraId="017DB1E1" w14:textId="77777777" w:rsidR="00BB3B79" w:rsidRDefault="004514AA">
      <w:pPr>
        <w:pStyle w:val="Body"/>
        <w:spacing w:line="312" w:lineRule="auto"/>
      </w:pPr>
      <w:r>
        <w:t xml:space="preserve">(c) </w:t>
      </w:r>
      <w:r>
        <w:rPr>
          <w:rtl/>
          <w:lang w:val="ar-SA"/>
        </w:rPr>
        <w:t>“</w:t>
      </w:r>
      <w:r>
        <w:t>Owner</w:t>
      </w:r>
      <w:r>
        <w:t xml:space="preserve">” </w:t>
      </w:r>
      <w:r>
        <w:t>includes any person or entity with a legal title to an Eligible Unit.</w:t>
      </w:r>
    </w:p>
    <w:p w14:paraId="4E1DB285" w14:textId="77777777" w:rsidR="00BB3B79" w:rsidRDefault="00BB3B79">
      <w:pPr>
        <w:pStyle w:val="Body"/>
        <w:spacing w:line="312" w:lineRule="auto"/>
      </w:pPr>
    </w:p>
    <w:p w14:paraId="6456717B" w14:textId="77777777" w:rsidR="00BB3B79" w:rsidRDefault="00BB3B79">
      <w:pPr>
        <w:pStyle w:val="Body"/>
        <w:spacing w:line="312" w:lineRule="auto"/>
      </w:pPr>
    </w:p>
    <w:p w14:paraId="634C66D4" w14:textId="77777777" w:rsidR="00BB3B79" w:rsidRDefault="004514AA">
      <w:pPr>
        <w:pStyle w:val="Body"/>
        <w:spacing w:line="312" w:lineRule="auto"/>
      </w:pPr>
      <w:r>
        <w:t xml:space="preserve">(d) </w:t>
      </w:r>
      <w:r>
        <w:rPr>
          <w:rtl/>
          <w:lang w:val="ar-SA"/>
        </w:rPr>
        <w:t>“</w:t>
      </w:r>
      <w:r>
        <w:t xml:space="preserve">Tenant </w:t>
      </w:r>
      <w:r>
        <w:t>Opportunity to Purchase</w:t>
      </w:r>
      <w:r>
        <w:t xml:space="preserve">” or </w:t>
      </w:r>
      <w:r>
        <w:rPr>
          <w:rtl/>
          <w:lang w:val="ar-SA"/>
        </w:rPr>
        <w:t>“</w:t>
      </w:r>
      <w:r>
        <w:t xml:space="preserve">TOPA” </w:t>
      </w:r>
      <w:r>
        <w:t>means the statutory right provided under this law, which requires that if the Owner elects to sell an Eligible Unit, the Tenant(s) be given the first opportunity to purchase such unit on terms no less favorable than those offered to any third party.</w:t>
      </w:r>
    </w:p>
    <w:p w14:paraId="0511C97B" w14:textId="77777777" w:rsidR="00BB3B79" w:rsidRDefault="00BB3B79">
      <w:pPr>
        <w:pStyle w:val="Body"/>
        <w:spacing w:line="312" w:lineRule="auto"/>
      </w:pPr>
    </w:p>
    <w:p w14:paraId="166B2DD5" w14:textId="77777777" w:rsidR="00BB3B79" w:rsidRDefault="004514AA">
      <w:pPr>
        <w:pStyle w:val="Body"/>
        <w:spacing w:line="312" w:lineRule="auto"/>
      </w:pPr>
      <w:r>
        <w:t>Section 3. Tenant Right of First Refusal.</w:t>
      </w:r>
    </w:p>
    <w:p w14:paraId="28C9F60F" w14:textId="77777777" w:rsidR="00BB3B79" w:rsidRDefault="004514AA">
      <w:pPr>
        <w:pStyle w:val="Body"/>
        <w:spacing w:line="312" w:lineRule="auto"/>
      </w:pPr>
      <w:r>
        <w:t>(a) When an Owner determines that an Eligible Unit is to be sold—whether in its entirety or in part—the Owner must provide written notice to the Tenant(s) and the relevant City agency at least 90 days in advance of any contract negotiations with third-party buyers.</w:t>
      </w:r>
    </w:p>
    <w:p w14:paraId="66F16155" w14:textId="77777777" w:rsidR="00BB3B79" w:rsidRDefault="004514AA">
      <w:pPr>
        <w:pStyle w:val="Body"/>
        <w:spacing w:line="312" w:lineRule="auto"/>
      </w:pPr>
      <w:r>
        <w:t>(b) Such notice shall include the proposed price, terms, and conditions of the sale; and must inform Tenant(s) of their right, but not obligation, to purchase the unit.</w:t>
      </w:r>
    </w:p>
    <w:p w14:paraId="552FE972" w14:textId="77777777" w:rsidR="00BB3B79" w:rsidRDefault="004514AA">
      <w:pPr>
        <w:pStyle w:val="Body"/>
        <w:spacing w:line="312" w:lineRule="auto"/>
      </w:pPr>
      <w:r>
        <w:t>(c) The Tenant(s) shall have 60 days from receipt of notice to exercise their TOPA by submitting a binding offer equal to or exceeding the terms offered to third parties.</w:t>
      </w:r>
    </w:p>
    <w:p w14:paraId="2A1BA603" w14:textId="77777777" w:rsidR="00BB3B79" w:rsidRDefault="004514AA">
      <w:pPr>
        <w:pStyle w:val="Body"/>
        <w:spacing w:line="312" w:lineRule="auto"/>
      </w:pPr>
      <w:r>
        <w:t>(d) In the event the Tenant(s) decline or fail to respond within the allotted time, the Owner may proceed with a sale to a third party under the stated terms.</w:t>
      </w:r>
    </w:p>
    <w:p w14:paraId="01BC94A4" w14:textId="77777777" w:rsidR="00BB3B79" w:rsidRDefault="00BB3B79">
      <w:pPr>
        <w:pStyle w:val="Body"/>
        <w:spacing w:line="312" w:lineRule="auto"/>
      </w:pPr>
    </w:p>
    <w:p w14:paraId="3A9EF8FF" w14:textId="77777777" w:rsidR="00BB3B79" w:rsidRDefault="004514AA">
      <w:pPr>
        <w:pStyle w:val="Body"/>
        <w:spacing w:line="312" w:lineRule="auto"/>
      </w:pPr>
      <w:r>
        <w:t>Section 4. Subsidy Reallocation and Financial Assistance Program.</w:t>
      </w:r>
    </w:p>
    <w:p w14:paraId="7FC328ED" w14:textId="77777777" w:rsidR="00BB3B79" w:rsidRDefault="004514AA">
      <w:pPr>
        <w:pStyle w:val="Body"/>
        <w:spacing w:line="312" w:lineRule="auto"/>
      </w:pPr>
      <w:r>
        <w:t>(a) The City shall reallocate a portion of existing rental subsidy funds (previously designated for maintenance of rental assistance programs) to establish a Tenant Financial Assistance Program (TFAP) that supports:</w:t>
      </w:r>
    </w:p>
    <w:p w14:paraId="7D05F837" w14:textId="77777777" w:rsidR="00BB3B79" w:rsidRDefault="004514AA">
      <w:pPr>
        <w:pStyle w:val="Body"/>
        <w:spacing w:line="312" w:lineRule="auto"/>
      </w:pPr>
      <w:r>
        <w:tab/>
        <w:t>1.</w:t>
      </w:r>
      <w:r>
        <w:tab/>
        <w:t>Down payment assistance and low</w:t>
      </w:r>
      <w:r>
        <w:t>‐</w:t>
      </w:r>
      <w:r>
        <w:t>interest loans for eligible Tenant(s).</w:t>
      </w:r>
    </w:p>
    <w:p w14:paraId="69105A60" w14:textId="77777777" w:rsidR="00BB3B79" w:rsidRDefault="004514AA">
      <w:pPr>
        <w:pStyle w:val="Body"/>
        <w:spacing w:line="312" w:lineRule="auto"/>
      </w:pPr>
      <w:r>
        <w:tab/>
        <w:t>2.</w:t>
      </w:r>
      <w:r>
        <w:tab/>
        <w:t>Financial literacy, maintenance support, and legal counseling for transitioning tenants.</w:t>
      </w:r>
    </w:p>
    <w:p w14:paraId="33681394" w14:textId="77777777" w:rsidR="00BB3B79" w:rsidRDefault="004514AA">
      <w:pPr>
        <w:pStyle w:val="Body"/>
        <w:spacing w:line="312" w:lineRule="auto"/>
      </w:pPr>
      <w:r>
        <w:t>(b) The TFAP shall be administered by the New York City Department of Housing Preservation and Development (HPD) in conjunction with community-based financial services organizations.</w:t>
      </w:r>
    </w:p>
    <w:p w14:paraId="3AC3F486" w14:textId="77777777" w:rsidR="00BB3B79" w:rsidRDefault="004514AA">
      <w:pPr>
        <w:pStyle w:val="Body"/>
        <w:spacing w:line="312" w:lineRule="auto"/>
      </w:pPr>
      <w:r>
        <w:t xml:space="preserve">(c) Annual reports shall be submitted to the City Council </w:t>
      </w:r>
      <w:r>
        <w:t>detailing program participation, cost savings from reduced court expenditures, and estimated return on investment (ROI) achieved through increased tenant equity and decreased dependence on traditional rental subsidies.</w:t>
      </w:r>
    </w:p>
    <w:p w14:paraId="0A8897C4" w14:textId="77777777" w:rsidR="00BB3B79" w:rsidRDefault="00BB3B79">
      <w:pPr>
        <w:pStyle w:val="Body"/>
        <w:spacing w:line="312" w:lineRule="auto"/>
      </w:pPr>
    </w:p>
    <w:p w14:paraId="353300F0" w14:textId="77777777" w:rsidR="00BB3B79" w:rsidRDefault="004514AA">
      <w:pPr>
        <w:pStyle w:val="Body"/>
        <w:spacing w:line="312" w:lineRule="auto"/>
      </w:pPr>
      <w:r>
        <w:t>Section 5. Enforcement and Administrative Provisions.</w:t>
      </w:r>
    </w:p>
    <w:p w14:paraId="00B7BCA6" w14:textId="77777777" w:rsidR="00BB3B79" w:rsidRDefault="004514AA">
      <w:pPr>
        <w:pStyle w:val="Body"/>
        <w:spacing w:line="312" w:lineRule="auto"/>
      </w:pPr>
      <w:r>
        <w:t>(a) Any Owner who fails to comply with the provisions of this law shall be subject to civil penalties as determined by the City and may be required to reimburse Tenant(s) for any financial loss incurred from the denial of TOPA.</w:t>
      </w:r>
    </w:p>
    <w:p w14:paraId="23CCEE65" w14:textId="77777777" w:rsidR="00BB3B79" w:rsidRDefault="00BB3B79">
      <w:pPr>
        <w:pStyle w:val="Body"/>
        <w:spacing w:line="312" w:lineRule="auto"/>
      </w:pPr>
    </w:p>
    <w:p w14:paraId="07E2541D" w14:textId="77777777" w:rsidR="00BB3B79" w:rsidRDefault="00BB3B79">
      <w:pPr>
        <w:pStyle w:val="Body"/>
        <w:spacing w:line="312" w:lineRule="auto"/>
      </w:pPr>
    </w:p>
    <w:p w14:paraId="10C19D17" w14:textId="77777777" w:rsidR="00BB3B79" w:rsidRDefault="00BB3B79">
      <w:pPr>
        <w:pStyle w:val="Body"/>
        <w:spacing w:line="312" w:lineRule="auto"/>
      </w:pPr>
    </w:p>
    <w:p w14:paraId="6EB42E31" w14:textId="77777777" w:rsidR="00BB3B79" w:rsidRDefault="00BB3B79">
      <w:pPr>
        <w:pStyle w:val="Body"/>
        <w:spacing w:line="312" w:lineRule="auto"/>
      </w:pPr>
    </w:p>
    <w:p w14:paraId="115D0427" w14:textId="77777777" w:rsidR="00BB3B79" w:rsidRDefault="004514AA">
      <w:pPr>
        <w:pStyle w:val="Body"/>
        <w:spacing w:line="312" w:lineRule="auto"/>
      </w:pPr>
      <w:r>
        <w:t xml:space="preserve">(b) The </w:t>
      </w:r>
      <w:proofErr w:type="gramStart"/>
      <w:r>
        <w:t>Mayor</w:t>
      </w:r>
      <w:proofErr w:type="gramEnd"/>
      <w:r>
        <w:t>, in consultation with HPD and other relevant agencies, shall promulgate rules and regulations necessary for the efficient implementation of this law, including dispute resolution procedures and documentation standards.</w:t>
      </w:r>
    </w:p>
    <w:p w14:paraId="38750F14" w14:textId="77777777" w:rsidR="00BB3B79" w:rsidRDefault="004514AA">
      <w:pPr>
        <w:pStyle w:val="Body"/>
        <w:spacing w:line="312" w:lineRule="auto"/>
      </w:pPr>
      <w:r>
        <w:t>(c) The law shall be subject to review and evaluation by an independent oversight committee established by the City Council to measure the long-term economic and community health impacts of the reallocated subsidy funds.</w:t>
      </w:r>
    </w:p>
    <w:p w14:paraId="7DD053F8" w14:textId="77777777" w:rsidR="00BB3B79" w:rsidRDefault="00BB3B79">
      <w:pPr>
        <w:pStyle w:val="Body"/>
        <w:spacing w:line="312" w:lineRule="auto"/>
      </w:pPr>
    </w:p>
    <w:p w14:paraId="3C324BE7" w14:textId="77777777" w:rsidR="00BB3B79" w:rsidRDefault="004514AA">
      <w:pPr>
        <w:pStyle w:val="Body"/>
        <w:spacing w:line="312" w:lineRule="auto"/>
      </w:pPr>
      <w:r>
        <w:t>Section 6. Effective Date.</w:t>
      </w:r>
    </w:p>
    <w:p w14:paraId="7096ABAA" w14:textId="77777777" w:rsidR="00BB3B79" w:rsidRDefault="004514AA">
      <w:pPr>
        <w:pStyle w:val="Body"/>
        <w:spacing w:line="312" w:lineRule="auto"/>
      </w:pPr>
      <w:r>
        <w:t xml:space="preserve">This local law shall take effect 120 days after its passage and publication, with phased implementation guidelines to be set by the </w:t>
      </w:r>
      <w:proofErr w:type="gramStart"/>
      <w:r>
        <w:t>Mayor</w:t>
      </w:r>
      <w:proofErr w:type="gramEnd"/>
      <w:r>
        <w:t xml:space="preserve"> within 90 days of the effective date.</w:t>
      </w:r>
    </w:p>
    <w:p w14:paraId="5F449549" w14:textId="77777777" w:rsidR="00BB3B79" w:rsidRDefault="00BB3B79">
      <w:pPr>
        <w:pStyle w:val="Body"/>
        <w:spacing w:line="312" w:lineRule="auto"/>
      </w:pPr>
    </w:p>
    <w:p w14:paraId="65200D60" w14:textId="77777777" w:rsidR="00BB3B79" w:rsidRDefault="00BB3B79">
      <w:pPr>
        <w:pStyle w:val="Body"/>
        <w:spacing w:line="312" w:lineRule="auto"/>
      </w:pPr>
    </w:p>
    <w:sectPr w:rsidR="00BB3B79">
      <w:headerReference w:type="default" r:id="rId6"/>
      <w:pgSz w:w="12240" w:h="15840"/>
      <w:pgMar w:top="720" w:right="1440" w:bottom="72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48A5B" w14:textId="77777777" w:rsidR="004514AA" w:rsidRDefault="004514AA">
      <w:r>
        <w:separator/>
      </w:r>
    </w:p>
  </w:endnote>
  <w:endnote w:type="continuationSeparator" w:id="0">
    <w:p w14:paraId="24E169CC" w14:textId="77777777" w:rsidR="004514AA" w:rsidRDefault="00451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B0E78" w14:textId="77777777" w:rsidR="004514AA" w:rsidRDefault="004514AA">
      <w:r>
        <w:separator/>
      </w:r>
    </w:p>
  </w:footnote>
  <w:footnote w:type="continuationSeparator" w:id="0">
    <w:p w14:paraId="01D36A56" w14:textId="77777777" w:rsidR="004514AA" w:rsidRDefault="00451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2E9C" w14:textId="77777777" w:rsidR="00BB3B79" w:rsidRDefault="004514AA">
    <w:pPr>
      <w:pStyle w:val="HeaderFooter"/>
      <w:tabs>
        <w:tab w:val="clear" w:pos="9020"/>
        <w:tab w:val="center" w:pos="4680"/>
        <w:tab w:val="right" w:pos="9360"/>
      </w:tabs>
      <w:rPr>
        <w:rFonts w:hint="eastAsia"/>
        <w:sz w:val="24"/>
        <w:szCs w:val="24"/>
      </w:rPr>
    </w:pPr>
    <w:r>
      <w:rPr>
        <w:sz w:val="24"/>
        <w:szCs w:val="24"/>
      </w:rPr>
      <w:tab/>
    </w:r>
    <w:r>
      <w:rPr>
        <w:b/>
        <w:bCs/>
        <w:sz w:val="24"/>
        <w:szCs w:val="24"/>
      </w:rPr>
      <w:t>DRAFT</w:t>
    </w:r>
    <w:r>
      <w:rPr>
        <w:sz w:val="24"/>
        <w:szCs w:val="24"/>
      </w:rPr>
      <w:t xml:space="preserve"> NYC Tenant Opportunity to Purchase Act (TOPA) </w:t>
    </w:r>
    <w:r>
      <w:rPr>
        <w:b/>
        <w:bCs/>
        <w:sz w:val="24"/>
        <w:szCs w:val="24"/>
      </w:rPr>
      <w:t>DRAFT</w:t>
    </w:r>
  </w:p>
  <w:p w14:paraId="6EA3E7F7" w14:textId="77777777" w:rsidR="00BB3B79" w:rsidRDefault="004514AA">
    <w:pPr>
      <w:pStyle w:val="HeaderFooter"/>
      <w:tabs>
        <w:tab w:val="clear" w:pos="9020"/>
        <w:tab w:val="center" w:pos="4680"/>
        <w:tab w:val="right" w:pos="9360"/>
      </w:tabs>
      <w:spacing w:after="60"/>
      <w:rPr>
        <w:rFonts w:hint="eastAsia"/>
      </w:rPr>
    </w:pPr>
    <w:r>
      <w:rPr>
        <w:sz w:val="24"/>
        <w:szCs w:val="24"/>
      </w:rPr>
      <w:tab/>
      <w:t>w</w:t>
    </w:r>
    <w:r>
      <w:rPr>
        <w:sz w:val="24"/>
        <w:szCs w:val="24"/>
      </w:rPr>
      <w:t xml:space="preserve">/ </w:t>
    </w:r>
    <w:r>
      <w:rPr>
        <w:sz w:val="24"/>
        <w:szCs w:val="24"/>
      </w:rPr>
      <w:t xml:space="preserve">language designed to reorient subsidies and empower tenants.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B79"/>
    <w:rsid w:val="004514AA"/>
    <w:rsid w:val="00A637AA"/>
    <w:rsid w:val="00BB3B79"/>
    <w:rsid w:val="00E45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4434D"/>
  <w15:docId w15:val="{DAA1B42F-F88A-2F46-8282-ED362BBA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spacing w:before="60" w:after="200"/>
      <w:outlineLvl w:val="1"/>
    </w:pPr>
    <w:rPr>
      <w:rFonts w:ascii="Times Roman" w:hAnsi="Times Roman" w:cs="Arial Unicode MS"/>
      <w:b/>
      <w:bCs/>
      <w:color w:val="000000"/>
      <w:sz w:val="26"/>
      <w:szCs w:val="26"/>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Times Roman" w:hAnsi="Times Roman" w:cs="Arial Unicode MS"/>
      <w:color w:val="000000"/>
      <w:sz w:val="26"/>
      <w:szCs w:val="26"/>
      <w14:textOutline w14:w="0" w14:cap="flat" w14:cmpd="sng" w14:algn="ctr">
        <w14:noFill/>
        <w14:prstDash w14:val="solid"/>
        <w14:bevel/>
      </w14:textOutline>
    </w:rPr>
  </w:style>
  <w:style w:type="paragraph" w:customStyle="1" w:styleId="Body">
    <w:name w:val="Body"/>
    <w:rPr>
      <w:rFonts w:ascii="Times Roman" w:eastAsia="Times Roman" w:hAnsi="Times Roman" w:cs="Times Roman"/>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Roman"/>
        <a:ea typeface="Times Roman"/>
        <a:cs typeface="Times Roman"/>
      </a:majorFont>
      <a:minorFont>
        <a:latin typeface="Times Roman"/>
        <a:ea typeface="Times Roman"/>
        <a:cs typeface="Times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9179BC3-FFDF-004A-8FDF-211B4EAA6BFF}">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F05B26F-8EA2-DD4F-9451-9DE2875F3ECE}">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6</Pages>
  <Words>1352</Words>
  <Characters>8062</Characters>
  <Application>Microsoft Office Word</Application>
  <DocSecurity>0</DocSecurity>
  <Lines>185</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 Foss</cp:lastModifiedBy>
  <cp:revision>2</cp:revision>
  <dcterms:created xsi:type="dcterms:W3CDTF">2025-05-21T05:01:00Z</dcterms:created>
  <dcterms:modified xsi:type="dcterms:W3CDTF">2025-05-21T06:17:00Z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documentId_4709</vt:lpwstr>
  </property>
  <property fmtid="{D5CDD505-2E9C-101B-9397-08002B2CF9AE}" pid="3" name="grammarly_documentContext">
    <vt:lpwstr>{"goals":[],"domain":"general","emotions":[],"dialect":"american","audience":"expert","style":"formal"}</vt:lpwstr>
  </property>
</Properties>
</file>