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Works Cited</w:t>
      </w:r>
    </w:p>
    <w:p>
      <w:pPr/>
      <w:r>
        <w:t>Chernick, H., Reschovsky, A., &amp; Newman, S. (2021). The effect of the housing crisis on the finances of central cities. *Journal of Housing Economics, 54*, 101767. https://doi.org/10.1016/j.jhe.2021.101767</w:t>
      </w:r>
    </w:p>
    <w:p>
      <w:pPr/>
      <w:r>
        <w:t>Dubb, S. (2020, March 4). LISC at 40: Coming to terms with the limits of markets. *Nonprofit Quarterly*. https://nonprofitquarterly.org/lisc-at-40-the-serious-limits-of-markets-and-the-crying-need-for-policy-change/</w:t>
      </w:r>
    </w:p>
    <w:p>
      <w:pPr/>
      <w:r>
        <w:t>Elmelech, Y. (2004). Housing inequality in New York City: Racial and ethnic disparities in homeownership and shelter-cost burden. *Housing, Theory and Society, 21*(4), 163–175. https://doi.org/10.1080/14036090410026338</w:t>
      </w:r>
    </w:p>
    <w:p>
      <w:pPr/>
      <w:r>
        <w:t>Lubell, J., Gubits, D., Paulen, L., Dastrup, S., Travis, A., McInnis, D., ... Lo, L. (2025). *Rapid cycle evaluation report: An early look at the community choice demonstration*. U.S. Department of Housing and Urban Development. https://www.huduser.gov/portal/publications/Rapid-Cycle-Evaluation-Report.html</w:t>
      </w:r>
    </w:p>
    <w:p>
      <w:pPr/>
      <w:r>
        <w:t>U.S. Department of Housing and Urban Development. (2025). *FY 2025 homeowner assistance fund—100% income limits for New York, NY HUD Metro FMR Area*. https://www.huduser.gov/portal/datasets/il/il25/State-Incomelimits-Report-FY25.pdf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