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58DE8" w14:textId="77777777" w:rsidR="009F0DE9" w:rsidRDefault="00000000">
      <w:pPr>
        <w:pStyle w:val="Subtitle"/>
        <w:rPr>
          <w:smallCaps/>
        </w:rPr>
      </w:pPr>
      <w:r>
        <w:rPr>
          <w:smallCaps/>
        </w:rPr>
        <w:t>Legislative Alignment and Policy Support for the Tenant Co-op Acquisition Program (TCAP)</w:t>
      </w:r>
    </w:p>
    <w:p w14:paraId="3961E98E" w14:textId="77777777" w:rsidR="009F0DE9" w:rsidRDefault="00000000">
      <w:pPr>
        <w:pStyle w:val="Heading3"/>
        <w:rPr>
          <w:smallCaps/>
        </w:rPr>
      </w:pPr>
      <w:r>
        <w:rPr>
          <w:smallCaps/>
        </w:rPr>
        <w:t>Advancing Structural Equity Through Subsidy Transformation</w:t>
      </w:r>
    </w:p>
    <w:p w14:paraId="7C49B21E" w14:textId="77777777" w:rsidR="009F0DE9" w:rsidRDefault="009F0DE9">
      <w:pPr>
        <w:pStyle w:val="Body"/>
      </w:pPr>
    </w:p>
    <w:p w14:paraId="32431851" w14:textId="77777777" w:rsidR="009F0DE9" w:rsidRDefault="00000000">
      <w:pPr>
        <w:pStyle w:val="Default"/>
        <w:suppressAutoHyphens/>
        <w:spacing w:before="0" w:after="240" w:line="240" w:lineRule="auto"/>
        <w:rPr>
          <w:rFonts w:ascii="Times Roman" w:eastAsia="Times Roman" w:hAnsi="Times Roman" w:cs="Times Roman"/>
          <w:sz w:val="24"/>
          <w:szCs w:val="24"/>
        </w:rPr>
      </w:pPr>
      <w:r>
        <w:rPr>
          <w:rFonts w:ascii="Times Roman" w:hAnsi="Times Roman"/>
          <w:b/>
          <w:bCs/>
          <w:sz w:val="24"/>
          <w:szCs w:val="24"/>
        </w:rPr>
        <w:t>TO:</w:t>
      </w:r>
      <w:r>
        <w:rPr>
          <w:rFonts w:ascii="Times Roman" w:hAnsi="Times Roman"/>
          <w:sz w:val="24"/>
          <w:szCs w:val="24"/>
          <w:lang w:val="en-US"/>
        </w:rPr>
        <w:t xml:space="preserve"> New York City Council Committee on Housing and Buildings</w:t>
      </w:r>
      <w:r>
        <w:rPr>
          <w:rFonts w:ascii="Times Roman" w:eastAsia="Times Roman" w:hAnsi="Times Roman" w:cs="Times Roman"/>
          <w:sz w:val="24"/>
          <w:szCs w:val="24"/>
        </w:rPr>
        <w:br/>
      </w:r>
      <w:r>
        <w:rPr>
          <w:rFonts w:ascii="Times Roman" w:hAnsi="Times Roman"/>
          <w:b/>
          <w:bCs/>
          <w:sz w:val="24"/>
          <w:szCs w:val="24"/>
        </w:rPr>
        <w:t>FROM:</w:t>
      </w:r>
      <w:r>
        <w:rPr>
          <w:rFonts w:ascii="Times Roman" w:hAnsi="Times Roman"/>
          <w:sz w:val="24"/>
          <w:szCs w:val="24"/>
          <w:lang w:val="en-US"/>
        </w:rPr>
        <w:t xml:space="preserve"> Seth Foss, Public Policy Research Scholar</w:t>
      </w:r>
      <w:r>
        <w:rPr>
          <w:rFonts w:ascii="Times Roman" w:eastAsia="Times Roman" w:hAnsi="Times Roman" w:cs="Times Roman"/>
          <w:sz w:val="24"/>
          <w:szCs w:val="24"/>
        </w:rPr>
        <w:br/>
      </w:r>
      <w:r>
        <w:rPr>
          <w:rFonts w:ascii="Times Roman" w:hAnsi="Times Roman"/>
          <w:b/>
          <w:bCs/>
          <w:sz w:val="24"/>
          <w:szCs w:val="24"/>
          <w:lang w:val="en-US"/>
        </w:rPr>
        <w:t>DATE:</w:t>
      </w:r>
      <w:r>
        <w:rPr>
          <w:rFonts w:ascii="Times Roman" w:hAnsi="Times Roman"/>
          <w:sz w:val="24"/>
          <w:szCs w:val="24"/>
          <w:lang w:val="en-US"/>
        </w:rPr>
        <w:t xml:space="preserve"> May 21, 2025</w:t>
      </w:r>
    </w:p>
    <w:p w14:paraId="5308B929" w14:textId="77777777" w:rsidR="009F0DE9" w:rsidRDefault="009F0DE9">
      <w:pPr>
        <w:pStyle w:val="Default"/>
        <w:suppressAutoHyphens/>
        <w:spacing w:before="0" w:line="240" w:lineRule="auto"/>
        <w:rPr>
          <w:rFonts w:ascii="Times Roman" w:eastAsia="Times Roman" w:hAnsi="Times Roman" w:cs="Times Roman"/>
          <w:color w:val="808080"/>
          <w:sz w:val="24"/>
          <w:szCs w:val="24"/>
        </w:rPr>
      </w:pPr>
    </w:p>
    <w:p w14:paraId="10B43CA7" w14:textId="77777777" w:rsidR="009F0DE9" w:rsidRDefault="00000000">
      <w:pPr>
        <w:pStyle w:val="Caption"/>
      </w:pPr>
      <w:r>
        <w:t>Overview</w:t>
      </w:r>
    </w:p>
    <w:p w14:paraId="6D879594" w14:textId="77777777" w:rsidR="009F0DE9" w:rsidRDefault="00000000">
      <w:pPr>
        <w:pStyle w:val="Body"/>
      </w:pPr>
      <w:r>
        <w:t>Despite major investments in New York City's Housing Choice Voucher (HCV) program, long-term outcomes for tenants, particularly Black and Latino households, remain stagnant or have worsened. Many households continue to experience extreme rent burdens, with shelter costs consuming more than 50% of income in low-income communities. Meanwhile, the structure of the voucher system—landlord-controlled and asset-inaccessible—blocks the path to intergenerational wealth for most participants.</w:t>
      </w:r>
    </w:p>
    <w:p w14:paraId="0582307A" w14:textId="77777777" w:rsidR="009F0DE9" w:rsidRDefault="00000000">
      <w:pPr>
        <w:pStyle w:val="Body"/>
      </w:pPr>
      <w:r>
        <w:t>Although promising pilot programs have introduced cooperative ownership, tenant buyouts, and community land trusts, New York lacks a scalable, unified framework to convert rental subsidies into tenant equity and long-term stability. It is time for NYC to move from reactive subsidy administration to proactive equity transfer.</w:t>
      </w:r>
    </w:p>
    <w:p w14:paraId="6E8A6666" w14:textId="77777777" w:rsidR="009F0DE9" w:rsidRDefault="009F0DE9">
      <w:pPr>
        <w:pStyle w:val="Default"/>
        <w:suppressAutoHyphens/>
        <w:spacing w:before="0" w:line="240" w:lineRule="auto"/>
        <w:rPr>
          <w:rFonts w:ascii="Times Roman" w:eastAsia="Times Roman" w:hAnsi="Times Roman" w:cs="Times Roman"/>
          <w:color w:val="808080"/>
          <w:sz w:val="24"/>
          <w:szCs w:val="24"/>
        </w:rPr>
      </w:pPr>
    </w:p>
    <w:p w14:paraId="4E874C18" w14:textId="77777777" w:rsidR="009F0DE9" w:rsidRDefault="00000000">
      <w:pPr>
        <w:pStyle w:val="Caption"/>
      </w:pPr>
      <w:r>
        <w:rPr>
          <w:lang w:val="en-US"/>
        </w:rPr>
        <w:t>Key Findings</w:t>
      </w:r>
    </w:p>
    <w:p w14:paraId="377F03EB" w14:textId="77777777" w:rsidR="009F0DE9" w:rsidRDefault="00000000">
      <w:pPr>
        <w:pStyle w:val="Body"/>
        <w:numPr>
          <w:ilvl w:val="0"/>
          <w:numId w:val="2"/>
        </w:numPr>
      </w:pPr>
      <w:r>
        <w:rPr>
          <w:b/>
          <w:bCs/>
        </w:rPr>
        <w:t>Rental Subsidies Do Not Build Wealth</w:t>
      </w:r>
      <w:r>
        <w:br/>
        <w:t>Housing vouchers reduce immediate risk but fail to offer long-term security. Black and Latino homeownership rates in NYC remain far below those of white households, even after adjusting for income and education.</w:t>
      </w:r>
      <w:r>
        <w:rPr>
          <w:rFonts w:eastAsia="Times New Roman" w:cs="Times New Roman"/>
          <w:vertAlign w:val="superscript"/>
        </w:rPr>
        <w:footnoteReference w:id="2"/>
      </w:r>
    </w:p>
    <w:p w14:paraId="1EC627FD" w14:textId="77777777" w:rsidR="009F0DE9" w:rsidRDefault="00000000">
      <w:pPr>
        <w:pStyle w:val="Body"/>
        <w:numPr>
          <w:ilvl w:val="0"/>
          <w:numId w:val="2"/>
        </w:numPr>
      </w:pPr>
      <w:r>
        <w:rPr>
          <w:b/>
          <w:bCs/>
        </w:rPr>
        <w:t>Homeownership Is the Primary Source of Wealth</w:t>
      </w:r>
      <w:r>
        <w:br/>
        <w:t>Home equity is the largest contributor to household wealth in the U.S. As of 2025, NYC</w:t>
      </w:r>
      <w:r>
        <w:rPr>
          <w:rtl/>
        </w:rPr>
        <w:t>’</w:t>
      </w:r>
      <w:r>
        <w:t>s income thresholds allow a 4-person household earning up to $162,000 to qualify for assistance, highlighting a broad cohort still locked out of ownership due to capital barriers.</w:t>
      </w:r>
      <w:r>
        <w:rPr>
          <w:rFonts w:eastAsia="Times New Roman" w:cs="Times New Roman"/>
          <w:vertAlign w:val="superscript"/>
        </w:rPr>
        <w:footnoteReference w:id="3"/>
      </w:r>
    </w:p>
    <w:p w14:paraId="32F8D1AE" w14:textId="77777777" w:rsidR="009F0DE9" w:rsidRDefault="00000000">
      <w:pPr>
        <w:pStyle w:val="Body"/>
        <w:numPr>
          <w:ilvl w:val="0"/>
          <w:numId w:val="2"/>
        </w:numPr>
      </w:pPr>
      <w:r>
        <w:rPr>
          <w:b/>
          <w:bCs/>
        </w:rPr>
        <w:t>Property Rights Are a Policy Lever</w:t>
      </w:r>
      <w:r>
        <w:br/>
        <w:t>Cities and states have the authority to condition subsidies and land use on pathways to tenant equity. This approach shifts power from speculative markets to collective ownership models, such as land trusts and shared equity co-ops.</w:t>
      </w:r>
      <w:r>
        <w:rPr>
          <w:rFonts w:eastAsia="Times New Roman" w:cs="Times New Roman"/>
          <w:vertAlign w:val="superscript"/>
        </w:rPr>
        <w:footnoteReference w:id="4"/>
      </w:r>
      <w:r>
        <w:t xml:space="preserve"> </w:t>
      </w:r>
      <w:r>
        <w:rPr>
          <w:rFonts w:eastAsia="Times New Roman" w:cs="Times New Roman"/>
          <w:vertAlign w:val="superscript"/>
        </w:rPr>
        <w:footnoteReference w:id="5"/>
      </w:r>
    </w:p>
    <w:p w14:paraId="0E90BF9B" w14:textId="77777777" w:rsidR="009F0DE9" w:rsidRDefault="00000000">
      <w:pPr>
        <w:pStyle w:val="Default"/>
        <w:numPr>
          <w:ilvl w:val="0"/>
          <w:numId w:val="2"/>
        </w:numPr>
        <w:suppressAutoHyphens/>
        <w:spacing w:before="0" w:after="240" w:line="240" w:lineRule="auto"/>
        <w:rPr>
          <w:rFonts w:ascii="Times Roman" w:hAnsi="Times Roman" w:hint="eastAsia"/>
          <w:sz w:val="24"/>
          <w:szCs w:val="24"/>
          <w:lang w:val="en-US"/>
        </w:rPr>
      </w:pPr>
      <w:r>
        <w:rPr>
          <w:rFonts w:ascii="Times Roman" w:hAnsi="Times Roman"/>
          <w:b/>
          <w:bCs/>
          <w:sz w:val="24"/>
          <w:szCs w:val="24"/>
          <w:lang w:val="en-US"/>
        </w:rPr>
        <w:t>Housing Crises Have Long-Term Fiscal Costs</w:t>
      </w:r>
      <w:r>
        <w:rPr>
          <w:rFonts w:ascii="Times Roman" w:eastAsia="Times Roman" w:hAnsi="Times Roman" w:cs="Times Roman"/>
          <w:sz w:val="24"/>
          <w:szCs w:val="24"/>
        </w:rPr>
        <w:br/>
      </w:r>
      <w:r>
        <w:rPr>
          <w:rFonts w:ascii="Times Roman" w:hAnsi="Times Roman"/>
          <w:sz w:val="24"/>
          <w:szCs w:val="24"/>
          <w:lang w:val="en-US"/>
        </w:rPr>
        <w:t xml:space="preserve">The 2008 housing crash reduced general city revenues by over 20% in key years. Lost </w:t>
      </w:r>
      <w:r>
        <w:rPr>
          <w:rFonts w:ascii="Times Roman" w:hAnsi="Times Roman"/>
          <w:sz w:val="24"/>
          <w:szCs w:val="24"/>
          <w:lang w:val="en-US"/>
        </w:rPr>
        <w:lastRenderedPageBreak/>
        <w:t>property tax income, foreclosure-related costs, and unstable tenancies strain public budgets for a decade or more.</w:t>
      </w:r>
      <w:r>
        <w:rPr>
          <w:rFonts w:ascii="Times Roman" w:eastAsia="Times Roman" w:hAnsi="Times Roman" w:cs="Times Roman"/>
          <w:sz w:val="24"/>
          <w:szCs w:val="24"/>
          <w:vertAlign w:val="superscript"/>
        </w:rPr>
        <w:footnoteReference w:id="6"/>
      </w:r>
    </w:p>
    <w:p w14:paraId="6213440B" w14:textId="77777777" w:rsidR="009F0DE9" w:rsidRDefault="00000000">
      <w:pPr>
        <w:pStyle w:val="Default"/>
        <w:numPr>
          <w:ilvl w:val="0"/>
          <w:numId w:val="2"/>
        </w:numPr>
        <w:suppressAutoHyphens/>
        <w:spacing w:before="0" w:after="240" w:line="240" w:lineRule="auto"/>
        <w:rPr>
          <w:rFonts w:ascii="Times Roman" w:hAnsi="Times Roman" w:hint="eastAsia"/>
          <w:sz w:val="24"/>
          <w:szCs w:val="24"/>
          <w:lang w:val="en-US"/>
        </w:rPr>
      </w:pPr>
      <w:r>
        <w:rPr>
          <w:rFonts w:ascii="Times Roman" w:hAnsi="Times Roman"/>
          <w:b/>
          <w:bCs/>
          <w:sz w:val="24"/>
          <w:szCs w:val="24"/>
          <w:lang w:val="en-US"/>
        </w:rPr>
        <w:t>Tenant Ownership Increases Housing Stability</w:t>
      </w:r>
      <w:r>
        <w:rPr>
          <w:rFonts w:ascii="Times Roman" w:eastAsia="Times Roman" w:hAnsi="Times Roman" w:cs="Times Roman"/>
          <w:sz w:val="24"/>
          <w:szCs w:val="24"/>
        </w:rPr>
        <w:br/>
      </w:r>
      <w:r>
        <w:rPr>
          <w:rFonts w:ascii="Times Roman" w:hAnsi="Times Roman"/>
          <w:sz w:val="24"/>
          <w:szCs w:val="24"/>
          <w:lang w:val="en-US"/>
        </w:rPr>
        <w:t>Tenant-owned housing outperforms rental housing in maintenance, resident retention, and community cohesion—especially when paired with technical assistance and financial education.</w:t>
      </w:r>
    </w:p>
    <w:p w14:paraId="182656AE" w14:textId="77777777" w:rsidR="009F0DE9" w:rsidRDefault="00000000">
      <w:pPr>
        <w:pStyle w:val="Caption"/>
      </w:pPr>
      <w:r>
        <w:rPr>
          <w:lang w:val="en-US"/>
        </w:rPr>
        <w:t>Policy Recommendations</w:t>
      </w:r>
    </w:p>
    <w:p w14:paraId="11D80E48" w14:textId="77777777" w:rsidR="009F0DE9" w:rsidRDefault="009F0DE9">
      <w:pPr>
        <w:pStyle w:val="Caption"/>
      </w:pPr>
    </w:p>
    <w:p w14:paraId="28A8950F" w14:textId="77777777" w:rsidR="009F0DE9" w:rsidRDefault="00000000">
      <w:pPr>
        <w:pStyle w:val="Caption"/>
      </w:pPr>
      <w:r>
        <w:rPr>
          <w:lang w:val="en-US"/>
        </w:rPr>
        <w:t>1. Establish a Public Equity Transfer Framework</w:t>
      </w:r>
    </w:p>
    <w:p w14:paraId="666B1D10" w14:textId="77777777" w:rsidR="009F0DE9" w:rsidRDefault="009F0DE9">
      <w:pPr>
        <w:pStyle w:val="Caption"/>
      </w:pPr>
    </w:p>
    <w:p w14:paraId="3646ECFE" w14:textId="77777777" w:rsidR="009F0DE9" w:rsidRDefault="00000000">
      <w:pPr>
        <w:pStyle w:val="Default"/>
        <w:suppressAutoHyphens/>
        <w:spacing w:before="0" w:after="240" w:line="240" w:lineRule="auto"/>
        <w:rPr>
          <w:rFonts w:ascii="Times Roman" w:eastAsia="Times Roman" w:hAnsi="Times Roman" w:cs="Times Roman"/>
          <w:sz w:val="24"/>
          <w:szCs w:val="24"/>
        </w:rPr>
      </w:pPr>
      <w:r>
        <w:rPr>
          <w:rFonts w:ascii="Times Roman" w:hAnsi="Times Roman"/>
          <w:sz w:val="24"/>
          <w:szCs w:val="24"/>
          <w:lang w:val="en-US"/>
        </w:rPr>
        <w:t>Convert existing rent subsidies into equity-building instruments. Eligible tenants should accrue co-op ownership rights over 5</w:t>
      </w:r>
      <w:r>
        <w:rPr>
          <w:rFonts w:ascii="Times Roman" w:hAnsi="Times Roman"/>
          <w:sz w:val="24"/>
          <w:szCs w:val="24"/>
        </w:rPr>
        <w:t>–</w:t>
      </w:r>
      <w:r>
        <w:rPr>
          <w:rFonts w:ascii="Times Roman" w:hAnsi="Times Roman"/>
          <w:sz w:val="24"/>
          <w:szCs w:val="24"/>
          <w:lang w:val="en-US"/>
        </w:rPr>
        <w:t>10 years, with NYC HPD, HRA, and NYCHA jointly managing conversion pathways. Prioritize buildings on the Worst Landlords List.</w:t>
      </w:r>
    </w:p>
    <w:p w14:paraId="59FEA19E" w14:textId="77777777" w:rsidR="009F0DE9" w:rsidRDefault="00000000">
      <w:pPr>
        <w:pStyle w:val="Caption"/>
      </w:pPr>
      <w:r>
        <w:rPr>
          <w:lang w:val="en-US"/>
        </w:rPr>
        <w:t>2. Create a Tenant Opportunity Fund (TOF)</w:t>
      </w:r>
    </w:p>
    <w:p w14:paraId="188AFFF8" w14:textId="77777777" w:rsidR="009F0DE9" w:rsidRDefault="009F0DE9">
      <w:pPr>
        <w:pStyle w:val="Caption"/>
      </w:pPr>
    </w:p>
    <w:p w14:paraId="278A9135" w14:textId="77777777" w:rsidR="009F0DE9" w:rsidRDefault="00000000">
      <w:pPr>
        <w:pStyle w:val="Default"/>
        <w:suppressAutoHyphens/>
        <w:spacing w:before="0" w:after="240" w:line="240" w:lineRule="auto"/>
        <w:rPr>
          <w:rFonts w:ascii="Times Roman" w:eastAsia="Times Roman" w:hAnsi="Times Roman" w:cs="Times Roman"/>
          <w:sz w:val="24"/>
          <w:szCs w:val="24"/>
        </w:rPr>
      </w:pPr>
      <w:r>
        <w:rPr>
          <w:rFonts w:ascii="Times Roman" w:hAnsi="Times Roman"/>
          <w:sz w:val="24"/>
          <w:szCs w:val="24"/>
          <w:lang w:val="en-US"/>
        </w:rPr>
        <w:t>Pool HCV and other subsidy streams to fund down payments, building repairs, HOA reserves, and legal/technical support for co-op conversions. The TOF should enable nonprofits and tenant associations to compete with speculators.</w:t>
      </w:r>
    </w:p>
    <w:p w14:paraId="09F15601" w14:textId="77777777" w:rsidR="009F0DE9" w:rsidRDefault="00000000">
      <w:pPr>
        <w:pStyle w:val="Caption"/>
      </w:pPr>
      <w:r>
        <w:rPr>
          <w:lang w:val="en-US"/>
        </w:rPr>
        <w:t>3. Enact Right-to-Purchase Legislation</w:t>
      </w:r>
    </w:p>
    <w:p w14:paraId="0A7D1D3D" w14:textId="77777777" w:rsidR="009F0DE9" w:rsidRDefault="009F0DE9">
      <w:pPr>
        <w:pStyle w:val="Caption"/>
      </w:pPr>
    </w:p>
    <w:p w14:paraId="7CD75B76" w14:textId="77777777" w:rsidR="009F0DE9" w:rsidRDefault="00000000">
      <w:pPr>
        <w:pStyle w:val="Default"/>
        <w:suppressAutoHyphens/>
        <w:spacing w:before="0" w:after="240" w:line="240" w:lineRule="auto"/>
        <w:rPr>
          <w:rFonts w:ascii="Times Roman" w:eastAsia="Times Roman" w:hAnsi="Times Roman" w:cs="Times Roman"/>
          <w:sz w:val="24"/>
          <w:szCs w:val="24"/>
        </w:rPr>
      </w:pPr>
      <w:r>
        <w:rPr>
          <w:rFonts w:ascii="Times Roman" w:hAnsi="Times Roman"/>
          <w:sz w:val="24"/>
          <w:szCs w:val="24"/>
          <w:lang w:val="en-US"/>
        </w:rPr>
        <w:t>Grant tenants and nonprofits the first right of refusal when landlords sell multi-family properties. Pair this with city-backed acquisition support through CDFIs and community banks.</w:t>
      </w:r>
    </w:p>
    <w:p w14:paraId="6CDCC7CF" w14:textId="77777777" w:rsidR="009F0DE9" w:rsidRDefault="00000000">
      <w:pPr>
        <w:pStyle w:val="Caption"/>
      </w:pPr>
      <w:r>
        <w:rPr>
          <w:lang w:val="en-US"/>
        </w:rPr>
        <w:t>4. Implement Oversight and ROI Metrics</w:t>
      </w:r>
    </w:p>
    <w:p w14:paraId="6CEA3979" w14:textId="77777777" w:rsidR="009F0DE9" w:rsidRDefault="009F0DE9">
      <w:pPr>
        <w:pStyle w:val="Caption"/>
      </w:pPr>
    </w:p>
    <w:p w14:paraId="70ABB8BC" w14:textId="601C281C" w:rsidR="009F0DE9" w:rsidRDefault="00000000">
      <w:pPr>
        <w:pStyle w:val="Default"/>
        <w:suppressAutoHyphens/>
        <w:spacing w:before="0" w:after="240" w:line="240" w:lineRule="auto"/>
        <w:rPr>
          <w:rFonts w:ascii="Times Roman" w:eastAsia="Times Roman" w:hAnsi="Times Roman" w:cs="Times Roman"/>
          <w:sz w:val="24"/>
          <w:szCs w:val="24"/>
        </w:rPr>
      </w:pPr>
      <w:r>
        <w:rPr>
          <w:rFonts w:ascii="Times Roman" w:hAnsi="Times Roman"/>
          <w:sz w:val="24"/>
          <w:szCs w:val="24"/>
          <w:lang w:val="en-US"/>
        </w:rPr>
        <w:t xml:space="preserve">Launch a cross-agency monitoring panel (including HPD, HUD, and the Public Advocate) to track outcomes: increases in tenant equity, reductions in shelter spending, evictions </w:t>
      </w:r>
      <w:r w:rsidR="00107960">
        <w:rPr>
          <w:rFonts w:ascii="Times Roman" w:hAnsi="Times Roman"/>
          <w:sz w:val="24"/>
          <w:szCs w:val="24"/>
          <w:lang w:val="en-US"/>
        </w:rPr>
        <w:t>avoided and</w:t>
      </w:r>
      <w:r>
        <w:rPr>
          <w:rFonts w:ascii="Times Roman" w:hAnsi="Times Roman"/>
          <w:sz w:val="24"/>
          <w:szCs w:val="24"/>
          <w:lang w:val="en-US"/>
        </w:rPr>
        <w:t xml:space="preserve"> decreases in housing court volume.</w:t>
      </w:r>
    </w:p>
    <w:p w14:paraId="06DB0627" w14:textId="77777777" w:rsidR="009F0DE9" w:rsidRDefault="009F0DE9">
      <w:pPr>
        <w:pStyle w:val="Default"/>
        <w:suppressAutoHyphens/>
        <w:spacing w:before="0" w:line="240" w:lineRule="auto"/>
        <w:rPr>
          <w:rFonts w:ascii="Times Roman" w:eastAsia="Times Roman" w:hAnsi="Times Roman" w:cs="Times Roman"/>
          <w:color w:val="808080"/>
          <w:sz w:val="24"/>
          <w:szCs w:val="24"/>
        </w:rPr>
      </w:pPr>
    </w:p>
    <w:p w14:paraId="1B87B167" w14:textId="77777777" w:rsidR="009F0DE9" w:rsidRDefault="00000000">
      <w:pPr>
        <w:pStyle w:val="Default"/>
        <w:suppressAutoHyphens/>
        <w:spacing w:before="0" w:after="281" w:line="240" w:lineRule="auto"/>
        <w:rPr>
          <w:rFonts w:ascii="Times Roman" w:eastAsia="Times Roman" w:hAnsi="Times Roman" w:cs="Times Roman"/>
          <w:b/>
          <w:bCs/>
          <w:sz w:val="28"/>
          <w:szCs w:val="28"/>
        </w:rPr>
      </w:pPr>
      <w:r w:rsidRPr="00107960">
        <w:rPr>
          <w:rFonts w:ascii="Times Roman" w:hAnsi="Times Roman"/>
          <w:b/>
          <w:bCs/>
          <w:sz w:val="28"/>
          <w:szCs w:val="28"/>
          <w:lang w:val="en-US"/>
        </w:rPr>
        <w:t>Conclusion</w:t>
      </w:r>
    </w:p>
    <w:p w14:paraId="3FAD8ED7" w14:textId="1050C144" w:rsidR="009F0DE9" w:rsidRDefault="00000000">
      <w:pPr>
        <w:pStyle w:val="Default"/>
        <w:suppressAutoHyphens/>
        <w:spacing w:before="0" w:after="240" w:line="240" w:lineRule="auto"/>
        <w:rPr>
          <w:rFonts w:ascii="Times Roman" w:eastAsia="Times Roman" w:hAnsi="Times Roman" w:cs="Times Roman"/>
          <w:sz w:val="24"/>
          <w:szCs w:val="24"/>
        </w:rPr>
      </w:pPr>
      <w:r>
        <w:rPr>
          <w:rFonts w:ascii="Times Roman" w:hAnsi="Times Roman"/>
          <w:sz w:val="24"/>
          <w:szCs w:val="24"/>
          <w:lang w:val="en-US"/>
        </w:rPr>
        <w:t xml:space="preserve">New York City faces a choice: continue subsidizing a rental status quo that extracts wealth from vulnerable </w:t>
      </w:r>
      <w:r w:rsidR="00107960">
        <w:rPr>
          <w:rFonts w:ascii="Times Roman" w:hAnsi="Times Roman"/>
          <w:sz w:val="24"/>
          <w:szCs w:val="24"/>
          <w:lang w:val="en-US"/>
        </w:rPr>
        <w:t>communities or</w:t>
      </w:r>
      <w:r>
        <w:rPr>
          <w:rFonts w:ascii="Times Roman" w:hAnsi="Times Roman"/>
          <w:sz w:val="24"/>
          <w:szCs w:val="24"/>
          <w:lang w:val="en-US"/>
        </w:rPr>
        <w:t xml:space="preserve"> reimagine its housing policy as a foundation for stability and generational wealth. A tenant ownership framework delivers on equity, fiscal responsibility, and community well-being. With targeted reforms, existing funds can be redirected to build—not just rent—NYC's future.</w:t>
      </w:r>
    </w:p>
    <w:p w14:paraId="004DA075" w14:textId="77777777" w:rsidR="009F0DE9" w:rsidRDefault="009F0DE9">
      <w:pPr>
        <w:pStyle w:val="Default"/>
        <w:suppressAutoHyphens/>
        <w:spacing w:before="0" w:after="240" w:line="240" w:lineRule="auto"/>
      </w:pPr>
    </w:p>
    <w:sectPr w:rsidR="009F0DE9">
      <w:pgSz w:w="12240" w:h="15840"/>
      <w:pgMar w:top="1440" w:right="1440" w:bottom="720" w:left="1440" w:header="72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9F7A3" w14:textId="77777777" w:rsidR="0011107D" w:rsidRDefault="0011107D">
      <w:r>
        <w:separator/>
      </w:r>
    </w:p>
  </w:endnote>
  <w:endnote w:type="continuationSeparator" w:id="0">
    <w:p w14:paraId="125B3D21" w14:textId="77777777" w:rsidR="0011107D" w:rsidRDefault="00111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F8E9A" w14:textId="77777777" w:rsidR="0011107D" w:rsidRDefault="0011107D">
      <w:r>
        <w:separator/>
      </w:r>
    </w:p>
  </w:footnote>
  <w:footnote w:type="continuationSeparator" w:id="0">
    <w:p w14:paraId="5DE4DAA1" w14:textId="77777777" w:rsidR="0011107D" w:rsidRDefault="0011107D">
      <w:r>
        <w:continuationSeparator/>
      </w:r>
    </w:p>
  </w:footnote>
  <w:footnote w:type="continuationNotice" w:id="1">
    <w:p w14:paraId="49117B01" w14:textId="77777777" w:rsidR="0011107D" w:rsidRDefault="0011107D"/>
  </w:footnote>
  <w:footnote w:id="2">
    <w:p w14:paraId="6BF931C7" w14:textId="77777777" w:rsidR="009F0DE9" w:rsidRDefault="00000000">
      <w:pPr>
        <w:pStyle w:val="Footnote"/>
      </w:pPr>
      <w:r>
        <w:footnoteRef/>
      </w:r>
      <w:r>
        <w:rPr>
          <w:rFonts w:eastAsia="Arial Unicode MS" w:cs="Arial Unicode MS"/>
        </w:rPr>
        <w:t xml:space="preserve"> Elmelech, Y. (2004). Housing inequality in New York City: Racial and ethnic disparities in homeownership and shelter-cost burden. Housing, Theory and Society, 21(4), 163–175. https://doi.org/10.1080/14036090410026338</w:t>
      </w:r>
    </w:p>
  </w:footnote>
  <w:footnote w:id="3">
    <w:p w14:paraId="51F77F6D" w14:textId="77777777" w:rsidR="009F0DE9" w:rsidRDefault="00000000">
      <w:pPr>
        <w:pStyle w:val="Footnote"/>
      </w:pPr>
      <w:r>
        <w:rPr>
          <w:vertAlign w:val="superscript"/>
        </w:rPr>
        <w:footnoteRef/>
      </w:r>
      <w:r>
        <w:rPr>
          <w:rFonts w:eastAsia="Arial Unicode MS" w:cs="Arial Unicode MS"/>
        </w:rPr>
        <w:t xml:space="preserve"> 2 U.S. Department of Housing and Urban Development. (2025). FY 2025 Homeowner Assistance Fund – Income limits for New York, NY HUD Metro FMR Area. https://www.huduser.gov/portal/datasets/il/il25/State-Incomelimits-Report-FY25.pdf</w:t>
      </w:r>
    </w:p>
  </w:footnote>
  <w:footnote w:id="4">
    <w:p w14:paraId="1EE0543D" w14:textId="77777777" w:rsidR="009F0DE9" w:rsidRDefault="00000000">
      <w:pPr>
        <w:pStyle w:val="Footnote"/>
      </w:pPr>
      <w:r>
        <w:rPr>
          <w:vertAlign w:val="superscript"/>
        </w:rPr>
        <w:footnoteRef/>
      </w:r>
      <w:r>
        <w:rPr>
          <w:rFonts w:eastAsia="Arial Unicode MS" w:cs="Arial Unicode MS"/>
          <w:lang w:val="de-DE"/>
        </w:rPr>
        <w:t xml:space="preserve"> Lubell, J., Gubits, D., Paulen, L., Dastrup, S., Travis, A., McInnis, D., ... &amp; Lo, L. (2025). </w:t>
      </w:r>
      <w:r>
        <w:rPr>
          <w:rFonts w:eastAsia="Arial Unicode MS" w:cs="Arial Unicode MS"/>
          <w:i/>
          <w:iCs/>
        </w:rPr>
        <w:t>Why states and localities should use property rights to fix vouchers</w:t>
      </w:r>
      <w:r>
        <w:rPr>
          <w:rFonts w:eastAsia="Arial Unicode MS" w:cs="Arial Unicode MS"/>
        </w:rPr>
        <w:t>. U.S. Department of Housing and Urban Development. https://www.huduser.gov/portal/publications/Rapid-Cycle-Evaluation-Report.html</w:t>
      </w:r>
    </w:p>
  </w:footnote>
  <w:footnote w:id="5">
    <w:p w14:paraId="1F0C6142" w14:textId="77777777" w:rsidR="009F0DE9" w:rsidRDefault="00000000">
      <w:pPr>
        <w:pStyle w:val="Footnote"/>
      </w:pPr>
      <w:r>
        <w:rPr>
          <w:vertAlign w:val="superscript"/>
        </w:rPr>
        <w:footnoteRef/>
      </w:r>
      <w:r>
        <w:rPr>
          <w:rFonts w:eastAsia="Arial Unicode MS" w:cs="Arial Unicode MS"/>
        </w:rPr>
        <w:t xml:space="preserve"> Dubb, S. (2020, March 4). LISC at 40: Coming to terms with the limits of markets. </w:t>
      </w:r>
      <w:r>
        <w:rPr>
          <w:rFonts w:eastAsia="Arial Unicode MS" w:cs="Arial Unicode MS"/>
          <w:i/>
          <w:iCs/>
        </w:rPr>
        <w:t>Nonprofit Quarterly</w:t>
      </w:r>
      <w:r>
        <w:rPr>
          <w:rFonts w:eastAsia="Arial Unicode MS" w:cs="Arial Unicode MS"/>
        </w:rPr>
        <w:t>. https://nonprofitquarterly.org/lisc-at-40-the-serious-limits-of-markets-and-the-crying-need-for-policy-change/</w:t>
      </w:r>
    </w:p>
  </w:footnote>
  <w:footnote w:id="6">
    <w:p w14:paraId="38FBE430" w14:textId="77777777" w:rsidR="009F0DE9" w:rsidRDefault="00000000">
      <w:pPr>
        <w:pStyle w:val="Footnote"/>
      </w:pPr>
      <w:r>
        <w:rPr>
          <w:vertAlign w:val="superscript"/>
        </w:rPr>
        <w:footnoteRef/>
      </w:r>
      <w:r>
        <w:rPr>
          <w:rFonts w:eastAsia="Arial Unicode MS" w:cs="Arial Unicode MS"/>
        </w:rPr>
        <w:t xml:space="preserve"> Chernick, H., Reschovsky, A., &amp; Newman, S. (2021). The effect of the housing crisis on the finances of central cities. </w:t>
      </w:r>
      <w:r>
        <w:rPr>
          <w:rFonts w:eastAsia="Arial Unicode MS" w:cs="Arial Unicode MS"/>
          <w:i/>
          <w:iCs/>
        </w:rPr>
        <w:t>Journal of Housing Economics</w:t>
      </w:r>
      <w:r>
        <w:rPr>
          <w:rFonts w:eastAsia="Arial Unicode MS" w:cs="Arial Unicode MS"/>
        </w:rPr>
        <w:t>, 54, 101767. https://doi.org/10.1016/j.jhe.2021.101767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D03E8"/>
    <w:multiLevelType w:val="hybridMultilevel"/>
    <w:tmpl w:val="1C3A3F9A"/>
    <w:styleLink w:val="Numbered"/>
    <w:lvl w:ilvl="0" w:tplc="7078108E">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54E8C5C4">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64A0ADC8">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443C42AC">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315CDBF2">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7A68668E">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B2947006">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07BE5684">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66287466">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70DC7387"/>
    <w:multiLevelType w:val="hybridMultilevel"/>
    <w:tmpl w:val="1C3A3F9A"/>
    <w:numStyleLink w:val="Numbered"/>
  </w:abstractNum>
  <w:num w:numId="1" w16cid:durableId="377898388">
    <w:abstractNumId w:val="0"/>
  </w:num>
  <w:num w:numId="2" w16cid:durableId="187259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DE9"/>
    <w:rsid w:val="00107960"/>
    <w:rsid w:val="0011107D"/>
    <w:rsid w:val="00353603"/>
    <w:rsid w:val="006C5C75"/>
    <w:rsid w:val="00842C59"/>
    <w:rsid w:val="009F0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8CC72"/>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next w:val="Body"/>
    <w:uiPriority w:val="9"/>
    <w:unhideWhenUsed/>
    <w:qFormat/>
    <w:pPr>
      <w:keepNext/>
      <w:pBdr>
        <w:top w:val="single" w:sz="4" w:space="3" w:color="515151"/>
      </w:pBdr>
      <w:spacing w:before="360" w:after="40" w:line="288" w:lineRule="auto"/>
      <w:outlineLvl w:val="2"/>
    </w:pPr>
    <w:rPr>
      <w:rFonts w:cs="Arial Unicode MS"/>
      <w:color w:val="000000"/>
      <w:spacing w:val="5"/>
      <w:sz w:val="30"/>
      <w:szCs w:val="3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Subtitle">
    <w:name w:val="Subtitle"/>
    <w:next w:val="Body"/>
    <w:uiPriority w:val="11"/>
    <w:qFormat/>
    <w:pPr>
      <w:keepNext/>
    </w:pPr>
    <w:rPr>
      <w:rFonts w:cs="Arial Unicode MS"/>
      <w:color w:val="000000"/>
      <w:sz w:val="44"/>
      <w:szCs w:val="44"/>
      <w14:textOutline w14:w="0" w14:cap="flat" w14:cmpd="sng" w14:algn="ctr">
        <w14:noFill/>
        <w14:prstDash w14:val="solid"/>
        <w14:bevel/>
      </w14:textOutline>
    </w:rPr>
  </w:style>
  <w:style w:type="paragraph" w:customStyle="1" w:styleId="Body">
    <w:name w:val="Body"/>
    <w:rPr>
      <w:rFonts w:cs="Arial Unicode MS"/>
      <w:color w:val="000000"/>
      <w:sz w:val="24"/>
      <w:szCs w:val="24"/>
      <w14:textOutline w14:w="0" w14:cap="flat" w14:cmpd="sng" w14:algn="ctr">
        <w14:noFill/>
        <w14:prstDash w14:val="solid"/>
        <w14:bevel/>
      </w14:textOutline>
    </w:rPr>
  </w:style>
  <w:style w:type="paragraph" w:customStyle="1" w:styleId="Default">
    <w:name w:val="Default"/>
    <w:pPr>
      <w:spacing w:before="160" w:line="288" w:lineRule="auto"/>
    </w:pPr>
    <w:rPr>
      <w:rFonts w:cs="Arial Unicode MS"/>
      <w:color w:val="000000"/>
      <w:sz w:val="26"/>
      <w:szCs w:val="26"/>
      <w:lang w:val="da-DK"/>
      <w14:textOutline w14:w="0" w14:cap="flat" w14:cmpd="sng" w14:algn="ctr">
        <w14:noFill/>
        <w14:prstDash w14:val="solid"/>
        <w14:bevel/>
      </w14:textOutline>
    </w:rPr>
  </w:style>
  <w:style w:type="paragraph" w:styleId="Caption">
    <w:name w:val="caption"/>
    <w:pPr>
      <w:tabs>
        <w:tab w:val="left" w:pos="1150"/>
      </w:tabs>
    </w:pPr>
    <w:rPr>
      <w:rFonts w:cs="Arial Unicode MS"/>
      <w:b/>
      <w:bCs/>
      <w:caps/>
      <w:color w:val="000000"/>
      <w:sz w:val="22"/>
      <w:szCs w:val="22"/>
      <w:lang w:val="nl-NL"/>
      <w14:textOutline w14:w="0" w14:cap="flat" w14:cmpd="sng" w14:algn="ctr">
        <w14:noFill/>
        <w14:prstDash w14:val="solid"/>
        <w14:bevel/>
      </w14:textOutline>
    </w:rPr>
  </w:style>
  <w:style w:type="numbering" w:customStyle="1" w:styleId="Numbered">
    <w:name w:val="Numbered"/>
    <w:pPr>
      <w:numPr>
        <w:numId w:val="1"/>
      </w:numPr>
    </w:pPr>
  </w:style>
  <w:style w:type="paragraph" w:customStyle="1" w:styleId="Footnote">
    <w:name w:val="Footnote"/>
    <w:rPr>
      <w:rFonts w:eastAsia="Times New Roman"/>
      <w:color w:val="000000"/>
      <w:sz w:val="16"/>
      <w:szCs w:val="16"/>
      <w14:textOutline w14:w="0" w14:cap="flat" w14:cmpd="sng" w14:algn="ctr">
        <w14:noFill/>
        <w14:prstDash w14:val="solid"/>
        <w14:bevel/>
      </w14:textOutline>
    </w:rPr>
  </w:style>
  <w:style w:type="paragraph" w:styleId="Header">
    <w:name w:val="header"/>
    <w:basedOn w:val="Normal"/>
    <w:link w:val="HeaderChar"/>
    <w:uiPriority w:val="99"/>
    <w:unhideWhenUsed/>
    <w:rsid w:val="00842C59"/>
    <w:pPr>
      <w:tabs>
        <w:tab w:val="center" w:pos="4680"/>
        <w:tab w:val="right" w:pos="9360"/>
      </w:tabs>
    </w:pPr>
  </w:style>
  <w:style w:type="character" w:customStyle="1" w:styleId="HeaderChar">
    <w:name w:val="Header Char"/>
    <w:basedOn w:val="DefaultParagraphFont"/>
    <w:link w:val="Header"/>
    <w:uiPriority w:val="99"/>
    <w:rsid w:val="00842C59"/>
    <w:rPr>
      <w:sz w:val="24"/>
      <w:szCs w:val="24"/>
    </w:rPr>
  </w:style>
  <w:style w:type="paragraph" w:styleId="Footer">
    <w:name w:val="footer"/>
    <w:basedOn w:val="Normal"/>
    <w:link w:val="FooterChar"/>
    <w:uiPriority w:val="99"/>
    <w:unhideWhenUsed/>
    <w:rsid w:val="00842C59"/>
    <w:pPr>
      <w:tabs>
        <w:tab w:val="center" w:pos="4680"/>
        <w:tab w:val="right" w:pos="9360"/>
      </w:tabs>
    </w:pPr>
  </w:style>
  <w:style w:type="character" w:customStyle="1" w:styleId="FooterChar">
    <w:name w:val="Footer Char"/>
    <w:basedOn w:val="DefaultParagraphFont"/>
    <w:link w:val="Footer"/>
    <w:uiPriority w:val="99"/>
    <w:rsid w:val="00842C5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26CE49-27AF-7B4E-96A0-B6B231AE2B41}">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7D738-5BA8-CD45-9566-3E0590A34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558</Words>
  <Characters>3355</Characters>
  <Application>Microsoft Office Word</Application>
  <DocSecurity>0</DocSecurity>
  <Lines>67</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Seth Foss</cp:lastModifiedBy>
  <cp:revision>2</cp:revision>
  <dcterms:created xsi:type="dcterms:W3CDTF">2025-05-21T16:17:00Z</dcterms:created>
  <dcterms:modified xsi:type="dcterms:W3CDTF">2025-05-22T01:41:00Z</dcterms:modified>
</cp:coreProperties>
</file>