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left"/>
      </w:pPr>
      <w:r>
        <w:rPr>
          <w:rtl w:val="0"/>
          <w:lang w:val="en-US"/>
        </w:rPr>
        <w:t xml:space="preserve">Community Service Society of New York. (n.d.). </w:t>
      </w:r>
      <w:r>
        <w:rPr>
          <w:i w:val="1"/>
          <w:iCs w:val="1"/>
          <w:rtl w:val="0"/>
          <w:lang w:val="en-US"/>
        </w:rPr>
        <w:t>Pathways to Social Housing in New York.</w:t>
      </w:r>
      <w:r>
        <w:rPr>
          <w:rtl w:val="0"/>
          <w:lang w:val="en-US"/>
        </w:rPr>
        <w:t xml:space="preserve"> Retrieved from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"https://www.cssny.org/pathways/Pathways-to-Social-Housing.pdf"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https://www.cssny.org/pathways/Pathways-to-Social-Housing.pdf</w:t>
      </w:r>
      <w:r>
        <w:rPr/>
        <w:fldChar w:fldCharType="end" w:fldLock="0"/>
      </w:r>
    </w:p>
    <w:p>
      <w:pPr>
        <w:pStyle w:val="Body"/>
        <w:jc w:val="left"/>
      </w:pPr>
    </w:p>
    <w:p>
      <w:pPr>
        <w:pStyle w:val="Body"/>
        <w:jc w:val="left"/>
      </w:pPr>
      <w:r>
        <w:rPr>
          <w:rtl w:val="0"/>
          <w:lang w:val="en-US"/>
        </w:rPr>
        <w:t xml:space="preserve">The New Yorker. (2025, March 17). </w:t>
      </w:r>
      <w:r>
        <w:rPr>
          <w:i w:val="1"/>
          <w:iCs w:val="1"/>
          <w:rtl w:val="0"/>
          <w:lang w:val="en-US"/>
        </w:rPr>
        <w:t>What do we buy into when we buy a home?</w:t>
      </w:r>
      <w:r>
        <w:rPr>
          <w:rtl w:val="0"/>
          <w:lang w:val="en-US"/>
        </w:rPr>
        <w:t xml:space="preserve"> Retrieved from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"https://www.newyorker.com/magazine/2025/03/17/what-do-we-buy-into-when-we-buy-a-home"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https://www.newyorker.com/magazine/2025/03/17/what-do-we-buy-into-when-we-buy-a-home</w:t>
      </w:r>
      <w:r>
        <w:rPr/>
        <w:fldChar w:fldCharType="end" w:fldLock="0"/>
      </w:r>
    </w:p>
    <w:p>
      <w:pPr>
        <w:pStyle w:val="Body"/>
        <w:jc w:val="left"/>
      </w:pPr>
    </w:p>
    <w:p>
      <w:pPr>
        <w:pStyle w:val="Body"/>
        <w:jc w:val="left"/>
      </w:pPr>
      <w:r>
        <w:rPr>
          <w:rtl w:val="0"/>
          <w:lang w:val="en-US"/>
        </w:rPr>
        <w:t xml:space="preserve">Time. (2024, July). </w:t>
      </w:r>
      <w:r>
        <w:rPr>
          <w:i w:val="1"/>
          <w:iCs w:val="1"/>
          <w:rtl w:val="0"/>
          <w:lang w:val="en-US"/>
        </w:rPr>
        <w:t>Community Land Trusts: How They Combat the Affordable Housing Crisis.</w:t>
      </w:r>
      <w:r>
        <w:rPr>
          <w:rtl w:val="0"/>
          <w:lang w:val="en-US"/>
        </w:rPr>
        <w:t xml:space="preserve"> Retrieved from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"https://time.com/7212194/community-land-trusts-how-they-combat-affordable-housing-crisis/"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https://time.com/7212194/community-land-trusts-how-they-combat-affordable-housing-crisis/</w:t>
      </w:r>
      <w:r>
        <w:rPr/>
        <w:fldChar w:fldCharType="end" w:fldLock="0"/>
      </w:r>
    </w:p>
    <w:p>
      <w:pPr>
        <w:pStyle w:val="Body"/>
        <w:jc w:val="left"/>
      </w:pPr>
    </w:p>
    <w:p>
      <w:pPr>
        <w:pStyle w:val="Body"/>
        <w:jc w:val="left"/>
      </w:pPr>
      <w:r>
        <w:rPr>
          <w:rtl w:val="0"/>
          <w:lang w:val="en-US"/>
        </w:rPr>
        <w:t xml:space="preserve">Shelterforce. (2024, July 3). </w:t>
      </w:r>
      <w:r>
        <w:rPr>
          <w:i w:val="1"/>
          <w:iCs w:val="1"/>
          <w:rtl w:val="0"/>
          <w:lang w:val="en-US"/>
        </w:rPr>
        <w:t>How Policy Can Help Tenants Purchase Their Homes: A Webinar.</w:t>
      </w:r>
      <w:r>
        <w:rPr>
          <w:rtl w:val="0"/>
          <w:lang w:val="en-US"/>
        </w:rPr>
        <w:t xml:space="preserve"> Retrieved from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"https://shelterforce.org/2024/07/03/how-policy-can-help-tenants-purchase-their-homes-a-webinar/"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https://shelterforce.org/2024/07/03/how-policy-can-help-tenants-purchase-their-homes-a-webinar/</w:t>
      </w:r>
      <w:r>
        <w:rPr/>
        <w:fldChar w:fldCharType="end" w:fldLock="0"/>
      </w:r>
    </w:p>
    <w:p>
      <w:pPr>
        <w:pStyle w:val="Body"/>
        <w:jc w:val="left"/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