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Housing Subsidy Reform Report</w:t>
      </w:r>
    </w:p>
    <w:p>
      <w:pPr>
        <w:pStyle w:val="Heading1"/>
      </w:pPr>
      <w:r>
        <w:t>1. Executive Summary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2. Introduction and Background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3. Statement of the Problem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4. Historical Context and Racial Wealth Gaps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5. Review of Current Housing Subsidy Models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6. Critique of NYC Voucher Administration and Landlord Practices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7. Policy Goals and Theory of Change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8. Proposed Policy Model – Tenant Ownership Pathways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9. Case Studies: Cooper Square, LES CLT, and Vienna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10. Target Population and Building Selection Criteria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11. Legal Framework and HUD Policy Waivers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12. Budgetary Strategy and ROI Forecasts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13. Agency Roles and Responsibilities (OMB, HPD, HDC, RTC)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14. Implementation Timeline – 5-Year Rollout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15. Risk Assessment and Contingency Planning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16. Monitoring and Evaluation Metrics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17. Community Engagement and Capacity Building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18. Impact on Housing Court, Homeless Services, and Shelter Systems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19. Tenant Governance Training Models and Third-Party Support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20. Sustainable Affordability via Deed Restrictions and CLTs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21. Interagency Collaboration Model and Pilot Program Criteria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22. Political Feasibility and Stakeholder Alignment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23. Federal-State-City Intergovernmental Opportunities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24. Future Expansion and Replicability</w:t>
      </w:r>
    </w:p>
    <w:p>
      <w:pPr/>
      <w:r>
        <w:t>[To be expanded: content, citations, data models, and case examples will be developed here.]</w:t>
      </w:r>
    </w:p>
    <w:p>
      <w:pPr>
        <w:pStyle w:val="Heading1"/>
      </w:pPr>
      <w:r>
        <w:t>25. Conclusion and Policy Recommendations</w:t>
      </w:r>
    </w:p>
    <w:p>
      <w:pPr/>
      <w:r>
        <w:t>[To be expanded: content, citations, data models, and case examples will be developed here.]</w:t>
      </w:r>
    </w:p>
    <w:p>
      <w:r>
        <w:br/>
        <w:t>Draft generated on 2025-04-08 – 25-page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