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Housing Subsidy Reform: A Public Equity Transfer Framework for Tenant Ownership and Intergenerational Wealth-Building in NYC</w:t>
      </w:r>
    </w:p>
    <w:p>
      <w:r>
        <w:t>Executive Summary</w:t>
        <w:br/>
        <w:br/>
        <w:t>New York City's current rental subsidy model fails to generate long-term housing stability and financial equity for low-income residents, particularly for Black, Latinx, and immigrant communities. This proposal introduces the Tenant Co-op Acquisition Program (TCAP), which redirects rental subsidies toward the acquisition and cooperative ownership of multifamily buildings. TCAP provides a structural shift from landlord-centered subsidies to a Public Equity Transfer Framework—transforming subsidies into equity-building investments. The result is tenant-governed cooperatives that reduce public costs, stabilize neighborhoods, and foster intergenerational wealth.</w:t>
        <w:br/>
        <w:br/>
        <w:t>Legislative Proposal Draft: Tenant Opportunity to Purchase and Equity Transfer Act (TOPETA)</w:t>
        <w:br/>
        <w:br/>
        <w:t>Article I: Title and Purpose</w:t>
        <w:br/>
        <w:br/>
        <w:t>This Act shall be known as the "Tenant Opportunity to Purchase and Equity Transfer Act (TOPETA)." Its purpose is to restructure NYC housing subsidies to support tenant ownership in distressed multifamily buildings where public funds currently support rent payments, redirecting those subsidies toward equity acquisition, repair, and governance.</w:t>
        <w:br/>
        <w:br/>
        <w:t>Article II: Definitions</w:t>
        <w:br/>
        <w:br/>
        <w:t>- Eligible Property: Any multifamily residential building in which 50% or more of units receive public rental subsidies (e.g., Section 8, CityFHEPS) and which has at least two Class C housing violations or Housing Court judgments in a 12-month period.</w:t>
        <w:br/>
        <w:t>- Tenant Association: A registered body of tenant residents residing in an Eligible Property with a formal organizational structure for governance.</w:t>
        <w:br/>
        <w:t>- Subsidy Redirection: The legal authority to reallocate housing subsidy funds into equity, repair, and reserve components for cooperative conversion.</w:t>
        <w:br/>
        <w:t>- Public Equity Transfer: A mechanism by which the value of existing subsidies is monetized and redirected into long-term ownership shares for tenants.</w:t>
        <w:br/>
        <w:br/>
        <w:t>Article III: Right of First Refusal</w:t>
        <w:br/>
        <w:br/>
        <w:t>Section 1: Upon listing or initiating foreclosure proceedings, property owners of Eligible Properties must provide written notice to HPD and all residents of the building.</w:t>
        <w:br/>
        <w:br/>
        <w:t>Section 2: Tenant Associations shall be granted 45 days to express intent to purchase the building, and an additional 90 days to secure financing through the TCAP structure.</w:t>
        <w:br/>
        <w:br/>
        <w:t>Section 3: During this 135-day period, no sale, transfer, or foreclosure proceeding may be executed.</w:t>
        <w:br/>
        <w:br/>
        <w:t>Article IV: Financing Mechanisms</w:t>
        <w:br/>
        <w:br/>
        <w:t>Section 1: HPD shall reallocate existing housing subsidies for participating tenants into the following uses:</w:t>
        <w:br/>
        <w:t>- (a) Equity Contribution</w:t>
        <w:br/>
        <w:t>- (b) Code Violation Repairs &amp; Energy Efficiency Upgrades</w:t>
        <w:br/>
        <w:t>- (c) HOA Reserve Fund managed by certified Community Development Financial Institutions (CDFIs)</w:t>
        <w:br/>
        <w:br/>
        <w:t>Section 2: Participating Credit Unions shall provide cooperative mortgages backed by city loan guarantees.</w:t>
        <w:br/>
        <w:br/>
        <w:t>Article V: Governance and Affordability Protections</w:t>
        <w:br/>
        <w:br/>
        <w:t>Section 1: Cooperatives formed under TOPETA must adopt limited-equity models with resale price caps.</w:t>
        <w:br/>
        <w:br/>
        <w:t>Section 2: Tenant Boards shall be elected within 6 months of incorporation and shall receive city-funded technical assistance and fiscal training.</w:t>
        <w:br/>
        <w:br/>
        <w:t>Section 3: All future units must be resold only to income-eligible buyers per HUD AMI guidelines.</w:t>
        <w:br/>
        <w:br/>
        <w:t>Article VI: Implementation Oversight</w:t>
        <w:br/>
        <w:br/>
        <w:t>Section 1: HPD and DHCR shall jointly oversee annual audits, repair benchmarks, and legal compliance.</w:t>
        <w:br/>
        <w:br/>
        <w:t>Section 2: An online dashboard shall track building status, repair progress, HOA financials, and ownership turnover, and shall be publicly accessible.</w:t>
        <w:br/>
        <w:br/>
        <w:t>Article VII: Fiscal Impact Statement</w:t>
        <w:br/>
        <w:br/>
        <w:t>Estimated annual cost reduction of over 60% per unit compared to emergency shelter services, with wealth generation estimated at $82,000 per household within 10 years.</w:t>
        <w:br/>
        <w:br/>
        <w:t>Article VIII: Pilot and Scaling Schedule</w:t>
        <w:br/>
        <w:br/>
        <w:t>Year 1: Bronx CD 6 and Brooklyn CD 5</w:t>
        <w:br/>
        <w:t>Years 2–3: Northern Manhattan, Queens CD 14</w:t>
        <w:br/>
        <w:t>Years 4–5: Expansion to Staten Island and remaining districts</w:t>
        <w:br/>
        <w:br/>
        <w:t>Conclusion</w:t>
        <w:br/>
        <w:br/>
        <w:t>TOPETA represents a shift from reactive housing policy toward proactive equity-building. It legally enables tenants to convert vulnerable properties into democratically managed cooperatives, ensuring both housing stability and wealth generation.</w:t>
        <w:br/>
        <w:br/>
        <w:t>[Note: Insert tables and figures from Appendices A–D and update formatting for APA compliance in final version.]</w:t>
        <w:br/>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Housing Subsidy Reform Proposal – Version: 2025-04-18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