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Tenant Co-op Acquisition Program (TCAP)</w:t>
      </w:r>
    </w:p>
    <w:p>
      <w:r>
        <w:t>Date: June 3, 2025</w:t>
      </w:r>
    </w:p>
    <w:p>
      <w:r>
        <w:t>Prepared by: Seth Foss, Public Policy Research Scholar</w:t>
      </w:r>
    </w:p>
    <w:p>
      <w:r>
        <w:t>Contact: sfosss@icloud.com | 917-971-2922</w:t>
      </w:r>
    </w:p>
    <w:p>
      <w:pPr>
        <w:pStyle w:val="Heading2"/>
      </w:pPr>
      <w:r>
        <w:t>What Is TCAP?</w:t>
      </w:r>
    </w:p>
    <w:p>
      <w:r>
        <w:t>The Tenant Co-op Acquisition Program (TCAP) restructures NYC's housing subsidy system by converting qualifying rental vouchers into down payment and equity-building assistance. Through the Public Equity Transfer Framework (PETF), tenants gain cooperative ownership of distressed buildings, replacing landlord-controlled subsidies with equity-based stability.</w:t>
      </w:r>
    </w:p>
    <w:p>
      <w:pPr>
        <w:pStyle w:val="Heading2"/>
      </w:pPr>
      <w:r>
        <w:t>Key Goals</w:t>
      </w:r>
    </w:p>
    <w:p>
      <w:r>
        <w:t>- Replace rental vouchers with equity transfer subsidies</w:t>
        <w:br/>
        <w:t>- Transition distressed buildings into limited-equity co-ops</w:t>
        <w:br/>
        <w:t>- Build intergenerational wealth for historically excluded tenants</w:t>
        <w:br/>
        <w:t>- Reduce eviction rates and housing court burdens</w:t>
        <w:br/>
        <w:t>- Ensure public oversight and compliance through PETF</w:t>
      </w:r>
    </w:p>
    <w:p>
      <w:pPr>
        <w:pStyle w:val="Heading2"/>
      </w:pPr>
      <w:r>
        <w:t>Who Benefits?</w:t>
      </w:r>
    </w:p>
    <w:p>
      <w:r>
        <w:t>- Tenants in buildings with high code violations or on the Top 100 Worst Landlords list</w:t>
        <w:br/>
        <w:t>- Households currently using CityFHEPS, HASA, FHEPS, and Section 8</w:t>
        <w:br/>
        <w:t>- Working-class and disabled residents at or below 80% AMI</w:t>
      </w:r>
    </w:p>
    <w:p>
      <w:pPr>
        <w:pStyle w:val="Heading2"/>
      </w:pPr>
      <w:r>
        <w:t>How It Works</w:t>
      </w:r>
    </w:p>
    <w:p>
      <w:r>
        <w:t>1. A qualifying building is flagged for conversion.</w:t>
        <w:br/>
        <w:t>2. Tenants vote to support cooperative acquisition.</w:t>
        <w:br/>
        <w:t>3. Vouchers are reclassified to support ownership (ETVs).</w:t>
        <w:br/>
        <w:t>4. Credit unions issue backed loans; PETF holds equity reserves.</w:t>
        <w:br/>
        <w:t>5. Tenants receive shares and long-term affordability protections.</w:t>
      </w:r>
    </w:p>
    <w:p>
      <w:pPr>
        <w:pStyle w:val="Heading2"/>
      </w:pPr>
      <w:r>
        <w:t>Fiscal &amp; Legal Backbone</w:t>
      </w:r>
    </w:p>
    <w:p>
      <w:r>
        <w:t>• Uses existing HUD/HRA voucher streams — no new taxes required</w:t>
        <w:br/>
        <w:t>• Monitored by an interagency oversight board (HPD, HRA, DHCR, NYCHA)</w:t>
        <w:br/>
        <w:t>• Reduces dependency on emergency programs (Right to Counsel, homeless shelter use)</w:t>
      </w:r>
    </w:p>
    <w:p>
      <w:r>
        <w:br/>
        <w:t>For legislative packet or detailed implementation memos, contact the author or see attached policy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