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HOUSING SUBSIDY REFORM</w:t>
      </w:r>
    </w:p>
    <w:p>
      <w:pPr>
        <w:pStyle w:val="Heading"/>
        <w:bidi w:val="0"/>
      </w:pPr>
      <w:r>
        <w:rPr>
          <w:rtl w:val="0"/>
        </w:rPr>
        <w:t>POLICY</w:t>
      </w:r>
      <w:r>
        <w:rPr>
          <w:rtl w:val="0"/>
        </w:rPr>
        <w:t xml:space="preserve"> </w:t>
      </w:r>
      <w:r>
        <w:rPr>
          <w:rtl w:val="0"/>
        </w:rPr>
        <w:t>PROPOSAL</w:t>
      </w:r>
    </w:p>
    <w:p>
      <w:pPr>
        <w:pStyle w:val="Heading"/>
        <w:bidi w:val="0"/>
      </w:pPr>
      <w:r>
        <w:rPr>
          <w:rtl w:val="0"/>
          <w:lang w:val="pt-PT"/>
        </w:rPr>
        <w:t xml:space="preserve">(TCAP) </w:t>
      </w:r>
    </w:p>
    <w:p>
      <w:pPr>
        <w:pStyle w:val="Heading 3"/>
        <w:bidi w:val="0"/>
      </w:pPr>
      <w:r>
        <w:rPr>
          <w:rtl w:val="0"/>
        </w:rPr>
        <w:t xml:space="preserve">PART I </w:t>
      </w:r>
      <w:r>
        <w:rPr>
          <w:rtl w:val="0"/>
        </w:rPr>
        <w:t xml:space="preserve">— </w:t>
      </w:r>
      <w:r>
        <w:rPr>
          <w:rtl w:val="0"/>
        </w:rPr>
        <w:t>RESEARCH FOUNDATIONS</w:t>
      </w:r>
    </w:p>
    <w:p>
      <w:pPr>
        <w:pStyle w:val="Heading"/>
        <w:bidi w:val="0"/>
      </w:pPr>
      <w:r>
        <w:rPr>
          <w:rtl w:val="0"/>
        </w:rPr>
        <w:t>Executive Summary</w:t>
      </w:r>
      <w:r>
        <w:rPr>
          <w:rtl w:val="0"/>
        </w:rPr>
        <w:t xml:space="preserve">                                                                                                                                                                                                                                                                                                                                                                                       </w:t>
      </w:r>
    </w:p>
    <w:p>
      <w:pPr>
        <w:pStyle w:val="Body"/>
        <w:jc w:val="center"/>
      </w:pPr>
      <w:r>
        <w:rPr>
          <w:rStyle w:val="Italic"/>
          <w:rtl w:val="0"/>
          <w:lang w:val="en-US"/>
        </w:rPr>
        <w:t>How might New York City reconceptualize and structurally redesign its housing subsidy infrastructure to facilitate not only affordability but actual tenant ownership, thereby enabling sustainable intergenerational wealth accumulation within historically disenfranchised and racially marginalized communities?</w:t>
      </w:r>
      <w:r>
        <w:rPr>
          <w:rtl w:val="0"/>
        </w:rPr>
        <w:t xml:space="preserve"> </w:t>
      </w:r>
    </w:p>
    <w:p>
      <w:pPr>
        <w:pStyle w:val="Heading 2"/>
        <w:bidi w:val="0"/>
      </w:pPr>
      <w:r>
        <w:rPr>
          <w:rtl w:val="0"/>
        </w:rPr>
        <w:t>Policy Framework</w:t>
      </w:r>
    </w:p>
    <w:p>
      <w:pPr>
        <w:pStyle w:val="Body"/>
        <w:jc w:val="left"/>
      </w:pPr>
      <w:r>
        <w:rPr>
          <w:rtl w:val="0"/>
        </w:rPr>
        <w:tab/>
        <w:t>By</w:t>
      </w:r>
      <w:r>
        <w:rPr>
          <w:rtl w:val="0"/>
          <w:lang w:val="en-US"/>
        </w:rPr>
        <w:t xml:space="preserve"> reframing the purpose of subsidy programs to address both wealth and stability, this policy endeavors to convert long-standing tools of subsistence into mechanisms of empowerment and systemic transformation.</w:t>
      </w:r>
      <w:r>
        <w:rPr>
          <w:rtl w:val="0"/>
          <w:lang w:val="en-US"/>
        </w:rPr>
        <w:t xml:space="preserve"> </w:t>
      </w:r>
      <w:r>
        <w:rPr>
          <w:rtl w:val="0"/>
          <w:lang w:val="en-US"/>
        </w:rPr>
        <w:t xml:space="preserve">This proposal introduces the </w:t>
      </w:r>
      <w:r>
        <w:rPr>
          <w:b w:val="1"/>
          <w:bCs w:val="1"/>
          <w:rtl w:val="0"/>
          <w:lang w:val="en-US"/>
        </w:rPr>
        <w:t>Tenant Co-op Acquisition Program (TCAP)</w:t>
      </w:r>
      <w:r>
        <w:rPr>
          <w:rtl w:val="0"/>
          <w:lang w:val="en-US"/>
        </w:rPr>
        <w:t xml:space="preserve"> as a policy vehicle to transition NYC's housing subsidy architecture from a rent-centered paradigm toward one rooted in collective tenant ownership and wealth equity. TCAP repurposes public subsidies, such as Section 8 Housing Choice Vouchers (HCV),</w:t>
      </w:r>
      <w:r>
        <w:rPr>
          <w:rtl w:val="0"/>
          <w:lang w:val="en-US"/>
        </w:rPr>
        <w:t xml:space="preserve"> </w:t>
      </w:r>
      <w:r>
        <w:rPr>
          <w:rtl w:val="0"/>
          <w:lang w:val="en-US"/>
        </w:rPr>
        <w:t>CityFHEPS, and HASA</w:t>
      </w:r>
      <w:r>
        <w:rPr>
          <w:rtl w:val="0"/>
          <w:lang w:val="en-US"/>
        </w:rPr>
        <w:t xml:space="preserve">, </w:t>
      </w:r>
      <w:r>
        <w:rPr>
          <w:rtl w:val="0"/>
          <w:lang w:val="en-US"/>
        </w:rPr>
        <w:t>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pPr>
        <w:pStyle w:val="Heading 2"/>
        <w:bidi w:val="0"/>
      </w:pPr>
      <w:r>
        <w:rPr>
          <w:rtl w:val="0"/>
        </w:rPr>
        <w:t>Strategic Approach</w:t>
      </w:r>
    </w:p>
    <w:p>
      <w:pPr>
        <w:pStyle w:val="Body"/>
        <w:bidi w:val="0"/>
      </w:pPr>
      <w:r>
        <w:tab/>
      </w:r>
      <w:r>
        <w:rPr>
          <w:rtl w:val="0"/>
          <w:lang w:val="de-DE"/>
        </w:rPr>
        <w:t>Under TCAP</w:t>
      </w:r>
      <w:r>
        <w:rPr>
          <w:rtl w:val="1"/>
        </w:rPr>
        <w:t>’</w:t>
      </w:r>
      <w:r>
        <w:rPr>
          <w:rtl w:val="0"/>
        </w:rPr>
        <w:t>s operational structure, subsidies will initially maintain their rent-support function, then transition in phases to support equity acquisition, cooperative reserve contributions, and long-term capital improvements. Administrative oversight and programmatic implementation will be housed within HPD, working in formal partnership with NYS Homes and Community Renewal (HCR), community development financial institutions (CDFIs), credit unions, legal service providers, and established tenant advocacy coalitions. These entities will coordinate under an interagency governance model designed to ensure regulatory compliance, financial transparency, and tenant capacity-building. The strategy emphasizes technical assistance, legal empowerment, and flexible funding mechanisms to mitigate displacement risk during the transition process.</w:t>
      </w:r>
    </w:p>
    <w:p>
      <w:pPr>
        <w:pStyle w:val="Heading 2"/>
        <w:bidi w:val="0"/>
      </w:pPr>
      <w:r>
        <w:rPr>
          <w:rtl w:val="0"/>
        </w:rPr>
        <w:t>Theoretical Rationale</w:t>
      </w:r>
    </w:p>
    <w:p>
      <w:pPr>
        <w:pStyle w:val="Body"/>
        <w:bidi w:val="0"/>
      </w:pPr>
      <w:r>
        <w:tab/>
      </w:r>
      <w:r>
        <w:rPr>
          <w:rtl w:val="0"/>
        </w:rPr>
        <w:t>Extensive literature in urban sociology, political economy, and housing justice consistently demonstrates that homeownership remains one of the most robust predictors of long-term wealth generation, civic engagement, and neighborhood stabilization (Oliver &amp; Shapiro, 1995; Elmelech, 2004; Logan &amp; Molotch,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pPr>
        <w:pStyle w:val="Heading 2"/>
        <w:bidi w:val="0"/>
      </w:pPr>
      <w:r>
        <w:rPr>
          <w:rtl w:val="0"/>
        </w:rPr>
        <w:t>Anticipated Outcomes</w:t>
      </w:r>
    </w:p>
    <w:p>
      <w:pPr>
        <w:pStyle w:val="Bullet"/>
        <w:numPr>
          <w:ilvl w:val="0"/>
          <w:numId w:val="2"/>
        </w:numPr>
        <w:rPr>
          <w:lang w:val="en-US"/>
        </w:rPr>
      </w:pPr>
      <w:r>
        <w:rPr>
          <w:rtl w:val="0"/>
          <w:lang w:val="en-US"/>
        </w:rPr>
        <w:t>A fundamental reconfiguration of public housing subsidies as equity-generating mechanisms</w:t>
      </w:r>
    </w:p>
    <w:p>
      <w:pPr>
        <w:pStyle w:val="Bullet"/>
        <w:numPr>
          <w:ilvl w:val="0"/>
          <w:numId w:val="2"/>
        </w:numPr>
        <w:rPr>
          <w:lang w:val="en-US"/>
        </w:rPr>
      </w:pPr>
      <w:r>
        <w:rPr>
          <w:rtl w:val="0"/>
          <w:lang w:val="en-US"/>
        </w:rPr>
        <w:t>A measurable reduction in eviction rates, shelter utilization, housing court caseloads, and litigation expenditures</w:t>
      </w:r>
    </w:p>
    <w:p>
      <w:pPr>
        <w:pStyle w:val="Bullet"/>
        <w:numPr>
          <w:ilvl w:val="0"/>
          <w:numId w:val="2"/>
        </w:numPr>
        <w:rPr>
          <w:lang w:val="en-US"/>
        </w:rPr>
      </w:pPr>
      <w:r>
        <w:rPr>
          <w:rtl w:val="0"/>
          <w:lang w:val="en-US"/>
        </w:rPr>
        <w:t>Decreased financial incentives for exploitative landlord practices and serial code violations</w:t>
      </w:r>
    </w:p>
    <w:p>
      <w:pPr>
        <w:pStyle w:val="Bullet"/>
        <w:numPr>
          <w:ilvl w:val="0"/>
          <w:numId w:val="2"/>
        </w:numPr>
        <w:rPr>
          <w:lang w:val="en-US"/>
        </w:rPr>
      </w:pPr>
      <w:r>
        <w:rPr>
          <w:rtl w:val="0"/>
          <w:lang w:val="en-US"/>
        </w:rPr>
        <w:t>Expansion of access to limited-equity homeownership for low- and moderate-income households</w:t>
      </w:r>
    </w:p>
    <w:p>
      <w:pPr>
        <w:pStyle w:val="Bullet"/>
        <w:numPr>
          <w:ilvl w:val="0"/>
          <w:numId w:val="2"/>
        </w:numPr>
        <w:rPr>
          <w:lang w:val="en-US"/>
        </w:rPr>
      </w:pPr>
      <w:r>
        <w:rPr>
          <w:rtl w:val="0"/>
          <w:lang w:val="en-US"/>
        </w:rPr>
        <w:t>Institutionalization of cooperative governance models that embed democratic tenant control</w:t>
      </w:r>
    </w:p>
    <w:p>
      <w:pPr>
        <w:pStyle w:val="Bullet"/>
        <w:numPr>
          <w:ilvl w:val="0"/>
          <w:numId w:val="2"/>
        </w:numPr>
        <w:rPr>
          <w:lang w:val="en-US"/>
        </w:rPr>
      </w:pPr>
      <w:r>
        <w:rPr>
          <w:rtl w:val="0"/>
          <w:lang w:val="en-US"/>
        </w:rPr>
        <w:t>Strengthened neighborhood resilience and reduced residential turnover in vulnerable districts</w:t>
      </w:r>
    </w:p>
    <w:p>
      <w:pPr>
        <w:pStyle w:val="Heading 2"/>
        <w:bidi w:val="0"/>
      </w:pPr>
      <w:r>
        <w:rPr>
          <w:rtl w:val="0"/>
        </w:rPr>
        <w:t>Legislative and Administrative Instruments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The TCAP policy architecture is underpinned by a legal framework designed to facilitate the redirection of subsidies into ownership pathways. Key instruments include: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Enactment of a Public Equity Transfer Framework (PETF), codifying the legal right to convert subsidy vouchers into cooperative shares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Amendments to NYS Real Property Law permitting subsidy-backed co-op formation and transfer</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Strengthened tenant rights under Right of First Refusal (ROFR) legislation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Expansion of Community Opportunity to Purchase Act (COPA) provisions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HUD administrative waivers enabling flexibility in HCV deployment for equity conversion pilots</w:t>
      </w:r>
    </w:p>
    <w:p>
      <w:pPr>
        <w:pStyle w:val="Body"/>
        <w:bidi w:val="0"/>
      </w:pPr>
      <w:r>
        <w:rPr>
          <w:rtl w:val="0"/>
        </w:rPr>
        <w:t>Oversight functions will be distributed among HPD, HCR, the NYS Attorney General</w:t>
      </w:r>
      <w:r>
        <w:rPr>
          <w:rtl w:val="1"/>
        </w:rPr>
        <w:t>’</w:t>
      </w:r>
      <w:r>
        <w:rPr>
          <w:rtl w:val="0"/>
        </w:rPr>
        <w:t>s Office, and community-based accountability boards composed of tenant representatives and nonprofit housing experts.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Implementation Framework</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The implementation phase will begin with the selection of five high-priority pilot buildings located in districts with concentrated housing code violations, organized tenant bases, and high risk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Fiscal and Economic Viability</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TCAP is explicitly designed to be fiscally self-sustaining over a five-year implementation horizon. Initial capital expenditures for acquisition and stabilization will be offset by substantial reductions in emergency housing assistance, litigation costs, and long-term shelter dependency.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demonstrating that TCAP yields greater return on public investment while materially improving tenant outcomes.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Empirical Foundation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A robust empirical base supports the conceptual and operational premises of TCAP. Elmelech (2004) provides a foundational analysis of homeownership disparities in NYC, linking racialized immigration histories and structural exclusions from mortgage markets to current inequities. HUD</w:t>
      </w:r>
      <w:r>
        <w:rPr>
          <w:rFonts w:ascii="Times Roman" w:hAnsi="Times Roman" w:hint="default"/>
          <w:sz w:val="24"/>
          <w:szCs w:val="24"/>
          <w:rtl w:val="1"/>
        </w:rPr>
        <w:t>’</w:t>
      </w:r>
      <w:r>
        <w:rPr>
          <w:rFonts w:ascii="Times Roman" w:hAnsi="Times Roman"/>
          <w:sz w:val="24"/>
          <w:szCs w:val="24"/>
          <w:rtl w:val="0"/>
          <w:lang w:val="en-US"/>
        </w:rPr>
        <w:t>s Community Choice Demonstration (Lubell et al., 2025) illustrates how enhanced tenant mobility and support services improve access to opportunity-rich neighborhoods, while simultaneously reinforcing the need for long-term housing stability strategies. Chernick, Reschovsky, and Newman (2021) empirically tie housing instability to municipal revenue loss and service strain, arguing for proactive fiscal tools such as cooperative acquisition. Dubb (2020), writing for the Nonprofit Quarterly, documents the emergence of non-market ownership models</w:t>
      </w:r>
      <w:r>
        <w:rPr>
          <w:rFonts w:ascii="Times Roman" w:hAnsi="Times Roman" w:hint="default"/>
          <w:sz w:val="24"/>
          <w:szCs w:val="24"/>
          <w:rtl w:val="0"/>
          <w:lang w:val="en-US"/>
        </w:rPr>
        <w:t>—</w:t>
      </w:r>
      <w:r>
        <w:rPr>
          <w:rFonts w:ascii="Times Roman" w:hAnsi="Times Roman"/>
          <w:sz w:val="24"/>
          <w:szCs w:val="24"/>
          <w:rtl w:val="0"/>
          <w:lang w:val="en-US"/>
        </w:rPr>
        <w:t>including faith-based land partnerships and community wealth cooperatives</w:t>
      </w:r>
      <w:r>
        <w:rPr>
          <w:rFonts w:ascii="Times Roman" w:hAnsi="Times Roman" w:hint="default"/>
          <w:sz w:val="24"/>
          <w:szCs w:val="24"/>
          <w:rtl w:val="0"/>
          <w:lang w:val="en-US"/>
        </w:rPr>
        <w:t>—</w:t>
      </w:r>
      <w:r>
        <w:rPr>
          <w:rFonts w:ascii="Times Roman" w:hAnsi="Times Roman"/>
          <w:sz w:val="24"/>
          <w:szCs w:val="24"/>
          <w:rtl w:val="0"/>
          <w:lang w:val="en-US"/>
        </w:rPr>
        <w:t>that successfully reclaim agency from speculative landlords and reinvest in marginalized communities.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Next Steps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To operationalize TCAP, a set of immediate procedural and legal steps must be prioritized:</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Draft and formally adopt standardized legal templates for cooperative formation, governance structures, and subsidy-to-equity conversion.</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Execute memoranda of understanding (MOUs) among HPD, NYCHA, HCR, and legal aid partners for coordinated service delivery.</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Develop and submit a comprehensive waiver request to HUD for use of HCVs in cooperative equity acquisition under PETF provisions.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Identify and secure five initial pilot properties with readiness assessments, funding approvals, and tenant participation benchmarks.</w:t>
      </w:r>
    </w:p>
    <w:p>
      <w:pPr>
        <w:pStyle w:val="Default"/>
        <w:numPr>
          <w:ilvl w:val="0"/>
          <w:numId w:val="5"/>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Initiate a citywide communications campaign and stakeholder briefings to build public awareness and institutional alignment.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The TCAP Task Force will monitor implementation against a matrix of evaluative indicators</w:t>
      </w:r>
      <w:r>
        <w:rPr>
          <w:rFonts w:ascii="Times Roman" w:hAnsi="Times Roman" w:hint="default"/>
          <w:sz w:val="24"/>
          <w:szCs w:val="24"/>
          <w:rtl w:val="0"/>
          <w:lang w:val="en-US"/>
        </w:rPr>
        <w:t>—</w:t>
      </w:r>
      <w:r>
        <w:rPr>
          <w:rFonts w:ascii="Times Roman" w:hAnsi="Times Roman"/>
          <w:sz w:val="24"/>
          <w:szCs w:val="24"/>
          <w:rtl w:val="0"/>
          <w:lang w:val="en-US"/>
        </w:rPr>
        <w:t>housing stability, ownership conversion rate, subsidy efficiency, and neighborhood-level outcomes</w:t>
      </w:r>
      <w:r>
        <w:rPr>
          <w:rFonts w:ascii="Times Roman" w:hAnsi="Times Roman" w:hint="default"/>
          <w:sz w:val="24"/>
          <w:szCs w:val="24"/>
          <w:rtl w:val="0"/>
          <w:lang w:val="en-US"/>
        </w:rPr>
        <w:t>—</w:t>
      </w:r>
      <w:r>
        <w:rPr>
          <w:rFonts w:ascii="Times Roman" w:hAnsi="Times Roman"/>
          <w:sz w:val="24"/>
          <w:szCs w:val="24"/>
          <w:rtl w:val="0"/>
          <w:lang w:val="en-US"/>
        </w:rPr>
        <w:t>informing policy refinement and eventual institutionalization.</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Body"/>
        <w:bidi w:val="0"/>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Policy Question &amp; Significance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Framing the Core Inquiry</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At the heart of this proposal lies a fundamental inquiry into the design, purpose, and justice implications of New York City</w:t>
      </w:r>
      <w:r>
        <w:rPr>
          <w:rFonts w:ascii="Times Roman" w:hAnsi="Times Roman" w:hint="default"/>
          <w:sz w:val="24"/>
          <w:szCs w:val="24"/>
          <w:rtl w:val="1"/>
        </w:rPr>
        <w:t>’</w:t>
      </w:r>
      <w:r>
        <w:rPr>
          <w:rFonts w:ascii="Times Roman" w:hAnsi="Times Roman"/>
          <w:sz w:val="24"/>
          <w:szCs w:val="24"/>
          <w:rtl w:val="0"/>
          <w:lang w:val="en-US"/>
        </w:rPr>
        <w:t xml:space="preserve">s housing subsidy infrastructure: </w:t>
      </w:r>
      <w:r>
        <w:rPr>
          <w:rFonts w:ascii="Times Roman" w:hAnsi="Times Roman"/>
          <w:b w:val="1"/>
          <w:bCs w:val="1"/>
          <w:sz w:val="24"/>
          <w:szCs w:val="24"/>
          <w:rtl w:val="0"/>
          <w:lang w:val="en-US"/>
        </w:rPr>
        <w:t>How can the city</w:t>
      </w:r>
      <w:r>
        <w:rPr>
          <w:rFonts w:ascii="Times Roman" w:hAnsi="Times Roman" w:hint="default"/>
          <w:b w:val="1"/>
          <w:bCs w:val="1"/>
          <w:sz w:val="24"/>
          <w:szCs w:val="24"/>
          <w:rtl w:val="1"/>
        </w:rPr>
        <w:t>’</w:t>
      </w:r>
      <w:r>
        <w:rPr>
          <w:rFonts w:ascii="Times Roman" w:hAnsi="Times Roman"/>
          <w:b w:val="1"/>
          <w:bCs w:val="1"/>
          <w:sz w:val="24"/>
          <w:szCs w:val="24"/>
          <w:rtl w:val="0"/>
          <w:lang w:val="en-US"/>
        </w:rPr>
        <w:t>s rental subsidy programs be structurally reconfigured to facilitate tenant ownership and foster intergenerational wealth-building, particularly within communities historically denied access to asset formation?</w:t>
      </w:r>
      <w:r>
        <w:rPr>
          <w:rFonts w:ascii="Times Roman" w:hAnsi="Times Roman"/>
          <w:sz w:val="24"/>
          <w:szCs w:val="24"/>
          <w:rtl w:val="0"/>
          <w:lang w:val="en-US"/>
        </w:rPr>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w:t>
      </w:r>
      <w:r>
        <w:rPr>
          <w:rFonts w:ascii="Times Roman" w:hAnsi="Times Roman" w:hint="default"/>
          <w:sz w:val="24"/>
          <w:szCs w:val="24"/>
          <w:rtl w:val="0"/>
          <w:lang w:val="en-US"/>
        </w:rPr>
        <w:t>—</w:t>
      </w:r>
      <w:r>
        <w:rPr>
          <w:rFonts w:ascii="Times Roman" w:hAnsi="Times Roman"/>
          <w:sz w:val="24"/>
          <w:szCs w:val="24"/>
          <w:rtl w:val="0"/>
          <w:lang w:val="en-US"/>
        </w:rPr>
        <w:t>it is an ontological one: What should public housing subsidies accomplish in a society ostensibly committed to equity?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Significance in the Context of Structural Inequality</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(Elmelech,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Convergence of Fiscal, Legal, and Racial Imperatives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Converging crises magnify the proposal's urgency: increasing displacement in working-class neighborhoods, mounting public expenditures on eviction prevention and shelter services, and a growing recognition that tenant protections</w:t>
      </w:r>
      <w:r>
        <w:rPr>
          <w:rFonts w:ascii="Times Roman" w:hAnsi="Times Roman" w:hint="default"/>
          <w:sz w:val="24"/>
          <w:szCs w:val="24"/>
          <w:rtl w:val="0"/>
          <w:lang w:val="en-US"/>
        </w:rPr>
        <w:t>—</w:t>
      </w:r>
      <w:r>
        <w:rPr>
          <w:rFonts w:ascii="Times Roman" w:hAnsi="Times Roman"/>
          <w:sz w:val="24"/>
          <w:szCs w:val="24"/>
          <w:rtl w:val="0"/>
          <w:lang w:val="en-US"/>
        </w:rPr>
        <w:t>even when well-resourced</w:t>
      </w:r>
      <w:r>
        <w:rPr>
          <w:rFonts w:ascii="Times Roman" w:hAnsi="Times Roman" w:hint="default"/>
          <w:sz w:val="24"/>
          <w:szCs w:val="24"/>
          <w:rtl w:val="0"/>
          <w:lang w:val="en-US"/>
        </w:rPr>
        <w:t>—</w:t>
      </w:r>
      <w:r>
        <w:rPr>
          <w:rFonts w:ascii="Times Roman" w:hAnsi="Times Roman"/>
          <w:sz w:val="24"/>
          <w:szCs w:val="24"/>
          <w:rtl w:val="0"/>
          <w:lang w:val="en-US"/>
        </w:rPr>
        <w:t>do not constitute asset security. Even landmark programs such as Right to Counsel, CityFHEPS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Moreover, the fiscal logic for reform is clear: every dollar invested in rent stabilization that fails to produce equity yields only temporary relief. In contrast, converting these streams into cooperative equity investment</w:t>
      </w:r>
      <w:r>
        <w:rPr>
          <w:rFonts w:ascii="Times Roman" w:hAnsi="Times Roman" w:hint="default"/>
          <w:sz w:val="24"/>
          <w:szCs w:val="24"/>
          <w:rtl w:val="0"/>
          <w:lang w:val="en-US"/>
        </w:rPr>
        <w:t>—</w:t>
      </w:r>
      <w:r>
        <w:rPr>
          <w:rFonts w:ascii="Times Roman" w:hAnsi="Times Roman"/>
          <w:sz w:val="24"/>
          <w:szCs w:val="24"/>
          <w:rtl w:val="0"/>
          <w:lang w:val="en-US"/>
        </w:rPr>
        <w:t>when paired with legal infrastructure and technical assistance</w:t>
      </w:r>
      <w:r>
        <w:rPr>
          <w:rFonts w:ascii="Times Roman" w:hAnsi="Times Roman" w:hint="default"/>
          <w:sz w:val="24"/>
          <w:szCs w:val="24"/>
          <w:rtl w:val="0"/>
          <w:lang w:val="en-US"/>
        </w:rPr>
        <w:t>—</w:t>
      </w:r>
      <w:r>
        <w:rPr>
          <w:rFonts w:ascii="Times Roman" w:hAnsi="Times Roman"/>
          <w:sz w:val="24"/>
          <w:szCs w:val="24"/>
          <w:rtl w:val="0"/>
          <w:lang w:val="en-US"/>
        </w:rPr>
        <w:t>establishes a permanent subsidy outcome: collective ownership. This is not only more just, but also more durable.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Public Purpose and Political Imagination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In this light, the policy question is not simply about improving housing access. It is about reconfiguring the moral and financial infrastructure of housing policy to function as a vehicle for economic justice. TCAP embodies this reconfiguration.</w:t>
      </w:r>
    </w:p>
    <w:p>
      <w:pPr>
        <w:pStyle w:val="Default"/>
        <w:suppressAutoHyphens w:val="1"/>
        <w:spacing w:before="0" w:after="299" w:line="240" w:lineRule="auto"/>
        <w:rPr>
          <w:rFonts w:ascii="Times Roman" w:cs="Times Roman" w:hAnsi="Times Roman" w:eastAsia="Times Roman"/>
          <w:b w:val="1"/>
          <w:bCs w:val="1"/>
          <w:i w:val="0"/>
          <w:iCs w:val="0"/>
          <w:sz w:val="36"/>
          <w:szCs w:val="36"/>
        </w:rPr>
      </w:pPr>
      <w:r>
        <w:rPr>
          <w:rFonts w:ascii="Times Roman" w:hAnsi="Times Roman"/>
          <w:b w:val="1"/>
          <w:bCs w:val="1"/>
          <w:i w:val="0"/>
          <w:iCs w:val="0"/>
          <w:sz w:val="36"/>
          <w:szCs w:val="36"/>
          <w:rtl w:val="0"/>
          <w:lang w:val="en-US"/>
        </w:rPr>
        <w:t xml:space="preserve">Research Basis &amp; Context </w:t>
      </w:r>
      <w:r>
        <w:rPr>
          <w:rFonts w:ascii="Times Roman" w:hAnsi="Times Roman"/>
          <w:b w:val="1"/>
          <w:bCs w:val="1"/>
          <w:i w:val="1"/>
          <w:iCs w:val="1"/>
          <w:sz w:val="36"/>
          <w:szCs w:val="36"/>
          <w:rtl w:val="0"/>
          <w:lang w:val="en-US"/>
        </w:rPr>
        <w:t xml:space="preserve">(formerly </w:t>
      </w:r>
      <w:r>
        <w:rPr>
          <w:rFonts w:ascii="Times Roman" w:hAnsi="Times Roman" w:hint="default"/>
          <w:b w:val="1"/>
          <w:bCs w:val="1"/>
          <w:i w:val="1"/>
          <w:iCs w:val="1"/>
          <w:sz w:val="36"/>
          <w:szCs w:val="36"/>
          <w:rtl w:val="1"/>
          <w:lang w:val="ar-SA" w:bidi="ar-SA"/>
        </w:rPr>
        <w:t>“</w:t>
      </w:r>
      <w:r>
        <w:rPr>
          <w:rFonts w:ascii="Times Roman" w:hAnsi="Times Roman"/>
          <w:b w:val="1"/>
          <w:bCs w:val="1"/>
          <w:i w:val="1"/>
          <w:iCs w:val="1"/>
          <w:sz w:val="36"/>
          <w:szCs w:val="36"/>
          <w:rtl w:val="0"/>
          <w:lang w:val="en-US"/>
        </w:rPr>
        <w:t>Literature Review</w:t>
      </w:r>
      <w:r>
        <w:rPr>
          <w:rFonts w:ascii="Times Roman" w:hAnsi="Times Roman" w:hint="default"/>
          <w:b w:val="1"/>
          <w:bCs w:val="1"/>
          <w:i w:val="1"/>
          <w:iCs w:val="1"/>
          <w:sz w:val="36"/>
          <w:szCs w:val="36"/>
          <w:rtl w:val="0"/>
        </w:rPr>
        <w:t>”</w:t>
      </w:r>
      <w:r>
        <w:rPr>
          <w:rFonts w:ascii="Times Roman" w:hAnsi="Times Roman"/>
          <w:b w:val="1"/>
          <w:bCs w:val="1"/>
          <w:i w:val="1"/>
          <w:iCs w:val="1"/>
          <w:sz w:val="36"/>
          <w:szCs w:val="36"/>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Positioning the Literature within Policy Transformation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Structural Barriers to Homeownership</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rPr>
        <w:t>Yuval Elmelech</w:t>
      </w:r>
      <w:r>
        <w:rPr>
          <w:rFonts w:ascii="Times Roman" w:hAnsi="Times Roman" w:hint="default"/>
          <w:sz w:val="24"/>
          <w:szCs w:val="24"/>
          <w:rtl w:val="1"/>
        </w:rPr>
        <w:t>’</w:t>
      </w:r>
      <w:r>
        <w:rPr>
          <w:rFonts w:ascii="Times Roman" w:hAnsi="Times Roman"/>
          <w:sz w:val="24"/>
          <w:szCs w:val="24"/>
          <w:rtl w:val="0"/>
          <w:lang w:val="en-US"/>
        </w:rPr>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Pr>
          <w:rFonts w:ascii="Times Roman" w:hAnsi="Times Roman"/>
          <w:sz w:val="24"/>
          <w:szCs w:val="24"/>
          <w:rtl w:val="0"/>
          <w:lang w:val="en-US"/>
        </w:rPr>
        <w:t>h</w:t>
      </w:r>
      <w:r>
        <w:rPr>
          <w:rFonts w:ascii="Times Roman" w:hAnsi="Times Roman"/>
          <w:sz w:val="24"/>
          <w:szCs w:val="24"/>
          <w:rtl w:val="0"/>
          <w:lang w:val="en-US"/>
        </w:rPr>
        <w:t>systemic barrier that public subsidies failed to address.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Fiscal Cost of Housing Instability</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Chernick, Reschovsky,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Evidence from Federal Demonstration Projects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rPr>
        <w:t>HUD</w:t>
      </w:r>
      <w:r>
        <w:rPr>
          <w:rFonts w:ascii="Times Roman" w:hAnsi="Times Roman" w:hint="default"/>
          <w:sz w:val="24"/>
          <w:szCs w:val="24"/>
          <w:rtl w:val="1"/>
        </w:rPr>
        <w:t>’</w:t>
      </w:r>
      <w:r>
        <w:rPr>
          <w:rFonts w:ascii="Times Roman" w:hAnsi="Times Roman"/>
          <w:sz w:val="24"/>
          <w:szCs w:val="24"/>
          <w:rtl w:val="0"/>
          <w:lang w:val="en-US"/>
        </w:rPr>
        <w:t>s Community Choice Demonstration (Lubell et al., 2025) underscores how voucher-holders benefit from targeted mobility support, yet it also exposes the limitations of voucher models that do not incorporate asset-building components. Families receiving relocation assistance showed improved outcomes in school quality, employment access, and neighborhood safety, but they remained renters</w:t>
      </w:r>
      <w:r>
        <w:rPr>
          <w:rFonts w:ascii="Times Roman" w:hAnsi="Times Roman" w:hint="default"/>
          <w:sz w:val="24"/>
          <w:szCs w:val="24"/>
          <w:rtl w:val="0"/>
          <w:lang w:val="en-US"/>
        </w:rPr>
        <w:t>—</w:t>
      </w:r>
      <w:r>
        <w:rPr>
          <w:rFonts w:ascii="Times Roman" w:hAnsi="Times Roman"/>
          <w:sz w:val="24"/>
          <w:szCs w:val="24"/>
          <w:rtl w:val="0"/>
          <w:lang w:val="en-US"/>
        </w:rPr>
        <w:t>still vulnerable to displacement and without avenues to accrue equity. TCAP builds upon this insight by incorporating cooperative ownership into the subsidy apparatus, effectively merging mobility gains with economic empowerment.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Historical Wealth Accumulation and Exclusion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Oliver and Shapiro</w:t>
      </w:r>
      <w:r>
        <w:rPr>
          <w:rFonts w:ascii="Times Roman" w:hAnsi="Times Roman" w:hint="default"/>
          <w:sz w:val="24"/>
          <w:szCs w:val="24"/>
          <w:rtl w:val="1"/>
        </w:rPr>
        <w:t>’</w:t>
      </w:r>
      <w:r>
        <w:rPr>
          <w:rFonts w:ascii="Times Roman" w:hAnsi="Times Roman"/>
          <w:sz w:val="24"/>
          <w:szCs w:val="24"/>
          <w:rtl w:val="0"/>
        </w:rPr>
        <w:t xml:space="preserve">s </w:t>
      </w:r>
      <w:r>
        <w:rPr>
          <w:rFonts w:ascii="Times Roman" w:hAnsi="Times Roman"/>
          <w:i w:val="1"/>
          <w:iCs w:val="1"/>
          <w:sz w:val="24"/>
          <w:szCs w:val="24"/>
          <w:rtl w:val="0"/>
          <w:lang w:val="en-US"/>
        </w:rPr>
        <w:t>Black Wealth/White Wealth</w:t>
      </w:r>
      <w:r>
        <w:rPr>
          <w:rFonts w:ascii="Times Roman" w:hAnsi="Times Roman"/>
          <w:sz w:val="24"/>
          <w:szCs w:val="24"/>
          <w:rtl w:val="0"/>
          <w:lang w:val="en-US"/>
        </w:rPr>
        <w:t xml:space="preserve"> (1995) remains seminal in articulating how intergenerational disparities are driven not by income differentials, but by differential access to asset formation</w:t>
      </w:r>
      <w:r>
        <w:rPr>
          <w:rFonts w:ascii="Times Roman" w:hAnsi="Times Roman" w:hint="default"/>
          <w:sz w:val="24"/>
          <w:szCs w:val="24"/>
          <w:rtl w:val="0"/>
          <w:lang w:val="en-US"/>
        </w:rPr>
        <w:t>—</w:t>
      </w:r>
      <w:r>
        <w:rPr>
          <w:rFonts w:ascii="Times Roman" w:hAnsi="Times Roman"/>
          <w:sz w:val="24"/>
          <w:szCs w:val="24"/>
          <w:rtl w:val="0"/>
          <w:lang w:val="en-US"/>
        </w:rPr>
        <w:t>most notably through homeownership. They contend that public policy has consistently enabled white households to leverage property ownership as a wealth-building tool, while relegating Black and Latino households to perpetual tenancy or subprime debt traps. TCAP seeks to interrupt this pattern by embedding ownership rights directly within public housing policy.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Institutional Critique and Emerging Practice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Gap Between Knowledge and Implementation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Despite robust evidence that tenant ownership improves social, economic, and civic outcomes, housing policy remains largely wedded to landlord-centered frameworks. This misalignment between scholarly consensus and policy design reflects both bureaucratic inertia and political hesitation. TCAP</w:t>
      </w:r>
      <w:r>
        <w:rPr>
          <w:rFonts w:ascii="Times Roman" w:hAnsi="Times Roman" w:hint="default"/>
          <w:sz w:val="24"/>
          <w:szCs w:val="24"/>
          <w:rtl w:val="1"/>
        </w:rPr>
        <w:t>’</w:t>
      </w:r>
      <w:r>
        <w:rPr>
          <w:rFonts w:ascii="Times Roman" w:hAnsi="Times Roman"/>
          <w:sz w:val="24"/>
          <w:szCs w:val="24"/>
          <w:rtl w:val="0"/>
          <w:lang w:val="en-US"/>
        </w:rPr>
        <w:t>s proposal is grounded in the understanding that the tools for equitable housing policy already exist</w:t>
      </w:r>
      <w:r>
        <w:rPr>
          <w:rFonts w:ascii="Times Roman" w:hAnsi="Times Roman" w:hint="default"/>
          <w:sz w:val="24"/>
          <w:szCs w:val="24"/>
          <w:rtl w:val="0"/>
          <w:lang w:val="en-US"/>
        </w:rPr>
        <w:t>—</w:t>
      </w:r>
      <w:r>
        <w:rPr>
          <w:rFonts w:ascii="Times Roman" w:hAnsi="Times Roman"/>
          <w:sz w:val="24"/>
          <w:szCs w:val="24"/>
          <w:rtl w:val="0"/>
          <w:lang w:val="en-US"/>
        </w:rPr>
        <w:t>they have simply not been systematically deployed. This paper synthesizes the academic and policy literature to justify their deployment.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In sum, the research supports the following conclusions: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Racialized housing outcomes are driven by structural exclusions, not individual deficits.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Rental subsidies have demonstrable limits when disconnected from ownership pathways.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Public expenditures on housing instability are unsustainable and inefficient.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Cooperative housing models are legally viable, financially rational, and socially just.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TCAP is the policy bridge between decades of research and the transformative application of that knowledge.</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line="240" w:lineRule="auto"/>
      </w:pPr>
      <w:r>
        <w:rPr>
          <w:rFonts w:ascii="Arial Unicode MS" w:cs="Arial Unicode MS" w:hAnsi="Arial Unicode MS" w:eastAsia="Arial Unicode MS"/>
          <w:b w:val="0"/>
          <w:bCs w:val="0"/>
          <w:i w:val="0"/>
          <w:iCs w:val="0"/>
          <w:outline w:val="0"/>
          <w:color w:val="808080"/>
          <w:sz w:val="24"/>
          <w:szCs w:val="24"/>
          <w14:textFill>
            <w14:solidFill>
              <w14:srgbClr w14:val="808080"/>
            </w14:solidFill>
          </w14:textFill>
        </w:rPr>
        <w:br w:type="page"/>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PART II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POLICY DESIGN &amp; IMPLEMENTATION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Methodology</w:t>
      </w:r>
    </w:p>
    <w:p>
      <w:pPr>
        <w:pStyle w:val="Category"/>
        <w:bidi w:val="0"/>
      </w:pPr>
      <w:r>
        <w:rPr>
          <w:rtl w:val="0"/>
        </w:rPr>
        <w:t>Research Design and Policy Formation Logic</w:t>
      </w:r>
    </w:p>
    <w:p>
      <w:pPr>
        <w:pStyle w:val="Category"/>
        <w:bidi w:val="0"/>
      </w:pPr>
    </w:p>
    <w:p>
      <w:pPr>
        <w:pStyle w:val="Body"/>
        <w:bidi w:val="0"/>
      </w:pPr>
      <w:r>
        <w:tab/>
      </w:r>
      <w:r>
        <w:rPr>
          <w:rtl w:val="0"/>
        </w:rPr>
        <w:t>The methodological framework underlying the Tenant Co-op Acquisition Program (TCAP) merges empirical policy evaluation with applied design thinking to operationalize a structural transformation of NYC's housing subsidy infrastructure. TCAP</w:t>
      </w:r>
      <w:r>
        <w:rPr>
          <w:rtl w:val="1"/>
        </w:rPr>
        <w:t>’</w:t>
      </w:r>
      <w:r>
        <w:rPr>
          <w:rtl w:val="0"/>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pPr>
        <w:pStyle w:val="Category"/>
        <w:bidi w:val="0"/>
      </w:pPr>
      <w:r>
        <w:rPr>
          <w:rtl w:val="0"/>
        </w:rPr>
        <w:t>Mixed-Methods Synthesis</w:t>
      </w:r>
    </w:p>
    <w:p>
      <w:pPr>
        <w:pStyle w:val="Category"/>
        <w:bidi w:val="0"/>
      </w:pPr>
    </w:p>
    <w:p>
      <w:pPr>
        <w:pStyle w:val="Body"/>
        <w:bidi w:val="0"/>
      </w:pPr>
      <w:r>
        <w:tab/>
      </w:r>
      <w:r>
        <w:rPr>
          <w:rtl w:val="0"/>
        </w:rPr>
        <w:t>The TCAP policy was constructed using a mixed-methods approach. 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Elmelech,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Stakeholder-Centered Design</w:t>
      </w:r>
    </w:p>
    <w:p>
      <w:pPr>
        <w:pStyle w:val="Body"/>
        <w:bidi w:val="0"/>
      </w:pPr>
      <w:r>
        <w:tab/>
      </w:r>
      <w:r>
        <w:rPr>
          <w:rtl w:val="0"/>
        </w:rPr>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pPr>
        <w:pStyle w:val="Category"/>
        <w:bidi w:val="0"/>
      </w:pPr>
      <w:r>
        <w:rPr>
          <w:rtl w:val="0"/>
        </w:rPr>
        <w:t>Pilot Site Selection Criteria</w:t>
      </w:r>
    </w:p>
    <w:p>
      <w:pPr>
        <w:pStyle w:val="Description"/>
        <w:bidi w:val="0"/>
      </w:pPr>
      <w:r>
        <w:rPr>
          <w:rtl w:val="0"/>
        </w:rPr>
        <w:t>The pilot phase methodology identifies five buildings for initial implementation, selected based on the following criteria:</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Documented history of HPD violations and landlord negligence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High voucher penetration and subsidy density (</w:t>
      </w:r>
      <w:r>
        <w:rPr>
          <w:rFonts w:ascii="Times Roman" w:hAnsi="Times Roman" w:hint="default"/>
          <w:sz w:val="24"/>
          <w:szCs w:val="24"/>
          <w:rtl w:val="0"/>
        </w:rPr>
        <w:t>≥</w:t>
      </w:r>
      <w:r>
        <w:rPr>
          <w:rFonts w:ascii="Times Roman" w:hAnsi="Times Roman"/>
          <w:sz w:val="24"/>
          <w:szCs w:val="24"/>
          <w:rtl w:val="0"/>
          <w:lang w:val="en-US"/>
        </w:rPr>
        <w:t>40% of tenants with HCV, FHEPS, or HASA)</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Existence or viability of tenant organizing infrastructure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Location within historically redlined or rapidly gentrifying neighborhoods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Feasibility of financial conversion and legal acquisition under NYC housing law</w:t>
      </w:r>
    </w:p>
    <w:p>
      <w:pPr>
        <w:pStyle w:val="Body"/>
        <w:bidi w:val="0"/>
      </w:pPr>
      <w:r>
        <w:rPr>
          <w:rtl w:val="0"/>
        </w:rPr>
        <w:t>A standardized readiness assessment tool will be used by HPD and partner organizations to vet candidate properties. Data for selection will be drawn from HPD</w:t>
      </w:r>
      <w:r>
        <w:rPr>
          <w:rtl w:val="1"/>
        </w:rPr>
        <w:t>’</w:t>
      </w:r>
      <w:r>
        <w:rPr>
          <w:rtl w:val="0"/>
        </w:rPr>
        <w:t>s Building Indicator Project, Housing Court case trends, and mapping of 311 complaints by district.</w:t>
      </w:r>
    </w:p>
    <w:p>
      <w:pPr>
        <w:pStyle w:val="Body"/>
        <w:bidi w:val="0"/>
      </w:pPr>
    </w:p>
    <w:p>
      <w:pPr>
        <w:pStyle w:val="Category"/>
        <w:bidi w:val="0"/>
      </w:pPr>
      <w:r>
        <w:rPr>
          <w:rtl w:val="0"/>
        </w:rPr>
        <w:t>Evaluation and Measurement Framework</w:t>
      </w:r>
    </w:p>
    <w:p>
      <w:pPr>
        <w:pStyle w:val="Description"/>
        <w:bidi w:val="0"/>
      </w:pPr>
      <w:r>
        <w:rPr>
          <w:rtl w:val="0"/>
        </w:rPr>
        <w:t>Evaluation will be structured around four primary metrics:</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Housing Stability Index</w:t>
      </w:r>
      <w:r>
        <w:rPr>
          <w:rFonts w:ascii="Times Roman" w:hAnsi="Times Roman" w:hint="default"/>
          <w:sz w:val="24"/>
          <w:szCs w:val="24"/>
          <w:rtl w:val="0"/>
        </w:rPr>
        <w:t xml:space="preserve"> – </w:t>
      </w:r>
      <w:r>
        <w:rPr>
          <w:rFonts w:ascii="Times Roman" w:hAnsi="Times Roman"/>
          <w:sz w:val="24"/>
          <w:szCs w:val="24"/>
          <w:rtl w:val="0"/>
          <w:lang w:val="en-US"/>
        </w:rPr>
        <w:t>measuring reduction in eviction rates, rent burden, and turnover among pilot buildings.</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Subsidy Conversion Efficiency</w:t>
      </w:r>
      <w:r>
        <w:rPr>
          <w:rFonts w:ascii="Times Roman" w:hAnsi="Times Roman" w:hint="default"/>
          <w:sz w:val="24"/>
          <w:szCs w:val="24"/>
          <w:rtl w:val="0"/>
        </w:rPr>
        <w:t xml:space="preserve"> – </w:t>
      </w:r>
      <w:r>
        <w:rPr>
          <w:rFonts w:ascii="Times Roman" w:hAnsi="Times Roman"/>
          <w:sz w:val="24"/>
          <w:szCs w:val="24"/>
          <w:rtl w:val="0"/>
          <w:lang w:val="en-US"/>
        </w:rPr>
        <w:t>tracking the fiscal differential between rental support and ownership investment.</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Ownership Equity Accrual</w:t>
      </w:r>
      <w:r>
        <w:rPr>
          <w:rFonts w:ascii="Times Roman" w:hAnsi="Times Roman" w:hint="default"/>
          <w:sz w:val="24"/>
          <w:szCs w:val="24"/>
          <w:rtl w:val="0"/>
        </w:rPr>
        <w:t xml:space="preserve"> – </w:t>
      </w:r>
      <w:r>
        <w:rPr>
          <w:rFonts w:ascii="Times Roman" w:hAnsi="Times Roman"/>
          <w:sz w:val="24"/>
          <w:szCs w:val="24"/>
          <w:rtl w:val="0"/>
          <w:lang w:val="en-US"/>
        </w:rPr>
        <w:t>analyzing share value, capital reserves, and unit improvements over time.</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Governance and Capacity Metrics</w:t>
      </w:r>
      <w:r>
        <w:rPr>
          <w:rFonts w:ascii="Times Roman" w:hAnsi="Times Roman" w:hint="default"/>
          <w:sz w:val="24"/>
          <w:szCs w:val="24"/>
          <w:rtl w:val="0"/>
        </w:rPr>
        <w:t xml:space="preserve"> – </w:t>
      </w:r>
      <w:r>
        <w:rPr>
          <w:rFonts w:ascii="Times Roman" w:hAnsi="Times Roman"/>
          <w:sz w:val="24"/>
          <w:szCs w:val="24"/>
          <w:rtl w:val="0"/>
          <w:lang w:val="en-US"/>
        </w:rPr>
        <w:t>assessing tenant board participation, co-op compliance rates, and engagement in training programs.</w:t>
      </w:r>
    </w:p>
    <w:p>
      <w:pPr>
        <w:pStyle w:val="Body"/>
        <w:bidi w:val="0"/>
      </w:pPr>
      <w:r>
        <w:rPr>
          <w:rtl w:val="0"/>
        </w:rPr>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Legal and Regulatory Analysis</w:t>
      </w:r>
    </w:p>
    <w:p>
      <w:pPr>
        <w:pStyle w:val="Body"/>
        <w:bidi w:val="0"/>
      </w:pPr>
      <w:r>
        <w:tab/>
      </w:r>
      <w:r>
        <w:rPr>
          <w:rtl w:val="0"/>
        </w:rPr>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pPr>
        <w:pStyle w:val="Default"/>
        <w:suppressAutoHyphens w:val="1"/>
        <w:spacing w:before="0" w:after="240" w:line="240" w:lineRule="auto"/>
        <w:rPr>
          <w:rFonts w:ascii="Times Roman" w:cs="Times Roman" w:hAnsi="Times Roman" w:eastAsia="Times Roman"/>
          <w:i w:val="1"/>
          <w:iCs w:val="1"/>
          <w:sz w:val="24"/>
          <w:szCs w:val="24"/>
        </w:rPr>
      </w:pPr>
      <w:r>
        <w:rPr>
          <w:rFonts w:ascii="Times Roman" w:hAnsi="Times Roman"/>
          <w:i w:val="1"/>
          <w:iCs w:val="1"/>
          <w:sz w:val="24"/>
          <w:szCs w:val="24"/>
          <w:rtl w:val="0"/>
          <w:lang w:val="en-US"/>
        </w:rPr>
        <w:t>Key components include:</w:t>
      </w:r>
    </w:p>
    <w:p>
      <w:pPr>
        <w:pStyle w:val="Bullet"/>
        <w:numPr>
          <w:ilvl w:val="0"/>
          <w:numId w:val="7"/>
        </w:numPr>
        <w:bidi w:val="0"/>
      </w:pPr>
      <w:r>
        <w:rPr>
          <w:b w:val="1"/>
          <w:bCs w:val="1"/>
          <w:rtl w:val="0"/>
          <w:lang w:val="en-US"/>
        </w:rPr>
        <w:t>Subsidy-to-Equity Enabling Legislation:</w:t>
      </w:r>
      <w:r>
        <w:rPr>
          <w:rtl w:val="0"/>
        </w:rPr>
        <w:t xml:space="preserve"> Drafted amendments to NYS Real Property Law and local housing statutes to allow for the redirection of Section 8, CityFHEPS, and HASA benefits into equity-convertible instruments.</w:t>
      </w:r>
    </w:p>
    <w:p>
      <w:pPr>
        <w:pStyle w:val="Bullet"/>
        <w:numPr>
          <w:ilvl w:val="0"/>
          <w:numId w:val="7"/>
        </w:numPr>
        <w:bidi w:val="0"/>
      </w:pPr>
      <w:r>
        <w:rPr>
          <w:b w:val="1"/>
          <w:bCs w:val="1"/>
          <w:rtl w:val="0"/>
          <w:lang w:val="en-US"/>
        </w:rPr>
        <w:t xml:space="preserve">Municipal Regulatory Support: </w:t>
      </w:r>
      <w:r>
        <w:rPr>
          <w:rtl w:val="0"/>
        </w:rPr>
        <w:t xml:space="preserve">Creation of a legal classification for </w:t>
      </w:r>
      <w:r>
        <w:rPr>
          <w:i w:val="1"/>
          <w:iCs w:val="1"/>
          <w:rtl w:val="0"/>
          <w:lang w:val="en-US"/>
        </w:rPr>
        <w:t xml:space="preserve">Subsidized Limited-Equity Cooperatives </w:t>
      </w:r>
      <w:r>
        <w:rPr>
          <w:rtl w:val="0"/>
        </w:rPr>
        <w:t>to provide a compliance structure distinct from traditional HDFC or Mitchell-Lama co-ops.</w:t>
      </w:r>
    </w:p>
    <w:p>
      <w:pPr>
        <w:pStyle w:val="Bullet"/>
        <w:numPr>
          <w:ilvl w:val="0"/>
          <w:numId w:val="7"/>
        </w:numPr>
        <w:bidi w:val="0"/>
      </w:pPr>
      <w:r>
        <w:rPr>
          <w:b w:val="1"/>
          <w:bCs w:val="1"/>
          <w:rtl w:val="0"/>
          <w:lang w:val="it-IT"/>
        </w:rPr>
        <w:t>Acquisition Protocol Statutes:</w:t>
      </w:r>
      <w:r>
        <w:rPr>
          <w:rtl w:val="0"/>
        </w:rPr>
        <w:t xml:space="preserve"> Design of tenant-first acquisition frameworks modeled after the Community Opportunity to Purchase Act (COPA) and integrated with NYC's pre-existing Third Party Transfer (TPT) and Third Party Acquisition programs.</w:t>
      </w:r>
    </w:p>
    <w:p>
      <w:pPr>
        <w:pStyle w:val="Bullet"/>
        <w:numPr>
          <w:ilvl w:val="0"/>
          <w:numId w:val="7"/>
        </w:numPr>
        <w:bidi w:val="0"/>
      </w:pPr>
      <w:r>
        <w:rPr>
          <w:b w:val="1"/>
          <w:bCs w:val="1"/>
          <w:rtl w:val="0"/>
          <w:lang w:val="en-US"/>
        </w:rPr>
        <w:t>City Administrative Orders</w:t>
      </w:r>
      <w:r>
        <w:rPr>
          <w:rtl w:val="0"/>
        </w:rPr>
        <w:t>: Executive rulemaking from HPD that formalizes the right of tenant associations to trigger co-op conversions under specific public-interest criteria.</w:t>
      </w:r>
    </w:p>
    <w:p>
      <w:pPr>
        <w:pStyle w:val="Bullet"/>
        <w:numPr>
          <w:ilvl w:val="0"/>
          <w:numId w:val="7"/>
        </w:numPr>
        <w:bidi w:val="0"/>
      </w:pPr>
    </w:p>
    <w:p>
      <w:pPr>
        <w:pStyle w:val="Body"/>
        <w:bidi w:val="0"/>
      </w:pPr>
      <w:r>
        <w:rPr>
          <w:rtl w:val="0"/>
        </w:rPr>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pPr>
        <w:pStyle w:val="Body"/>
        <w:bidi w:val="0"/>
      </w:pPr>
      <w:r>
        <w:tab/>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Policy Proposal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Overview of the Tenant Co-op Acquisition Program (TCAP)</w:t>
      </w:r>
    </w:p>
    <w:p>
      <w:pPr>
        <w:pStyle w:val="Body"/>
        <w:bidi w:val="0"/>
      </w:pPr>
      <w:r>
        <w:tab/>
      </w:r>
      <w:r>
        <w:rPr>
          <w:rtl w:val="0"/>
        </w:rPr>
        <w:t>The Tenant Co-op Acquisition Program (TCAP) introduces a transformative housing equity strategy for New York City, reimagining public housing subsidies as vehicles for collective ownership rather than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Distinctive Design Features</w:t>
      </w:r>
    </w:p>
    <w:p>
      <w:pPr>
        <w:pStyle w:val="Body"/>
        <w:bidi w:val="0"/>
      </w:pPr>
      <w:r>
        <w:tab/>
      </w:r>
      <w:r>
        <w:rPr>
          <w:rtl w:val="0"/>
        </w:rPr>
        <w:t>Unlike prior co-op models or rent assistance expansions, TCAP integrates city-administered financing, legal structuring, and subsidy redirection into a cohesive conversion mechanism. The program is structured to:</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Enable tenant associations to acquire their buildings through low-interest, city-backed financing tools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Provide a five-year transitional use of existing rental subsidies to fund share purchases, cooperative reserve accounts, and maintenance stabilization.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Build long-term cooperative governance capacity via sustained technical assistance and compliance oversight</w:t>
      </w:r>
    </w:p>
    <w:p>
      <w:pPr>
        <w:pStyle w:val="Body"/>
        <w:bidi w:val="0"/>
      </w:pPr>
      <w:r>
        <w:rPr>
          <w:rtl w:val="0"/>
        </w:rPr>
        <w:t>These design elements ensure that TCAP not only expands affordability but also institutionalizes wealth-building and democratic control at the tenant level.</w:t>
      </w:r>
    </w:p>
    <w:p>
      <w:pPr>
        <w:pStyle w:val="Category"/>
        <w:bidi w:val="0"/>
      </w:pPr>
      <w:r>
        <w:rPr>
          <w:rtl w:val="0"/>
        </w:rPr>
        <w:t>Property and Tenant Eligibility</w:t>
      </w:r>
    </w:p>
    <w:p>
      <w:pPr>
        <w:pStyle w:val="Description"/>
        <w:bidi w:val="0"/>
      </w:pPr>
      <w:r>
        <w:rPr>
          <w:rtl w:val="0"/>
        </w:rPr>
        <w:t xml:space="preserve">Eligibility parameters are calibrated to identify high-impact opportunities for conversion. </w:t>
      </w:r>
    </w:p>
    <w:p>
      <w:pPr>
        <w:pStyle w:val="Body"/>
        <w:bidi w:val="0"/>
      </w:pPr>
      <w:r>
        <w:tab/>
      </w:r>
      <w:r>
        <w:rPr>
          <w:rtl w:val="0"/>
        </w:rPr>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pPr>
        <w:pStyle w:val="Category"/>
        <w:bidi w:val="0"/>
      </w:pPr>
      <w:r>
        <w:rPr>
          <w:rtl w:val="0"/>
        </w:rPr>
        <w:t>Sequential Conversion Phases</w:t>
      </w:r>
    </w:p>
    <w:p>
      <w:pPr>
        <w:pStyle w:val="Description"/>
        <w:bidi w:val="0"/>
      </w:pPr>
      <w:r>
        <w:rPr>
          <w:rtl w:val="0"/>
        </w:rPr>
        <w:t>The conversion process unfolds in four structured phases:</w:t>
      </w:r>
    </w:p>
    <w:p>
      <w:pPr>
        <w:pStyle w:val="Default"/>
        <w:numPr>
          <w:ilvl w:val="0"/>
          <w:numId w:val="8"/>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Preliminary Organizing and Legal Structuring</w:t>
      </w:r>
      <w:r>
        <w:rPr>
          <w:rFonts w:ascii="Times Roman" w:hAnsi="Times Roman" w:hint="default"/>
          <w:sz w:val="24"/>
          <w:szCs w:val="24"/>
          <w:rtl w:val="0"/>
        </w:rPr>
        <w:t xml:space="preserve"> – </w:t>
      </w:r>
      <w:r>
        <w:rPr>
          <w:rFonts w:ascii="Times Roman" w:hAnsi="Times Roman"/>
          <w:sz w:val="24"/>
          <w:szCs w:val="24"/>
          <w:rtl w:val="0"/>
          <w:lang w:val="en-US"/>
        </w:rPr>
        <w:t>Tenants either establish or affiliate with a legal co-op body and undergo initial training.</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Acquisition and Financing Execution</w:t>
      </w:r>
      <w:r>
        <w:rPr>
          <w:rFonts w:ascii="Times Roman" w:hAnsi="Times Roman" w:hint="default"/>
          <w:sz w:val="24"/>
          <w:szCs w:val="24"/>
          <w:rtl w:val="0"/>
        </w:rPr>
        <w:t xml:space="preserve"> – </w:t>
      </w:r>
      <w:r>
        <w:rPr>
          <w:rFonts w:ascii="Times Roman" w:hAnsi="Times Roman"/>
          <w:sz w:val="24"/>
          <w:szCs w:val="24"/>
          <w:rtl w:val="0"/>
          <w:lang w:val="en-US"/>
        </w:rPr>
        <w:t>Title transfer and cooperative incorporation occur through HPD-certified acquisition loans.</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Subsidy Phase-In and Governance Training</w:t>
      </w:r>
      <w:r>
        <w:rPr>
          <w:rFonts w:ascii="Times Roman" w:hAnsi="Times Roman" w:hint="default"/>
          <w:sz w:val="24"/>
          <w:szCs w:val="24"/>
          <w:rtl w:val="0"/>
        </w:rPr>
        <w:t xml:space="preserve"> – </w:t>
      </w:r>
      <w:r>
        <w:rPr>
          <w:rFonts w:ascii="Times Roman" w:hAnsi="Times Roman"/>
          <w:sz w:val="24"/>
          <w:szCs w:val="24"/>
          <w:rtl w:val="0"/>
          <w:lang w:val="en-US"/>
        </w:rPr>
        <w:t>During the five-year bridge period, rent subsidies are redirected into cooperative obligations and reserves, with oversight from HPD and a designated fiscal intermediary.</w:t>
      </w:r>
    </w:p>
    <w:p>
      <w:pPr>
        <w:pStyle w:val="Default"/>
        <w:numPr>
          <w:ilvl w:val="0"/>
          <w:numId w:val="6"/>
        </w:numPr>
        <w:suppressAutoHyphens w:val="1"/>
        <w:spacing w:before="0" w:after="240" w:line="240" w:lineRule="auto"/>
        <w:jc w:val="left"/>
        <w:rPr>
          <w:rFonts w:ascii="Times Roman" w:hAnsi="Times Roman"/>
          <w:sz w:val="24"/>
          <w:szCs w:val="24"/>
          <w:lang w:val="de-DE"/>
        </w:rPr>
      </w:pPr>
      <w:r>
        <w:rPr>
          <w:rFonts w:ascii="Times Roman" w:hAnsi="Times Roman"/>
          <w:b w:val="1"/>
          <w:bCs w:val="1"/>
          <w:sz w:val="24"/>
          <w:szCs w:val="24"/>
          <w:rtl w:val="0"/>
          <w:lang w:val="de-DE"/>
        </w:rPr>
        <w:t>Post-Transition Autonomy</w:t>
      </w:r>
      <w:r>
        <w:rPr>
          <w:rFonts w:ascii="Times Roman" w:hAnsi="Times Roman" w:hint="default"/>
          <w:sz w:val="24"/>
          <w:szCs w:val="24"/>
          <w:rtl w:val="0"/>
        </w:rPr>
        <w:t xml:space="preserve"> – </w:t>
      </w:r>
      <w:r>
        <w:rPr>
          <w:rFonts w:ascii="Times Roman" w:hAnsi="Times Roman"/>
          <w:sz w:val="24"/>
          <w:szCs w:val="24"/>
          <w:rtl w:val="0"/>
          <w:lang w:val="en-US"/>
        </w:rPr>
        <w:t>Co-ops operate under affordability covenants and submit periodic compliance documentation to the city, but maintain internal democratic governance.</w:t>
      </w:r>
    </w:p>
    <w:p>
      <w:pPr>
        <w:pStyle w:val="Default"/>
        <w:suppressAutoHyphens w:val="1"/>
        <w:spacing w:before="0" w:after="60"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Financial Infrastructure and Risk Management</w:t>
      </w:r>
    </w:p>
    <w:p>
      <w:pPr>
        <w:pStyle w:val="Description"/>
        <w:bidi w:val="0"/>
      </w:pPr>
      <w:r>
        <w:rPr>
          <w:rtl w:val="0"/>
          <w:lang w:val="pt-PT"/>
        </w:rPr>
        <w:t>TCAP</w:t>
      </w:r>
      <w:r>
        <w:rPr>
          <w:rtl w:val="1"/>
        </w:rPr>
        <w:t>’</w:t>
      </w:r>
      <w:r>
        <w:rPr>
          <w:rtl w:val="0"/>
        </w:rPr>
        <w:t>s funding architecture includes:</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Convertible Subsidy Allocations</w:t>
      </w:r>
      <w:r>
        <w:rPr>
          <w:rFonts w:ascii="Times Roman" w:hAnsi="Times Roman"/>
          <w:sz w:val="24"/>
          <w:szCs w:val="24"/>
          <w:rtl w:val="0"/>
          <w:lang w:val="en-US"/>
        </w:rPr>
        <w:t>: Subsidy amounts are recharacterized as share-equity contributions, tracked by HPD.</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City-Guaranteed Acquisition Loans</w:t>
      </w:r>
      <w:r>
        <w:rPr>
          <w:rFonts w:ascii="Times Roman" w:hAnsi="Times Roman"/>
          <w:sz w:val="24"/>
          <w:szCs w:val="24"/>
          <w:rtl w:val="0"/>
          <w:lang w:val="en-US"/>
        </w:rPr>
        <w:t>: Backed by capital reserves and revolving funds housed in municipal trust accounts.</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Maintenance Stabilization Accounts</w:t>
      </w:r>
      <w:r>
        <w:rPr>
          <w:rFonts w:ascii="Times Roman" w:hAnsi="Times Roman"/>
          <w:sz w:val="24"/>
          <w:szCs w:val="24"/>
          <w:rtl w:val="0"/>
          <w:lang w:val="en-US"/>
        </w:rPr>
        <w:t>: Protect against operating shortfalls during and after conversion.</w:t>
      </w:r>
    </w:p>
    <w:p>
      <w:pPr>
        <w:pStyle w:val="Default"/>
        <w:numPr>
          <w:ilvl w:val="0"/>
          <w:numId w:val="9"/>
        </w:numPr>
        <w:suppressAutoHyphens w:val="1"/>
        <w:spacing w:before="0" w:after="240" w:line="240" w:lineRule="auto"/>
        <w:jc w:val="left"/>
        <w:rPr>
          <w:rFonts w:ascii="Times Roman" w:hAnsi="Times Roman"/>
          <w:sz w:val="24"/>
          <w:szCs w:val="24"/>
          <w:lang w:val="pt-PT"/>
        </w:rPr>
      </w:pPr>
      <w:r>
        <w:rPr>
          <w:rFonts w:ascii="Times Roman" w:hAnsi="Times Roman"/>
          <w:b w:val="1"/>
          <w:bCs w:val="1"/>
          <w:sz w:val="24"/>
          <w:szCs w:val="24"/>
          <w:rtl w:val="0"/>
          <w:lang w:val="pt-PT"/>
        </w:rPr>
        <w:t>Compliance Audit Protocols</w:t>
      </w:r>
      <w:r>
        <w:rPr>
          <w:rFonts w:ascii="Times Roman" w:hAnsi="Times Roman"/>
          <w:sz w:val="24"/>
          <w:szCs w:val="24"/>
          <w:rtl w:val="0"/>
          <w:lang w:val="en-US"/>
        </w:rPr>
        <w:t>: Built-in accountability ensures legal and fiscal transparency while safeguarding tenant autonomy.</w:t>
      </w:r>
    </w:p>
    <w:p>
      <w:pPr>
        <w:pStyle w:val="Category"/>
        <w:bidi w:val="0"/>
      </w:pPr>
      <w:r>
        <w:rPr>
          <w:rtl w:val="0"/>
        </w:rPr>
        <w:t>Scaling Roadmap and Replicability</w:t>
      </w:r>
    </w:p>
    <w:p>
      <w:pPr>
        <w:pStyle w:val="Description"/>
        <w:bidi w:val="0"/>
      </w:pPr>
      <w:r>
        <w:rPr>
          <w:rtl w:val="0"/>
          <w:lang w:val="pt-PT"/>
        </w:rPr>
        <w:t>TCAP</w:t>
      </w:r>
      <w:r>
        <w:rPr>
          <w:rtl w:val="1"/>
        </w:rPr>
        <w:t>’</w:t>
      </w:r>
      <w:r>
        <w:rPr>
          <w:rtl w:val="0"/>
        </w:rPr>
        <w:t xml:space="preserve">s long-term framework is designed for scalable expansion across boroughs and adaptation by </w:t>
      </w:r>
      <w:r>
        <w:tab/>
        <w:tab/>
      </w:r>
    </w:p>
    <w:p>
      <w:pPr>
        <w:pStyle w:val="Description"/>
        <w:bidi w:val="0"/>
      </w:pPr>
      <w:r>
        <w:tab/>
      </w:r>
      <w:r>
        <w:rPr>
          <w:rtl w:val="0"/>
        </w:rPr>
        <w:t xml:space="preserve">other municipalities. </w:t>
      </w:r>
    </w:p>
    <w:p>
      <w:pPr>
        <w:pStyle w:val="Body"/>
        <w:bidi w:val="0"/>
      </w:pPr>
      <w:r>
        <w:tab/>
      </w:r>
      <w:r>
        <w:rPr>
          <w:rtl w:val="0"/>
        </w:rPr>
        <w:t>The proposal includes performance indicators and fiscal triggers for expansion, a monitoring framework adaptable by local agencies, and a replicable toolkit including legal templates, acquisition underwriting guides, and cooperative formation protocols.</w:t>
      </w:r>
    </w:p>
    <w:p>
      <w:pPr>
        <w:pStyle w:val="Body"/>
        <w:bidi w:val="0"/>
      </w:pPr>
      <w:r>
        <w:tab/>
      </w:r>
      <w:r>
        <w:rPr>
          <w:rtl w:val="0"/>
        </w:rPr>
        <w:t>In sum, the Tenant Co-op Acquisition Program offers a paradigm shift in housing subsidy policy</w:t>
      </w:r>
      <w:r>
        <w:rPr>
          <w:rtl w:val="0"/>
        </w:rPr>
        <w:t>—</w:t>
      </w:r>
      <w:r>
        <w:rPr>
          <w:rtl w:val="0"/>
        </w:rPr>
        <w:t>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Pr>
          <w:rtl w:val="1"/>
        </w:rPr>
        <w:t>’</w:t>
      </w:r>
      <w:r>
        <w:rPr>
          <w:rtl w:val="0"/>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pPr>
        <w:pStyle w:val="Category"/>
        <w:bidi w:val="0"/>
      </w:pPr>
      <w:r>
        <w:rPr>
          <w:rtl w:val="0"/>
        </w:rPr>
        <w:t>Mixed-Methods Synthesis</w:t>
      </w:r>
    </w:p>
    <w:p>
      <w:pPr>
        <w:pStyle w:val="Description"/>
        <w:bidi w:val="0"/>
      </w:pPr>
      <w:r>
        <w:tab/>
      </w:r>
      <w:r>
        <w:rPr>
          <w:rtl w:val="0"/>
        </w:rPr>
        <w:t xml:space="preserve">The TCAP policy was constructed using a mixed-methods approach. </w:t>
      </w:r>
    </w:p>
    <w:p>
      <w:pPr>
        <w:pStyle w:val="Body"/>
        <w:bidi w:val="0"/>
      </w:pPr>
      <w:r>
        <w:rPr>
          <w:rtl w:val="0"/>
        </w:rPr>
        <w:t>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Elmelech,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pPr>
        <w:pStyle w:val="Category"/>
        <w:bidi w:val="0"/>
      </w:pPr>
      <w:r>
        <w:rPr>
          <w:rtl w:val="0"/>
        </w:rPr>
        <w:t>Stakeholder-Centered Design</w:t>
      </w:r>
    </w:p>
    <w:p>
      <w:pPr>
        <w:pStyle w:val="Body"/>
        <w:bidi w:val="0"/>
      </w:pPr>
      <w:r>
        <w:tab/>
      </w:r>
      <w:r>
        <w:rPr>
          <w:rtl w:val="0"/>
        </w:rPr>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pPr>
        <w:pStyle w:val="Category"/>
        <w:bidi w:val="0"/>
      </w:pPr>
      <w:r>
        <w:rPr>
          <w:rtl w:val="0"/>
        </w:rPr>
        <w:t>Pilot Site Selection Criteria</w:t>
      </w:r>
    </w:p>
    <w:p>
      <w:pPr>
        <w:pStyle w:val="Description"/>
        <w:bidi w:val="0"/>
      </w:pPr>
      <w:r>
        <w:rPr>
          <w:rtl w:val="0"/>
        </w:rPr>
        <w:t>The pilot phase methodology identifies five buildings for initial implementation, selected based on the following criteria:</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Documented history of HPD violations and landlord negligence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High voucher penetration and subsidy density (</w:t>
      </w:r>
      <w:r>
        <w:rPr>
          <w:rFonts w:ascii="Times Roman" w:hAnsi="Times Roman" w:hint="default"/>
          <w:sz w:val="24"/>
          <w:szCs w:val="24"/>
          <w:rtl w:val="0"/>
        </w:rPr>
        <w:t>≥</w:t>
      </w:r>
      <w:r>
        <w:rPr>
          <w:rFonts w:ascii="Times Roman" w:hAnsi="Times Roman"/>
          <w:sz w:val="24"/>
          <w:szCs w:val="24"/>
          <w:rtl w:val="0"/>
          <w:lang w:val="en-US"/>
        </w:rPr>
        <w:t>40% of tenants with HCV, FHEPS, or HASA)</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Existence or viability of tenant organizing infrastructure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Location within historically redlined or rapidly gentrifying neighborhoods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Feasibility of financial conversion and legal acquisition under NYC housing law</w:t>
      </w:r>
    </w:p>
    <w:p>
      <w:pPr>
        <w:pStyle w:val="Body"/>
        <w:bidi w:val="0"/>
      </w:pPr>
      <w:r>
        <w:rPr>
          <w:rtl w:val="0"/>
        </w:rPr>
        <w:t>A standardized readiness assessment tool will be used by HPD and partner organizations to vet candidate properties. Data for selection will be drawn from HPD</w:t>
      </w:r>
      <w:r>
        <w:rPr>
          <w:rtl w:val="1"/>
        </w:rPr>
        <w:t>’</w:t>
      </w:r>
      <w:r>
        <w:rPr>
          <w:rtl w:val="0"/>
        </w:rPr>
        <w:t>s Building Indicator Project, Housing Court case trends, and mapping of 311 complaints by district.</w:t>
      </w:r>
    </w:p>
    <w:p>
      <w:pPr>
        <w:pStyle w:val="Body"/>
        <w:bidi w:val="0"/>
      </w:pPr>
    </w:p>
    <w:p>
      <w:pPr>
        <w:pStyle w:val="Category"/>
        <w:bidi w:val="0"/>
      </w:pPr>
      <w:r>
        <w:rPr>
          <w:rtl w:val="0"/>
        </w:rPr>
        <w:t>Evaluation and Measurement Framework</w:t>
      </w:r>
    </w:p>
    <w:p>
      <w:pPr>
        <w:pStyle w:val="Description"/>
        <w:bidi w:val="0"/>
      </w:pPr>
      <w:r>
        <w:rPr>
          <w:rtl w:val="0"/>
        </w:rPr>
        <w:t>Evaluation will be structured around four primary metrics:</w:t>
      </w:r>
    </w:p>
    <w:p>
      <w:pPr>
        <w:pStyle w:val="Default"/>
        <w:numPr>
          <w:ilvl w:val="0"/>
          <w:numId w:val="10"/>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Housing Stability Index</w:t>
      </w:r>
      <w:r>
        <w:rPr>
          <w:rFonts w:ascii="Times Roman" w:hAnsi="Times Roman" w:hint="default"/>
          <w:sz w:val="24"/>
          <w:szCs w:val="24"/>
          <w:rtl w:val="0"/>
        </w:rPr>
        <w:t xml:space="preserve"> – </w:t>
      </w:r>
      <w:r>
        <w:rPr>
          <w:rFonts w:ascii="Times Roman" w:hAnsi="Times Roman"/>
          <w:sz w:val="24"/>
          <w:szCs w:val="24"/>
          <w:rtl w:val="0"/>
          <w:lang w:val="en-US"/>
        </w:rPr>
        <w:t>measuring reduction in eviction rates, rent burden, and turnover among pilot buildings.</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Subsidy Conversion Efficiency</w:t>
      </w:r>
      <w:r>
        <w:rPr>
          <w:rFonts w:ascii="Times Roman" w:hAnsi="Times Roman" w:hint="default"/>
          <w:sz w:val="24"/>
          <w:szCs w:val="24"/>
          <w:rtl w:val="0"/>
        </w:rPr>
        <w:t xml:space="preserve"> – </w:t>
      </w:r>
      <w:r>
        <w:rPr>
          <w:rFonts w:ascii="Times Roman" w:hAnsi="Times Roman"/>
          <w:sz w:val="24"/>
          <w:szCs w:val="24"/>
          <w:rtl w:val="0"/>
          <w:lang w:val="en-US"/>
        </w:rPr>
        <w:t>tracking the fiscal differential between rental support and ownership investment.</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Ownership Equity Accrual</w:t>
      </w:r>
      <w:r>
        <w:rPr>
          <w:rFonts w:ascii="Times Roman" w:hAnsi="Times Roman" w:hint="default"/>
          <w:sz w:val="24"/>
          <w:szCs w:val="24"/>
          <w:rtl w:val="0"/>
        </w:rPr>
        <w:t xml:space="preserve"> – </w:t>
      </w:r>
      <w:r>
        <w:rPr>
          <w:rFonts w:ascii="Times Roman" w:hAnsi="Times Roman"/>
          <w:sz w:val="24"/>
          <w:szCs w:val="24"/>
          <w:rtl w:val="0"/>
          <w:lang w:val="en-US"/>
        </w:rPr>
        <w:t>analyzing share value, capital reserves, and unit improvements over time.</w:t>
      </w:r>
    </w:p>
    <w:p>
      <w:pPr>
        <w:pStyle w:val="Default"/>
        <w:numPr>
          <w:ilvl w:val="0"/>
          <w:numId w:val="6"/>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Governance and Capacity Metrics</w:t>
      </w:r>
      <w:r>
        <w:rPr>
          <w:rFonts w:ascii="Times Roman" w:hAnsi="Times Roman" w:hint="default"/>
          <w:sz w:val="24"/>
          <w:szCs w:val="24"/>
          <w:rtl w:val="0"/>
        </w:rPr>
        <w:t xml:space="preserve"> – </w:t>
      </w:r>
      <w:r>
        <w:rPr>
          <w:rFonts w:ascii="Times Roman" w:hAnsi="Times Roman"/>
          <w:sz w:val="24"/>
          <w:szCs w:val="24"/>
          <w:rtl w:val="0"/>
          <w:lang w:val="en-US"/>
        </w:rPr>
        <w:t>assessing tenant board participation, co-op compliance rates, and engagement in training programs.</w:t>
      </w:r>
    </w:p>
    <w:p>
      <w:pPr>
        <w:pStyle w:val="Body"/>
        <w:bidi w:val="0"/>
      </w:pPr>
      <w:r>
        <w:rPr>
          <w:rtl w:val="0"/>
        </w:rPr>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Legal and Regulatory Analysis</w:t>
      </w:r>
    </w:p>
    <w:p>
      <w:pPr>
        <w:pStyle w:val="Body"/>
        <w:bidi w:val="0"/>
      </w:pPr>
      <w:r>
        <w:tab/>
      </w:r>
      <w:r>
        <w:rPr>
          <w:rtl w:val="0"/>
        </w:rPr>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w:t>
      </w:r>
      <w:r>
        <w:rPr>
          <w:rtl w:val="0"/>
        </w:rPr>
        <w:t xml:space="preserve"> </w:t>
      </w:r>
      <w:r>
        <w:rPr>
          <w:rtl w:val="0"/>
        </w:rPr>
        <w:t>In total, this methodology is not only evaluative but also generative, building the scaffolding required for an implementable, replicable, and legally robust public ownership framework grounded in research and shaped by those most affected.</w:t>
      </w:r>
      <w:r>
        <w:rPr>
          <w:rFonts w:ascii="Arial Unicode MS" w:cs="Arial Unicode MS" w:hAnsi="Arial Unicode MS" w:eastAsia="Arial Unicode MS"/>
          <w:b w:val="0"/>
          <w:bCs w:val="0"/>
          <w:i w:val="0"/>
          <w:iCs w:val="0"/>
        </w:rPr>
        <w:br w:type="page"/>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 xml:space="preserve">PART III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PROGRAM ARCHITECTURE &amp; IMPLEMENTATION TOOLS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nl-NL"/>
        </w:rPr>
        <w:t>Overview</w:t>
      </w:r>
    </w:p>
    <w:p>
      <w:pPr>
        <w:pStyle w:val="Body"/>
        <w:bidi w:val="0"/>
      </w:pPr>
      <w:r>
        <w:rPr>
          <w:rtl w:val="0"/>
        </w:rPr>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Pr>
          <w:rtl w:val="1"/>
        </w:rPr>
        <w:t>’</w:t>
      </w:r>
      <w:r>
        <w:rPr>
          <w:rtl w:val="0"/>
        </w:rPr>
        <w:t>s equity-centered goals.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Legislative Toolkit</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Public Equity Transfer Framework (PETF) Draft Legislation</w:t>
      </w:r>
      <w:r>
        <w:rPr>
          <w:rFonts w:ascii="Times Roman" w:hAnsi="Times Roman"/>
          <w:sz w:val="24"/>
          <w:szCs w:val="24"/>
          <w:rtl w:val="0"/>
          <w:lang w:val="en-US"/>
        </w:rPr>
        <w:t>: Establishes the legal basis for subsidy redirection into equity-generating instruments.</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 xml:space="preserve">Amendments to NYS Real Property Law </w:t>
      </w:r>
      <w:r>
        <w:rPr>
          <w:rFonts w:ascii="Times Roman" w:hAnsi="Times Roman" w:hint="default"/>
          <w:b w:val="1"/>
          <w:bCs w:val="1"/>
          <w:sz w:val="24"/>
          <w:szCs w:val="24"/>
          <w:rtl w:val="0"/>
        </w:rPr>
        <w:t>§</w:t>
      </w:r>
      <w:r>
        <w:rPr>
          <w:rFonts w:ascii="Times Roman" w:hAnsi="Times Roman"/>
          <w:b w:val="1"/>
          <w:bCs w:val="1"/>
          <w:sz w:val="24"/>
          <w:szCs w:val="24"/>
          <w:rtl w:val="0"/>
        </w:rPr>
        <w:t xml:space="preserve">216 &amp; </w:t>
      </w:r>
      <w:r>
        <w:rPr>
          <w:rFonts w:ascii="Times Roman" w:hAnsi="Times Roman" w:hint="default"/>
          <w:b w:val="1"/>
          <w:bCs w:val="1"/>
          <w:sz w:val="24"/>
          <w:szCs w:val="24"/>
          <w:rtl w:val="0"/>
        </w:rPr>
        <w:t>§</w:t>
      </w:r>
      <w:r>
        <w:rPr>
          <w:rFonts w:ascii="Times Roman" w:hAnsi="Times Roman"/>
          <w:b w:val="1"/>
          <w:bCs w:val="1"/>
          <w:sz w:val="24"/>
          <w:szCs w:val="24"/>
          <w:rtl w:val="0"/>
        </w:rPr>
        <w:t>220</w:t>
      </w:r>
      <w:r>
        <w:rPr>
          <w:rFonts w:ascii="Times Roman" w:hAnsi="Times Roman"/>
          <w:sz w:val="24"/>
          <w:szCs w:val="24"/>
          <w:rtl w:val="0"/>
          <w:lang w:val="en-US"/>
        </w:rPr>
        <w:t>: Permits subsidy-backed cooperative equity contributions.</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Municipal Enabling Ordinance</w:t>
      </w:r>
      <w:r>
        <w:rPr>
          <w:rFonts w:ascii="Times Roman" w:hAnsi="Times Roman"/>
          <w:sz w:val="24"/>
          <w:szCs w:val="24"/>
          <w:rtl w:val="0"/>
          <w:lang w:val="en-US"/>
        </w:rPr>
        <w:t>: Grants HPD and HCR authority to recognize and fund Subsidized Limited-Equity Cooperatives.</w:t>
      </w:r>
    </w:p>
    <w:p>
      <w:pPr>
        <w:pStyle w:val="Default"/>
        <w:numPr>
          <w:ilvl w:val="0"/>
          <w:numId w:val="9"/>
        </w:numPr>
        <w:suppressAutoHyphens w:val="1"/>
        <w:spacing w:before="0" w:after="240" w:line="240" w:lineRule="auto"/>
        <w:jc w:val="left"/>
        <w:rPr>
          <w:rFonts w:ascii="Times Roman" w:hAnsi="Times Roman"/>
          <w:sz w:val="24"/>
          <w:szCs w:val="24"/>
          <w:lang w:val="es-ES_tradnl"/>
        </w:rPr>
      </w:pPr>
      <w:r>
        <w:rPr>
          <w:rFonts w:ascii="Times Roman" w:hAnsi="Times Roman"/>
          <w:b w:val="1"/>
          <w:bCs w:val="1"/>
          <w:sz w:val="24"/>
          <w:szCs w:val="24"/>
          <w:rtl w:val="0"/>
          <w:lang w:val="es-ES_tradnl"/>
        </w:rPr>
        <w:t>Model COPA Expansion Bill</w:t>
      </w:r>
      <w:r>
        <w:rPr>
          <w:rFonts w:ascii="Times Roman" w:hAnsi="Times Roman"/>
          <w:sz w:val="24"/>
          <w:szCs w:val="24"/>
          <w:rtl w:val="0"/>
          <w:lang w:val="en-US"/>
        </w:rPr>
        <w:t>: Provides tenant associations with first purchase rights upon listing or foreclosure.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Legal Templates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Model Bylaws for Tenant Co-ops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Subsidy Redirection MOUs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Acquisition Financing Term Sheets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Technical Assistance Contracts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Affordability Covenant Agreements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Institutional Coordination Protocols</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TCAP Implementation Unit Charter</w:t>
      </w:r>
      <w:r>
        <w:rPr>
          <w:rFonts w:ascii="Times Roman" w:hAnsi="Times Roman"/>
          <w:sz w:val="24"/>
          <w:szCs w:val="24"/>
          <w:rtl w:val="0"/>
          <w:lang w:val="en-US"/>
        </w:rPr>
        <w:t>: Defines the mandate, staffing, and responsibilities of the interagency TCAP Task Force.</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Compliance and Reporting Dashboards</w:t>
      </w:r>
      <w:r>
        <w:rPr>
          <w:rFonts w:ascii="Times Roman" w:hAnsi="Times Roman"/>
          <w:sz w:val="24"/>
          <w:szCs w:val="24"/>
          <w:rtl w:val="0"/>
          <w:lang w:val="en-US"/>
        </w:rPr>
        <w:t>: Outlines digital infrastructure for data collection, tenant board monitoring, and fiscal oversight.</w:t>
      </w:r>
    </w:p>
    <w:p>
      <w:pPr>
        <w:pStyle w:val="Default"/>
        <w:numPr>
          <w:ilvl w:val="0"/>
          <w:numId w:val="9"/>
        </w:numPr>
        <w:suppressAutoHyphens w:val="1"/>
        <w:spacing w:before="0" w:after="240" w:line="240" w:lineRule="auto"/>
        <w:jc w:val="left"/>
        <w:rPr>
          <w:rFonts w:ascii="Times Roman" w:hAnsi="Times Roman"/>
          <w:sz w:val="24"/>
          <w:szCs w:val="24"/>
          <w:lang w:val="en-US"/>
        </w:rPr>
      </w:pPr>
      <w:r>
        <w:rPr>
          <w:rFonts w:ascii="Times Roman" w:hAnsi="Times Roman"/>
          <w:b w:val="1"/>
          <w:bCs w:val="1"/>
          <w:sz w:val="24"/>
          <w:szCs w:val="24"/>
          <w:rtl w:val="0"/>
          <w:lang w:val="en-US"/>
        </w:rPr>
        <w:t>Grievance and Mediation Procedures</w:t>
      </w:r>
      <w:r>
        <w:rPr>
          <w:rFonts w:ascii="Times Roman" w:hAnsi="Times Roman"/>
          <w:sz w:val="24"/>
          <w:szCs w:val="24"/>
          <w:rtl w:val="0"/>
          <w:lang w:val="en-US"/>
        </w:rPr>
        <w:t>: Defines accessible channels for dispute resolution during and after conversion.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Technical Assistance Framework</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Tenant Organizing &amp; Education Modules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Financial Literacy &amp; Governance Training Curricula</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Legal Capacity-Building for Emerging Co-ops</w:t>
      </w:r>
    </w:p>
    <w:p>
      <w:pPr>
        <w:pStyle w:val="Default"/>
        <w:numPr>
          <w:ilvl w:val="0"/>
          <w:numId w:val="9"/>
        </w:numPr>
        <w:suppressAutoHyphens w:val="1"/>
        <w:spacing w:before="0" w:after="240" w:line="240" w:lineRule="auto"/>
        <w:jc w:val="left"/>
        <w:rPr>
          <w:rFonts w:ascii="Times Roman" w:hAnsi="Times Roman"/>
          <w:b w:val="1"/>
          <w:bCs w:val="1"/>
          <w:sz w:val="24"/>
          <w:szCs w:val="24"/>
          <w:lang w:val="en-US"/>
        </w:rPr>
      </w:pPr>
      <w:r>
        <w:rPr>
          <w:rFonts w:ascii="Times Roman" w:hAnsi="Times Roman"/>
          <w:b w:val="1"/>
          <w:bCs w:val="1"/>
          <w:sz w:val="24"/>
          <w:szCs w:val="24"/>
          <w:rtl w:val="0"/>
          <w:lang w:val="en-US"/>
        </w:rPr>
        <w:t>Approved Intermediary Provider List (AIPL)</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section will be supported by Appendices A</w:t>
      </w:r>
      <w:r>
        <w:rPr>
          <w:rFonts w:ascii="Times Roman" w:hAnsi="Times Roman" w:hint="default"/>
          <w:sz w:val="24"/>
          <w:szCs w:val="24"/>
          <w:rtl w:val="0"/>
        </w:rPr>
        <w:t>–</w:t>
      </w:r>
      <w:r>
        <w:rPr>
          <w:rFonts w:ascii="Times Roman" w:hAnsi="Times Roman"/>
          <w:sz w:val="24"/>
          <w:szCs w:val="24"/>
          <w:rtl w:val="0"/>
          <w:lang w:val="en-US"/>
        </w:rPr>
        <w:t>D, which house the full legislative texts, forms, and tools referenced above. Together, they represent a legally executable and administratively scalable pathway to deliver TCAP across the five boroughs.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a-DK"/>
        </w:rPr>
        <w:t xml:space="preserve">Appendix A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Financial Tables &amp; Cost Modeling</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presents the fiscal framework for TCAP</w:t>
      </w:r>
      <w:r>
        <w:rPr>
          <w:rFonts w:ascii="Times Roman" w:hAnsi="Times Roman" w:hint="default"/>
          <w:sz w:val="24"/>
          <w:szCs w:val="24"/>
          <w:rtl w:val="1"/>
        </w:rPr>
        <w:t>’</w:t>
      </w:r>
      <w:r>
        <w:rPr>
          <w:rFonts w:ascii="Times Roman" w:hAnsi="Times Roman"/>
          <w:sz w:val="24"/>
          <w:szCs w:val="24"/>
          <w:rtl w:val="0"/>
          <w:lang w:val="en-US"/>
        </w:rPr>
        <w:t>s implementation, focusing on comparative costs, projected savings, and return on public investment over a five-year rollout. All data are modeled using NYC subsidy expenditure trends from 2018</w:t>
      </w:r>
      <w:r>
        <w:rPr>
          <w:rFonts w:ascii="Times Roman" w:hAnsi="Times Roman" w:hint="default"/>
          <w:sz w:val="24"/>
          <w:szCs w:val="24"/>
          <w:rtl w:val="0"/>
        </w:rPr>
        <w:t>–</w:t>
      </w:r>
      <w:r>
        <w:rPr>
          <w:rFonts w:ascii="Times Roman" w:hAnsi="Times Roman"/>
          <w:sz w:val="24"/>
          <w:szCs w:val="24"/>
          <w:rtl w:val="0"/>
          <w:lang w:val="en-US"/>
        </w:rPr>
        <w:t>2023, Right to Counsel program costs, and average acquisition financing structures applied in limited-equity co-op conversions facilitated by HPD.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A.1. Summary Budget Comparison (5-Year Projections)</w:t>
      </w:r>
    </w:p>
    <w:tbl>
      <w:tblPr>
        <w:tblW w:w="1080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88"/>
        <w:gridCol w:w="3809"/>
        <w:gridCol w:w="3803"/>
      </w:tblGrid>
      <w:tr>
        <w:tblPrEx>
          <w:shd w:val="clear" w:color="auto" w:fill="auto"/>
        </w:tblPrEx>
        <w:trPr>
          <w:trHeight w:val="567"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Category</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Status Quo Model (Rental Subsidy)</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TCAP Model (Subsidy Conversion)</w:t>
            </w:r>
          </w:p>
        </w:tc>
      </w:tr>
      <w:tr>
        <w:tblPrEx>
          <w:shd w:val="clear" w:color="auto" w:fill="auto"/>
        </w:tblPrEx>
        <w:trPr>
          <w:trHeight w:val="380"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Annual Rental Subsidy/Unit</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$21,600</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$18,000 (phase-out by year 5)</w:t>
            </w:r>
          </w:p>
        </w:tc>
      </w:tr>
      <w:tr>
        <w:tblPrEx>
          <w:shd w:val="clear" w:color="auto" w:fill="auto"/>
        </w:tblPrEx>
        <w:trPr>
          <w:trHeight w:val="567"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Shelter Eviction Response/Unit</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$7,400</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$1,500</w:t>
            </w:r>
          </w:p>
        </w:tc>
      </w:tr>
      <w:tr>
        <w:tblPrEx>
          <w:shd w:val="clear" w:color="auto" w:fill="auto"/>
        </w:tblPrEx>
        <w:trPr>
          <w:trHeight w:val="380"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Co-op Reserve Contribution</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N/A</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$2,500</w:t>
            </w:r>
          </w:p>
        </w:tc>
      </w:tr>
      <w:tr>
        <w:tblPrEx>
          <w:shd w:val="clear" w:color="auto" w:fill="auto"/>
        </w:tblPrEx>
        <w:trPr>
          <w:trHeight w:val="380"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Technical Assistance</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N/A</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$1,200</w:t>
            </w:r>
          </w:p>
        </w:tc>
      </w:tr>
      <w:tr>
        <w:tblPrEx>
          <w:shd w:val="clear" w:color="auto" w:fill="auto"/>
        </w:tblPrEx>
        <w:trPr>
          <w:trHeight w:val="380"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Legal Support Services</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$2,000</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$3,500</w:t>
            </w:r>
          </w:p>
        </w:tc>
      </w:tr>
      <w:tr>
        <w:tblPrEx>
          <w:shd w:val="clear" w:color="auto" w:fill="auto"/>
        </w:tblPrEx>
        <w:trPr>
          <w:trHeight w:val="380"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Administrative Overhead</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$1,800</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$1,200</w:t>
            </w:r>
          </w:p>
        </w:tc>
      </w:tr>
      <w:tr>
        <w:tblPrEx>
          <w:shd w:val="clear" w:color="auto" w:fill="auto"/>
        </w:tblPrEx>
        <w:trPr>
          <w:trHeight w:val="380" w:hRule="atLeast"/>
        </w:trPr>
        <w:tc>
          <w:tcPr>
            <w:tcW w:type="dxa" w:w="31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Total Annual Public Cost</w:t>
            </w:r>
          </w:p>
        </w:tc>
        <w:tc>
          <w:tcPr>
            <w:tcW w:type="dxa" w:w="3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$32,800</w:t>
            </w:r>
          </w:p>
        </w:tc>
        <w:tc>
          <w:tcPr>
            <w:tcW w:type="dxa" w:w="380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$26,200</w:t>
            </w:r>
          </w:p>
        </w:tc>
      </w:tr>
    </w:tbl>
    <w:p>
      <w:pPr>
        <w:pStyle w:val="Default"/>
        <w:suppressAutoHyphens w:val="1"/>
        <w:spacing w:before="0" w:after="240" w:line="240" w:lineRule="auto"/>
        <w:rPr>
          <w:rFonts w:ascii="Times Roman" w:cs="Times Roman" w:hAnsi="Times Roman" w:eastAsia="Times Roman"/>
          <w:i w:val="1"/>
          <w:iCs w:val="1"/>
          <w:sz w:val="24"/>
          <w:szCs w:val="24"/>
        </w:rPr>
      </w:pP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1"/>
          <w:iCs w:val="1"/>
          <w:sz w:val="24"/>
          <w:szCs w:val="24"/>
          <w:rtl w:val="0"/>
          <w:lang w:val="en-US"/>
        </w:rPr>
        <w:t xml:space="preserve">Projected savings per converted unit over five years: $32,800 </w:t>
      </w:r>
      <w:r>
        <w:rPr>
          <w:rFonts w:ascii="Arial Unicode MS" w:cs="Arial Unicode MS" w:hAnsi="Arial Unicode MS" w:eastAsia="Arial Unicode MS" w:hint="default"/>
          <w:b w:val="0"/>
          <w:bCs w:val="0"/>
          <w:i w:val="0"/>
          <w:iCs w:val="0"/>
          <w:sz w:val="24"/>
          <w:szCs w:val="24"/>
          <w:rtl w:val="0"/>
        </w:rPr>
        <w:t>→</w:t>
      </w:r>
      <w:r>
        <w:rPr>
          <w:rFonts w:ascii="Times Roman" w:hAnsi="Times Roman"/>
          <w:i w:val="1"/>
          <w:iCs w:val="1"/>
          <w:sz w:val="24"/>
          <w:szCs w:val="24"/>
          <w:rtl w:val="0"/>
        </w:rPr>
        <w:t xml:space="preserve"> </w:t>
      </w:r>
      <w:r>
        <w:rPr>
          <w:rFonts w:ascii="Times Roman" w:hAnsi="Times Roman"/>
          <w:i w:val="1"/>
          <w:iCs w:val="1"/>
          <w:sz w:val="24"/>
          <w:szCs w:val="24"/>
          <w:rtl w:val="0"/>
          <w:lang w:val="en-US"/>
        </w:rPr>
        <w:t>$131,000</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A.2. Unit-Level Cost Breakdown (TCAP Pilot Model)</w:t>
      </w:r>
    </w:p>
    <w:tbl>
      <w:tblPr>
        <w:tblW w:w="570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832"/>
        <w:gridCol w:w="1873"/>
      </w:tblGrid>
      <w:tr>
        <w:tblPrEx>
          <w:shd w:val="clear" w:color="auto" w:fill="auto"/>
        </w:tblPrEx>
        <w:trPr>
          <w:trHeight w:val="567"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Item</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Amount (Per Unit)</w:t>
            </w:r>
          </w:p>
        </w:tc>
      </w:tr>
      <w:tr>
        <w:tblPrEx>
          <w:shd w:val="clear" w:color="auto" w:fill="auto"/>
        </w:tblPrEx>
        <w:trPr>
          <w:trHeight w:val="567"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Down Payment via Redirected Subsidy</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$20,000</w:t>
            </w:r>
          </w:p>
        </w:tc>
      </w:tr>
      <w:tr>
        <w:tblPrEx>
          <w:shd w:val="clear" w:color="auto" w:fill="auto"/>
        </w:tblPrEx>
        <w:trPr>
          <w:trHeight w:val="380"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Repairs and Capital Reserve</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$12,500</w:t>
            </w:r>
          </w:p>
        </w:tc>
      </w:tr>
      <w:tr>
        <w:tblPrEx>
          <w:shd w:val="clear" w:color="auto" w:fill="auto"/>
        </w:tblPrEx>
        <w:trPr>
          <w:trHeight w:val="380"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Legal/Title Transfer Costs</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$5,000</w:t>
            </w:r>
          </w:p>
        </w:tc>
      </w:tr>
      <w:tr>
        <w:tblPrEx>
          <w:shd w:val="clear" w:color="auto" w:fill="auto"/>
        </w:tblPrEx>
        <w:trPr>
          <w:trHeight w:val="380"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Technical Assistance (Year 1</w:t>
            </w:r>
            <w:r>
              <w:rPr>
                <w:rFonts w:ascii="Times Roman" w:hAnsi="Times Roman" w:hint="default"/>
                <w:sz w:val="24"/>
                <w:szCs w:val="24"/>
                <w:rtl w:val="0"/>
              </w:rPr>
              <w:t>–</w:t>
            </w:r>
            <w:r>
              <w:rPr>
                <w:rFonts w:ascii="Times Roman" w:hAnsi="Times Roman"/>
                <w:sz w:val="24"/>
                <w:szCs w:val="24"/>
                <w:rtl w:val="0"/>
              </w:rPr>
              <w:t>2)</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$3,000</w:t>
            </w:r>
          </w:p>
        </w:tc>
      </w:tr>
      <w:tr>
        <w:tblPrEx>
          <w:shd w:val="clear" w:color="auto" w:fill="auto"/>
        </w:tblPrEx>
        <w:trPr>
          <w:trHeight w:val="380"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Co-op Governance Training</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$2,500</w:t>
            </w:r>
          </w:p>
        </w:tc>
      </w:tr>
      <w:tr>
        <w:tblPrEx>
          <w:shd w:val="clear" w:color="auto" w:fill="auto"/>
        </w:tblPrEx>
        <w:trPr>
          <w:trHeight w:val="380" w:hRule="atLeast"/>
        </w:trPr>
        <w:tc>
          <w:tcPr>
            <w:tcW w:type="dxa" w:w="3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Total Cost Per Unit (One-Time)</w:t>
            </w:r>
          </w:p>
        </w:tc>
        <w:tc>
          <w:tcPr>
            <w:tcW w:type="dxa" w:w="18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$43,000</w:t>
            </w:r>
          </w:p>
        </w:tc>
      </w:tr>
    </w:tbl>
    <w:p>
      <w:pPr>
        <w:pStyle w:val="Default"/>
        <w:suppressAutoHyphens w:val="1"/>
        <w:spacing w:before="0" w:after="240" w:line="240" w:lineRule="auto"/>
        <w:rPr>
          <w:rFonts w:ascii="Times Roman" w:cs="Times Roman" w:hAnsi="Times Roman" w:eastAsia="Times Roman"/>
          <w:i w:val="1"/>
          <w:iCs w:val="1"/>
          <w:sz w:val="24"/>
          <w:szCs w:val="24"/>
        </w:rPr>
      </w:pP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1"/>
          <w:iCs w:val="1"/>
          <w:sz w:val="24"/>
          <w:szCs w:val="24"/>
          <w:rtl w:val="0"/>
          <w:lang w:val="en-US"/>
        </w:rPr>
        <w:t>Compared to current average shelter expenditure of over $62,000 per family/year.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A.3. Return on Investment Projections (Selected Pilot Scenarios)</w:t>
      </w:r>
    </w:p>
    <w:p>
      <w:pPr>
        <w:pStyle w:val="Default"/>
        <w:numPr>
          <w:ilvl w:val="0"/>
          <w:numId w:val="11"/>
        </w:numPr>
        <w:suppressAutoHyphens w:val="1"/>
        <w:spacing w:before="0" w:after="240" w:line="240" w:lineRule="auto"/>
        <w:jc w:val="left"/>
        <w:rPr>
          <w:rFonts w:ascii="Times Roman" w:hAnsi="Times Roman"/>
          <w:b w:val="1"/>
          <w:bCs w:val="1"/>
          <w:sz w:val="24"/>
          <w:szCs w:val="24"/>
          <w:lang w:val="it-IT"/>
        </w:rPr>
      </w:pPr>
      <w:r>
        <w:rPr>
          <w:rFonts w:ascii="Times Roman" w:hAnsi="Times Roman"/>
          <w:b w:val="1"/>
          <w:bCs w:val="1"/>
          <w:sz w:val="24"/>
          <w:szCs w:val="24"/>
          <w:rtl w:val="0"/>
          <w:lang w:val="it-IT"/>
        </w:rPr>
        <w:t xml:space="preserve">Scenario A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24-Unit Building in Bronx CD 6</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Total conversion cost: $1.03M</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Public savings over 5 years (subsidy + RTC + shelter): $1.5M</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Break-even point: 3.4 years</w:t>
      </w:r>
    </w:p>
    <w:p>
      <w:pPr>
        <w:pStyle w:val="Default"/>
        <w:numPr>
          <w:ilvl w:val="0"/>
          <w:numId w:val="11"/>
        </w:numPr>
        <w:suppressAutoHyphens w:val="1"/>
        <w:spacing w:before="0" w:after="240" w:line="240" w:lineRule="auto"/>
        <w:jc w:val="left"/>
        <w:rPr>
          <w:rFonts w:ascii="Times Roman" w:hAnsi="Times Roman"/>
          <w:b w:val="1"/>
          <w:bCs w:val="1"/>
          <w:sz w:val="24"/>
          <w:szCs w:val="24"/>
          <w:lang w:val="it-IT"/>
        </w:rPr>
      </w:pPr>
      <w:r>
        <w:rPr>
          <w:rFonts w:ascii="Times Roman" w:hAnsi="Times Roman"/>
          <w:b w:val="1"/>
          <w:bCs w:val="1"/>
          <w:sz w:val="24"/>
          <w:szCs w:val="24"/>
          <w:rtl w:val="0"/>
          <w:lang w:val="it-IT"/>
        </w:rPr>
        <w:t xml:space="preserve">Scenario B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42-Unit Building in Brooklyn CD 33</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Total conversion cost: $1.98M</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Savings: $2.9M</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Break-even point: 2.9 years</w:t>
      </w:r>
    </w:p>
    <w:p>
      <w:pPr>
        <w:pStyle w:val="Default"/>
        <w:numPr>
          <w:ilvl w:val="0"/>
          <w:numId w:val="11"/>
        </w:numPr>
        <w:suppressAutoHyphens w:val="1"/>
        <w:spacing w:before="0" w:after="240" w:line="240" w:lineRule="auto"/>
        <w:jc w:val="left"/>
        <w:rPr>
          <w:rFonts w:ascii="Times Roman" w:hAnsi="Times Roman"/>
          <w:b w:val="1"/>
          <w:bCs w:val="1"/>
          <w:sz w:val="24"/>
          <w:szCs w:val="24"/>
          <w:lang w:val="it-IT"/>
        </w:rPr>
      </w:pPr>
      <w:r>
        <w:rPr>
          <w:rFonts w:ascii="Times Roman" w:hAnsi="Times Roman"/>
          <w:b w:val="1"/>
          <w:bCs w:val="1"/>
          <w:sz w:val="24"/>
          <w:szCs w:val="24"/>
          <w:rtl w:val="0"/>
          <w:lang w:val="it-IT"/>
        </w:rPr>
        <w:t xml:space="preserve">Scenario C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18-Unit HDFC Rescue in Upper Manhattan</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Cost: $875K</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Savings: $1.14M</w:t>
      </w:r>
    </w:p>
    <w:p>
      <w:pPr>
        <w:pStyle w:val="Default"/>
        <w:numPr>
          <w:ilvl w:val="1"/>
          <w:numId w:val="11"/>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Break-even: 3.1 years</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1"/>
          <w:iCs w:val="1"/>
          <w:sz w:val="24"/>
          <w:szCs w:val="24"/>
          <w:rtl w:val="0"/>
          <w:lang w:val="en-US"/>
        </w:rPr>
        <w:t>All projections include inflation indexing and 10% contingency for loan defaults.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a-DK"/>
        </w:rPr>
        <w:t xml:space="preserve">Appendix B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Legal Texts &amp; Draft Legislation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includes core legislative texts required for TCAP implementation. Drafts are formatted for municipal, state, and interagency adoption, and reflect current New York City and New York State legal standards. All texts were developed in consultation with housing law scholars and reviewed against current HPD and HUD regulatory frameworks.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B.1. Public Equity Transfer Framework (PETF)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de-DE"/>
        </w:rPr>
        <w:t>Draft Statute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Summary:</w:t>
      </w:r>
      <w:r>
        <w:rPr>
          <w:rFonts w:ascii="Times Roman" w:hAnsi="Times Roman"/>
          <w:sz w:val="24"/>
          <w:szCs w:val="24"/>
          <w:rtl w:val="0"/>
          <w:lang w:val="en-US"/>
        </w:rPr>
        <w:t xml:space="preserve"> Establishes a legal mechanism for converting existing housing subsidies (HCV, CityFHEPS, HASA) into share-based equity instruments used toward cooperative housing acquisition.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Key Provisions: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 xml:space="preserve">Creates a new class of benefit called </w:t>
      </w:r>
      <w:r>
        <w:rPr>
          <w:rFonts w:ascii="Times Roman" w:hAnsi="Times Roman" w:hint="default"/>
          <w:sz w:val="24"/>
          <w:szCs w:val="24"/>
          <w:rtl w:val="1"/>
          <w:lang w:val="ar-SA" w:bidi="ar-SA"/>
        </w:rPr>
        <w:t>“</w:t>
      </w:r>
      <w:r>
        <w:rPr>
          <w:rFonts w:ascii="Times Roman" w:hAnsi="Times Roman"/>
          <w:sz w:val="24"/>
          <w:szCs w:val="24"/>
          <w:rtl w:val="0"/>
          <w:lang w:val="en-US"/>
        </w:rPr>
        <w:t>Convertible Public Housing Equity Instruments</w:t>
      </w:r>
      <w:r>
        <w:rPr>
          <w:rFonts w:ascii="Times Roman" w:hAnsi="Times Roman" w:hint="default"/>
          <w:sz w:val="24"/>
          <w:szCs w:val="24"/>
          <w:rtl w:val="0"/>
        </w:rPr>
        <w: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Authorizes HPD and HCR to reclassify subsidy payments as capital contributions to registered cooperatives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Grants tenants full subsidy value accrual rights toward share purchases during the transition period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Establishes income-restricted resale formulas to preserve affordability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B.2. Amendment to NYS Real Property Law </w:t>
      </w:r>
      <w:r>
        <w:rPr>
          <w:rFonts w:ascii="Times Roman" w:hAnsi="Times Roman" w:hint="default"/>
          <w:b w:val="1"/>
          <w:bCs w:val="1"/>
          <w:sz w:val="28"/>
          <w:szCs w:val="28"/>
          <w:rtl w:val="0"/>
        </w:rPr>
        <w:t>§</w:t>
      </w:r>
      <w:r>
        <w:rPr>
          <w:rFonts w:ascii="Times Roman" w:hAnsi="Times Roman"/>
          <w:b w:val="1"/>
          <w:bCs w:val="1"/>
          <w:sz w:val="28"/>
          <w:szCs w:val="28"/>
          <w:rtl w:val="0"/>
        </w:rPr>
        <w:t xml:space="preserve">216 &amp; </w:t>
      </w:r>
      <w:r>
        <w:rPr>
          <w:rFonts w:ascii="Times Roman" w:hAnsi="Times Roman" w:hint="default"/>
          <w:b w:val="1"/>
          <w:bCs w:val="1"/>
          <w:sz w:val="28"/>
          <w:szCs w:val="28"/>
          <w:rtl w:val="0"/>
        </w:rPr>
        <w:t>§</w:t>
      </w:r>
      <w:r>
        <w:rPr>
          <w:rFonts w:ascii="Times Roman" w:hAnsi="Times Roman"/>
          <w:b w:val="1"/>
          <w:bCs w:val="1"/>
          <w:sz w:val="28"/>
          <w:szCs w:val="28"/>
          <w:rtl w:val="0"/>
        </w:rPr>
        <w:t>220</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Purpose:</w:t>
      </w:r>
      <w:r>
        <w:rPr>
          <w:rFonts w:ascii="Times Roman" w:hAnsi="Times Roman"/>
          <w:sz w:val="24"/>
          <w:szCs w:val="24"/>
          <w:rtl w:val="0"/>
          <w:lang w:val="en-US"/>
        </w:rPr>
        <w:t xml:space="preserve"> To allow housing subsidies to satisfy co-op capitalization requirements and to clarify tenant protections under limited-equity conversion.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Key Additions: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Language allowing public subsidy disbursements to count as valid consideration in cooperative share agreements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Protections against equity dilution in the event of subsidy termination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Eviction moratorium language during co-op conversion if due process procedures are underway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B.3. NYC Ordinance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 xml:space="preserve">Creation of </w:t>
      </w:r>
      <w:r>
        <w:rPr>
          <w:rFonts w:ascii="Times Roman" w:hAnsi="Times Roman" w:hint="default"/>
          <w:b w:val="1"/>
          <w:bCs w:val="1"/>
          <w:sz w:val="28"/>
          <w:szCs w:val="28"/>
          <w:rtl w:val="1"/>
          <w:lang w:val="ar-SA" w:bidi="ar-SA"/>
        </w:rPr>
        <w:t>“</w:t>
      </w:r>
      <w:r>
        <w:rPr>
          <w:rFonts w:ascii="Times Roman" w:hAnsi="Times Roman"/>
          <w:b w:val="1"/>
          <w:bCs w:val="1"/>
          <w:sz w:val="28"/>
          <w:szCs w:val="28"/>
          <w:rtl w:val="0"/>
          <w:lang w:val="en-US"/>
        </w:rPr>
        <w:t>Subsidized Limited-Equity Co-op</w:t>
      </w:r>
      <w:r>
        <w:rPr>
          <w:rFonts w:ascii="Times Roman" w:hAnsi="Times Roman" w:hint="default"/>
          <w:b w:val="1"/>
          <w:bCs w:val="1"/>
          <w:sz w:val="28"/>
          <w:szCs w:val="28"/>
          <w:rtl w:val="0"/>
        </w:rPr>
        <w:t xml:space="preserve">” </w:t>
      </w:r>
      <w:r>
        <w:rPr>
          <w:rFonts w:ascii="Times Roman" w:hAnsi="Times Roman"/>
          <w:b w:val="1"/>
          <w:bCs w:val="1"/>
          <w:sz w:val="28"/>
          <w:szCs w:val="28"/>
          <w:rtl w:val="0"/>
          <w:lang w:val="nl-NL"/>
        </w:rPr>
        <w:t>Status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Purpose:</w:t>
      </w:r>
      <w:r>
        <w:rPr>
          <w:rFonts w:ascii="Times Roman" w:hAnsi="Times Roman"/>
          <w:sz w:val="24"/>
          <w:szCs w:val="24"/>
          <w:rtl w:val="0"/>
          <w:lang w:val="en-US"/>
        </w:rPr>
        <w:t xml:space="preserve"> Establishes a new legal category under NYC Administrative Code for housing units acquired under TCAP.</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Features: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Outlines affordability covenants and resale restrictions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Requires five-year compliance audits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Mandates HPD certification for technical assistance intermediaries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Legal standing for tenant associations to bring claims in Housing Court for violations of cooperative charter</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B.4. Community Opportunity to Purchase Act (COPA)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Expanded Model Bill</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Purpose:</w:t>
      </w:r>
      <w:r>
        <w:rPr>
          <w:rFonts w:ascii="Times Roman" w:hAnsi="Times Roman"/>
          <w:sz w:val="24"/>
          <w:szCs w:val="24"/>
          <w:rtl w:val="0"/>
          <w:lang w:val="en-US"/>
        </w:rPr>
        <w:t xml:space="preserve"> To ensure tenant associations have the right of first refusal when a covered building is sold or foreclosed.</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Key Enhancements for TCAP Alignment: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Includes foreclosed properties, deed-in-lieu, and HPD tax lien sales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Requires 90-day notice period and provision of purchase documentation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Grants tenants standing to compel sale halts for non-compliance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Each legislative item is annotated and includes references to existing NYC, NYS, and HUD regulatory frameworks for seamless cross-agency adoption. Full bill texts are available upon request in editable formats for municipal and legislative counsel.</w:t>
      </w:r>
    </w:p>
    <w:p>
      <w:pPr>
        <w:pStyle w:val="Appendix"/>
        <w:bidi w:val="0"/>
      </w:pPr>
      <w:r>
        <w:rPr>
          <w:rtl w:val="0"/>
        </w:rPr>
        <w:t xml:space="preserve">Appendix C </w:t>
      </w:r>
      <w:r>
        <w:rPr>
          <w:rtl w:val="0"/>
          <w:lang w:val="en-US"/>
        </w:rPr>
        <w:t xml:space="preserve">— </w:t>
      </w:r>
      <w:r>
        <w:rPr>
          <w:rtl w:val="0"/>
          <w:lang w:val="en-US"/>
        </w:rPr>
        <w:t>Templates &amp; Agreements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C.1. Tenant Association Bylaw Template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Clearly defined governance structures and board responsibilities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Member rights, obligations, and equity accrual mechanisms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Conflict resolution and meeting protocols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C.2. Sample Memorandum of Understanding (MOU)</w:t>
      </w:r>
    </w:p>
    <w:p>
      <w:pPr>
        <w:pStyle w:val="Default"/>
        <w:numPr>
          <w:ilvl w:val="0"/>
          <w:numId w:val="3"/>
        </w:numPr>
        <w:suppressAutoHyphens w:val="1"/>
        <w:spacing w:before="0" w:after="240" w:line="240" w:lineRule="auto"/>
        <w:jc w:val="left"/>
        <w:rPr>
          <w:rFonts w:ascii="Times Roman" w:hAnsi="Times Roman"/>
          <w:sz w:val="24"/>
          <w:szCs w:val="24"/>
          <w:lang w:val="de-DE"/>
        </w:rPr>
      </w:pPr>
      <w:r>
        <w:rPr>
          <w:rFonts w:ascii="Times Roman" w:hAnsi="Times Roman"/>
          <w:sz w:val="24"/>
          <w:szCs w:val="24"/>
          <w:rtl w:val="0"/>
          <w:lang w:val="de-DE"/>
        </w:rPr>
        <w:t>HPD</w:t>
      </w:r>
      <w:r>
        <w:rPr>
          <w:rFonts w:ascii="Times Roman" w:hAnsi="Times Roman" w:hint="default"/>
          <w:sz w:val="24"/>
          <w:szCs w:val="24"/>
          <w:rtl w:val="0"/>
        </w:rPr>
        <w:t>–</w:t>
      </w:r>
      <w:r>
        <w:rPr>
          <w:rFonts w:ascii="Times Roman" w:hAnsi="Times Roman"/>
          <w:sz w:val="24"/>
          <w:szCs w:val="24"/>
          <w:rtl w:val="0"/>
          <w:lang w:val="fr-FR"/>
        </w:rPr>
        <w:t>Tenant</w:t>
      </w:r>
      <w:r>
        <w:rPr>
          <w:rFonts w:ascii="Times Roman" w:hAnsi="Times Roman" w:hint="default"/>
          <w:sz w:val="24"/>
          <w:szCs w:val="24"/>
          <w:rtl w:val="0"/>
        </w:rPr>
        <w:t>–</w:t>
      </w:r>
      <w:r>
        <w:rPr>
          <w:rFonts w:ascii="Times Roman" w:hAnsi="Times Roman"/>
          <w:sz w:val="24"/>
          <w:szCs w:val="24"/>
          <w:rtl w:val="0"/>
          <w:lang w:val="en-US"/>
        </w:rPr>
        <w:t>Financial intermediary agreements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Roles and responsibilities clearly delineated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Terms of subsidy redirection and equity accrual processes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C.3. Acquisition Financing Term Sheet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Structured financing terms for cooperative acquisition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Interest rates, loan duration, and repayment schedules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City guarantees and conditions for financial participation</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C.4. Affordability Covenant Language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Permanent affordability conditions linked to subsidy provision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Restrictions on resale value and market transactions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Compliance verification requirements and audit timelines</w:t>
      </w:r>
    </w:p>
    <w:p>
      <w:pPr>
        <w:pStyle w:val="Heading 2"/>
        <w:bidi w:val="0"/>
      </w:pPr>
      <w:r>
        <w:rPr>
          <w:rtl w:val="0"/>
        </w:rPr>
        <w:t>C.5. Technical Assistance Provider Contract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Criteria for selecting qualified technical assistance intermediaries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Defined scope of work for cooperative governance training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Performance evaluation and reporting obligations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Each document template is annotated with instructions for customization, ensuring applicability to a broad range of cooperative conversions across diverse property types and tenant demographics.</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Appendix"/>
        <w:bidi w:val="0"/>
      </w:pPr>
      <w:r>
        <w:rPr>
          <w:rFonts w:ascii="Arial Unicode MS" w:cs="Arial Unicode MS" w:hAnsi="Arial Unicode MS" w:eastAsia="Arial Unicode MS"/>
          <w:b w:val="0"/>
          <w:bCs w:val="0"/>
          <w:i w:val="0"/>
          <w:iCs w:val="0"/>
        </w:rPr>
        <w:br w:type="page"/>
      </w:r>
    </w:p>
    <w:p>
      <w:pPr>
        <w:pStyle w:val="Appendix"/>
        <w:bidi w:val="0"/>
      </w:pPr>
      <w:r>
        <w:rPr>
          <w:rtl w:val="0"/>
        </w:rPr>
        <w:t xml:space="preserve">Appendix D </w:t>
      </w:r>
      <w:r>
        <w:rPr>
          <w:rtl w:val="0"/>
          <w:lang w:val="en-US"/>
        </w:rPr>
        <w:t xml:space="preserve">— </w:t>
      </w:r>
      <w:r>
        <w:rPr>
          <w:rtl w:val="0"/>
          <w:lang w:val="en-US"/>
        </w:rPr>
        <w:t>Training &amp; Technical Assistance Toolkit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provides resources designed to ensure tenant associations and administrative stakeholders have the capacity, knowledge, and practical skills necessary for successful TCAP implementation and long-term cooperative management.</w:t>
      </w:r>
    </w:p>
    <w:p>
      <w:pPr>
        <w:pStyle w:val="Heading 2"/>
        <w:bidi w:val="0"/>
      </w:pPr>
      <w:r>
        <w:rPr>
          <w:rtl w:val="0"/>
          <w:lang w:val="it-IT"/>
        </w:rPr>
        <w:t>D.1. TCAP Orientation Curriculum</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Introduction to cooperative housing principles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Overview of tenant rights and obligations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Subsidy conversion process explained</w:t>
      </w:r>
    </w:p>
    <w:p>
      <w:pPr>
        <w:pStyle w:val="Heading 2"/>
        <w:bidi w:val="0"/>
      </w:pPr>
      <w:r>
        <w:rPr>
          <w:rtl w:val="0"/>
        </w:rPr>
        <w:t>D.2. Financial Literacy and Cooperative Governance Modules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Budget management and reserve fund planning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Cooperative share valuation and equity distribution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Transparent decision-making and board governance training</w:t>
      </w:r>
    </w:p>
    <w:p>
      <w:pPr>
        <w:pStyle w:val="Heading 2"/>
        <w:bidi w:val="0"/>
      </w:pPr>
      <w:r>
        <w:rPr>
          <w:rtl w:val="0"/>
        </w:rPr>
        <w:t>D.3. Grievance Mediation Procedures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Structured processes for conflict resolution among cooperative members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Guidelines for external mediation intervention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Escalation protocols and documentation standards</w:t>
      </w:r>
    </w:p>
    <w:p>
      <w:pPr>
        <w:pStyle w:val="Heading 2"/>
        <w:bidi w:val="0"/>
      </w:pPr>
      <w:r>
        <w:rPr>
          <w:rtl w:val="0"/>
        </w:rPr>
        <w:t>D.4. Approved Intermediary Provider List (AIPL)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Certified nonprofit and legal assistance organizations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Recommended financial institutions experienced in cooperative finance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Contacts for community organizing and tenant advocacy groups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Each module includes facilitation guides, participant handouts, and digital resources to support interactive training and ongoing technical assistance tailored specifically to the needs of newly formed limited-equity co-ops</w:t>
      </w:r>
    </w:p>
    <w:p>
      <w:pPr>
        <w:pStyle w:val="Appendix"/>
        <w:bidi w:val="0"/>
      </w:pPr>
      <w:r>
        <w:rPr>
          <w:rtl w:val="0"/>
        </w:rPr>
        <w:t xml:space="preserve">Appendix C </w:t>
      </w:r>
      <w:r>
        <w:rPr>
          <w:rtl w:val="0"/>
          <w:lang w:val="en-US"/>
        </w:rPr>
        <w:t xml:space="preserve">— </w:t>
      </w:r>
      <w:r>
        <w:rPr>
          <w:rtl w:val="0"/>
          <w:lang w:val="en-US"/>
        </w:rPr>
        <w:t>Templates &amp; Agreements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pPr>
        <w:pStyle w:val="Heading 2"/>
        <w:bidi w:val="0"/>
      </w:pPr>
      <w:r>
        <w:rPr>
          <w:rtl w:val="0"/>
        </w:rPr>
        <w:t>Folder 1: Tenant Association Bylaw Template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Model Bylaws for TCAP-Recognized Tenant Associations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Preamble:</w:t>
      </w:r>
      <w:r>
        <w:rPr>
          <w:rFonts w:ascii="Times Roman" w:hAnsi="Times Roman"/>
          <w:sz w:val="24"/>
          <w:szCs w:val="24"/>
          <w:rtl w:val="0"/>
          <w:lang w:val="en-US"/>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 xml:space="preserve">Article I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Name and Purpose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Name: The association shall be known as the [Name of Association] Tenant Cooperative.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Purpose: To manage, maintain, and operate the building in accordance with cooperative principles and TCAP regulations.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 xml:space="preserve">Article II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Membership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Eligibility: Any tenant residing in the building who meets TCAP eligibility requirements and agrees to the affordability covenant shall be eligible for membership.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Rights: Members shall have the right to vote, participate in meetings, serve on committees, and review financial records.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3. Obligations: Members must comply with payment obligations and cooperative policies.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fr-FR"/>
        </w:rPr>
        <w:t xml:space="preserve">Article III </w:t>
      </w:r>
      <w:r>
        <w:rPr>
          <w:rFonts w:ascii="Times Roman" w:hAnsi="Times Roman" w:hint="default"/>
          <w:b w:val="1"/>
          <w:bCs w:val="1"/>
          <w:sz w:val="24"/>
          <w:szCs w:val="24"/>
          <w:rtl w:val="0"/>
        </w:rPr>
        <w:t xml:space="preserve">– </w:t>
      </w:r>
      <w:r>
        <w:rPr>
          <w:rFonts w:ascii="Times Roman" w:hAnsi="Times Roman"/>
          <w:b w:val="1"/>
          <w:bCs w:val="1"/>
          <w:sz w:val="24"/>
          <w:szCs w:val="24"/>
          <w:rtl w:val="0"/>
          <w:lang w:val="pt-PT"/>
        </w:rPr>
        <w:t>Governance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Board of Directors: A board of five to nine members shall be elected from among the membership.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Elections: Elections shall be held annually with staggered terms of two years.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3. Responsibilities: The board shall oversee finances, maintenance, and compliance with TCAP and HPD guidelines.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 xml:space="preserve">Article IV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Meetings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General Meetings: Held quarterly, with written notice at least 14 days in advance.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Special Meetings: May be called by a majority of the board or petition of 25% of members.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3. Quorum: A quorum shall consist of one-third of members in good standing.</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 xml:space="preserve">Article V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Financial Management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Budget: An annual operating budget must be prepared and approved by the board with member input.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Reserve Fund: A cooperative reserve fund shall be maintained as required under the TCAP agreement.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3. Audits: Annual audits shall be conducted by an independent third-party auditor.</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fr-FR"/>
        </w:rPr>
        <w:t xml:space="preserve">Article VI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Conflict Resolution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Mediation: Conflicts shall first be subject to informal resolution; if unresolved, mediation may be initiated with an approved intermediary.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Appeals: Members may appeal board decisions to a grievance panel or external mediator certified by HPD.</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fr-FR"/>
        </w:rPr>
        <w:t xml:space="preserve">Article VII </w:t>
      </w:r>
      <w:r>
        <w:rPr>
          <w:rFonts w:ascii="Times Roman" w:hAnsi="Times Roman" w:hint="default"/>
          <w:b w:val="1"/>
          <w:bCs w:val="1"/>
          <w:sz w:val="24"/>
          <w:szCs w:val="24"/>
          <w:rtl w:val="0"/>
        </w:rPr>
        <w:t xml:space="preserve">– </w:t>
      </w:r>
      <w:r>
        <w:rPr>
          <w:rFonts w:ascii="Times Roman" w:hAnsi="Times Roman"/>
          <w:b w:val="1"/>
          <w:bCs w:val="1"/>
          <w:sz w:val="24"/>
          <w:szCs w:val="24"/>
          <w:rtl w:val="0"/>
          <w:lang w:val="en-US"/>
        </w:rPr>
        <w:t>Amendments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1. Process: Amendments to these bylaws require a two-thirds vote of members present at a duly noticed meeting.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Section 2. Compliance: No amendment shall contravene HPD or TCAP regulatory requirements.</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Document Includes: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Articles of Incorporation and governance bylaws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Procedures for elections, quorum, and board composition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Share purchase policies and conflict resolution mechanisms</w:t>
      </w:r>
    </w:p>
    <w:p>
      <w:pPr>
        <w:pStyle w:val="Default"/>
        <w:suppressAutoHyphens w:val="1"/>
        <w:spacing w:before="0" w:after="240" w:line="240" w:lineRule="auto"/>
        <w:jc w:val="left"/>
      </w:pPr>
      <w:r>
        <w:rPr>
          <w:rFonts w:ascii="Arial Unicode MS" w:cs="Arial Unicode MS" w:hAnsi="Arial Unicode MS" w:eastAsia="Arial Unicode MS"/>
          <w:b w:val="0"/>
          <w:bCs w:val="0"/>
          <w:i w:val="0"/>
          <w:iCs w:val="0"/>
          <w:sz w:val="24"/>
          <w:szCs w:val="24"/>
        </w:rPr>
        <w:br w:type="page"/>
      </w:r>
    </w:p>
    <w:p>
      <w:pPr>
        <w:pStyle w:val="Heading 2"/>
        <w:bidi w:val="0"/>
      </w:pPr>
      <w:r>
        <w:rPr>
          <w:rtl w:val="0"/>
        </w:rPr>
        <w:t>Folder 2: Sample Memorandum of Understanding (MOU)</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Memorandum of Understanding between HPD, Tenant Association, and Financial Intermediary</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Preamble:</w:t>
      </w:r>
      <w:r>
        <w:rPr>
          <w:rFonts w:ascii="Times Roman" w:hAnsi="Times Roman"/>
          <w:sz w:val="24"/>
          <w:szCs w:val="24"/>
          <w:rtl w:val="0"/>
          <w:lang w:val="en-US"/>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1. Roles and Responsibilities</w:t>
      </w:r>
      <w:r>
        <w:rPr>
          <w:rFonts w:ascii="Times Roman" w:hAnsi="Times Roman"/>
          <w:b w:val="0"/>
          <w:bCs w:val="0"/>
          <w:sz w:val="24"/>
          <w:szCs w:val="24"/>
          <w:rtl w:val="0"/>
          <w:lang w:val="en-US"/>
        </w:rPr>
        <w:t xml:space="preserve"> 1.1 HPD shall: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Provide regulatory oversight, technical guidance, and fiscal reporting.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Approve subsidy redirection and legal compliance.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Coordinate with HUD and NYS HCR as needed.</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1.2 Tenant Association shall: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Organize democratic governance structures and adopt cooperative bylaws.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Participate in training and education required by TCAP.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Collaborate in the acquisition process and ensure member compliance.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1.3 Financial Intermediary shall: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Facilitate acquisition financing and manage escrow disbursements.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Assist with budgeting, loan processing, and reserve account management.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Report on financial health and performance metrics quarterly to HPD.</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2. Scope of Agreement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This MOU applies to the property located at [address], a [#]-unit building eligible under TCAP.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Duration: This agreement shall remain in effect for five years from the execution date or until all TCAP obligations are fulfilled.</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3. Subsidy Redirection and Equity Accrual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HPD shall authorize the redirection of eligible subsidies toward cooperative equity accounts.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The Intermediary shall document all payments and credit them toward member shares as detailed in the Acquisition Term Sheet.</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4. Dispute Resolution and Modifications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Disputes shall be mediated through HPD</w:t>
      </w:r>
      <w:r>
        <w:rPr>
          <w:rFonts w:ascii="Times Roman" w:hAnsi="Times Roman" w:hint="default"/>
          <w:sz w:val="24"/>
          <w:szCs w:val="24"/>
          <w:rtl w:val="1"/>
        </w:rPr>
        <w:t>’</w:t>
      </w:r>
      <w:r>
        <w:rPr>
          <w:rFonts w:ascii="Times Roman" w:hAnsi="Times Roman"/>
          <w:sz w:val="24"/>
          <w:szCs w:val="24"/>
          <w:rtl w:val="0"/>
          <w:lang w:val="en-US"/>
        </w:rPr>
        <w:t>s designated TCAP unit.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Modifications to this agreement must be made in writing and approved by all parties.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5. Signatures</w:t>
      </w:r>
      <w:r>
        <w:rPr>
          <w:rFonts w:ascii="Times Roman" w:hAnsi="Times Roman"/>
          <w:sz w:val="24"/>
          <w:szCs w:val="24"/>
          <w:rtl w:val="0"/>
          <w:lang w:val="en-US"/>
        </w:rPr>
        <w:t xml:space="preserve"> Authorized representatives of each party agree to the above terms: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[Signature </w:t>
      </w:r>
      <w:r>
        <w:rPr>
          <w:rFonts w:ascii="Times Roman" w:hAnsi="Times Roman" w:hint="default"/>
          <w:sz w:val="24"/>
          <w:szCs w:val="24"/>
          <w:rtl w:val="0"/>
          <w:lang w:val="en-US"/>
        </w:rPr>
        <w:t xml:space="preserve">— </w:t>
      </w:r>
      <w:r>
        <w:rPr>
          <w:rFonts w:ascii="Times Roman" w:hAnsi="Times Roman"/>
          <w:sz w:val="24"/>
          <w:szCs w:val="24"/>
          <w:rtl w:val="0"/>
          <w:lang w:val="pt-PT"/>
        </w:rPr>
        <w:t>HPD Representative]</w:t>
      </w:r>
      <w:r>
        <w:rPr>
          <w:rFonts w:ascii="Times Roman" w:cs="Times Roman" w:hAnsi="Times Roman" w:eastAsia="Times Roman"/>
          <w:sz w:val="24"/>
          <w:szCs w:val="24"/>
        </w:rPr>
        <w:br w:type="textWrapping"/>
      </w:r>
      <w:r>
        <w:rPr>
          <w:rFonts w:ascii="Times Roman" w:hAnsi="Times Roman"/>
          <w:sz w:val="24"/>
          <w:szCs w:val="24"/>
          <w:rtl w:val="0"/>
          <w:lang w:val="pt-PT"/>
        </w:rPr>
        <w:t>[Title]</w:t>
      </w:r>
      <w:r>
        <w:rPr>
          <w:rFonts w:ascii="Times Roman" w:cs="Times Roman" w:hAnsi="Times Roman" w:eastAsia="Times Roman"/>
          <w:sz w:val="24"/>
          <w:szCs w:val="24"/>
        </w:rPr>
        <w:br w:type="textWrapping"/>
      </w:r>
      <w:r>
        <w:rPr>
          <w:rFonts w:ascii="Times Roman" w:hAnsi="Times Roman"/>
          <w:sz w:val="24"/>
          <w:szCs w:val="24"/>
          <w:rtl w:val="0"/>
          <w:lang w:val="de-DE"/>
        </w:rPr>
        <w:t>[Date]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[Signature </w:t>
      </w:r>
      <w:r>
        <w:rPr>
          <w:rFonts w:ascii="Times Roman" w:hAnsi="Times Roman" w:hint="default"/>
          <w:sz w:val="24"/>
          <w:szCs w:val="24"/>
          <w:rtl w:val="0"/>
          <w:lang w:val="en-US"/>
        </w:rPr>
        <w:t xml:space="preserve">— </w:t>
      </w:r>
      <w:r>
        <w:rPr>
          <w:rFonts w:ascii="Times Roman" w:hAnsi="Times Roman"/>
          <w:sz w:val="24"/>
          <w:szCs w:val="24"/>
          <w:rtl w:val="0"/>
          <w:lang w:val="fr-FR"/>
        </w:rPr>
        <w:t>Tenant Association President]</w:t>
      </w:r>
      <w:r>
        <w:rPr>
          <w:rFonts w:ascii="Times Roman" w:cs="Times Roman" w:hAnsi="Times Roman" w:eastAsia="Times Roman"/>
          <w:sz w:val="24"/>
          <w:szCs w:val="24"/>
        </w:rPr>
        <w:br w:type="textWrapping"/>
      </w:r>
      <w:r>
        <w:rPr>
          <w:rFonts w:ascii="Times Roman" w:hAnsi="Times Roman"/>
          <w:sz w:val="24"/>
          <w:szCs w:val="24"/>
          <w:rtl w:val="0"/>
          <w:lang w:val="en-US"/>
        </w:rPr>
        <w:t>[Name]</w:t>
      </w:r>
      <w:r>
        <w:rPr>
          <w:rFonts w:ascii="Times Roman" w:cs="Times Roman" w:hAnsi="Times Roman" w:eastAsia="Times Roman"/>
          <w:sz w:val="24"/>
          <w:szCs w:val="24"/>
        </w:rPr>
        <w:br w:type="textWrapping"/>
      </w:r>
      <w:r>
        <w:rPr>
          <w:rFonts w:ascii="Times Roman" w:hAnsi="Times Roman"/>
          <w:sz w:val="24"/>
          <w:szCs w:val="24"/>
          <w:rtl w:val="0"/>
          <w:lang w:val="de-DE"/>
        </w:rPr>
        <w:t>[Date]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Each of the remaining template folders will follow this level of detail and legal formality. Let me know when you</w:t>
      </w:r>
      <w:r>
        <w:rPr>
          <w:rFonts w:ascii="Times Roman" w:hAnsi="Times Roman" w:hint="default"/>
          <w:sz w:val="24"/>
          <w:szCs w:val="24"/>
          <w:rtl w:val="1"/>
        </w:rPr>
        <w:t>’</w:t>
      </w:r>
      <w:r>
        <w:rPr>
          <w:rFonts w:ascii="Times Roman" w:hAnsi="Times Roman"/>
          <w:sz w:val="24"/>
          <w:szCs w:val="24"/>
          <w:rtl w:val="0"/>
          <w:lang w:val="en-US"/>
        </w:rPr>
        <w:t>re ready to continue with Folder 2: Sample Memorandum of Understanding (MOU).</w:t>
      </w:r>
    </w:p>
    <w:p>
      <w:pPr>
        <w:pStyle w:val="Default"/>
        <w:suppressAutoHyphens w:val="1"/>
        <w:spacing w:before="0" w:after="240" w:line="240" w:lineRule="auto"/>
        <w:jc w:val="left"/>
        <w:rPr>
          <w:rFonts w:ascii="Times Roman" w:cs="Times Roman" w:hAnsi="Times Roman" w:eastAsia="Times Roman"/>
          <w:sz w:val="24"/>
          <w:szCs w:val="24"/>
        </w:rPr>
      </w:pP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Heading 2"/>
        <w:bidi w:val="0"/>
      </w:pPr>
      <w:r>
        <w:rPr>
          <w:rtl w:val="0"/>
        </w:rPr>
        <w:t>Folder 3: Acquisition Financing Term Sheet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it-IT"/>
        </w:rPr>
        <w:t xml:space="preserve"> TCAP Cooperative Acquisition Term Sheet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Borrower:</w:t>
      </w:r>
      <w:r>
        <w:rPr>
          <w:rFonts w:ascii="Times Roman" w:hAnsi="Times Roman"/>
          <w:sz w:val="24"/>
          <w:szCs w:val="24"/>
          <w:rtl w:val="0"/>
          <w:lang w:val="en-US"/>
        </w:rPr>
        <w:t xml:space="preserve"> [Name of Tenant Cooperative or Association]</w:t>
      </w:r>
      <w:r>
        <w:rPr>
          <w:rFonts w:ascii="Times Roman" w:cs="Times Roman" w:hAnsi="Times Roman" w:eastAsia="Times Roman"/>
          <w:sz w:val="24"/>
          <w:szCs w:val="24"/>
        </w:rPr>
        <w:br w:type="textWrapping"/>
      </w:r>
      <w:r>
        <w:rPr>
          <w:rFonts w:ascii="Times Roman" w:hAnsi="Times Roman"/>
          <w:b w:val="1"/>
          <w:bCs w:val="1"/>
          <w:sz w:val="24"/>
          <w:szCs w:val="24"/>
          <w:rtl w:val="0"/>
          <w:lang w:val="de-DE"/>
        </w:rPr>
        <w:t>Lender:</w:t>
      </w:r>
      <w:r>
        <w:rPr>
          <w:rFonts w:ascii="Times Roman" w:hAnsi="Times Roman"/>
          <w:sz w:val="24"/>
          <w:szCs w:val="24"/>
          <w:rtl w:val="0"/>
          <w:lang w:val="en-US"/>
        </w:rPr>
        <w:t xml:space="preserve"> [Designated Community Development Financial Institution (CDFI)]</w:t>
      </w:r>
      <w:r>
        <w:rPr>
          <w:rFonts w:ascii="Times Roman" w:cs="Times Roman" w:hAnsi="Times Roman" w:eastAsia="Times Roman"/>
          <w:sz w:val="24"/>
          <w:szCs w:val="24"/>
        </w:rPr>
        <w:br w:type="textWrapping"/>
      </w:r>
      <w:r>
        <w:rPr>
          <w:rFonts w:ascii="Times Roman" w:hAnsi="Times Roman"/>
          <w:b w:val="1"/>
          <w:bCs w:val="1"/>
          <w:sz w:val="24"/>
          <w:szCs w:val="24"/>
          <w:rtl w:val="0"/>
          <w:lang w:val="it-IT"/>
        </w:rPr>
        <w:t>Guarantor:</w:t>
      </w:r>
      <w:r>
        <w:rPr>
          <w:rFonts w:ascii="Times Roman" w:hAnsi="Times Roman"/>
          <w:sz w:val="24"/>
          <w:szCs w:val="24"/>
          <w:rtl w:val="0"/>
          <w:lang w:val="en-US"/>
        </w:rPr>
        <w:t xml:space="preserve"> New York City Department of Housing Preservation and Development (HPD)</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rPr>
        <w:t>Loan Purpose:</w:t>
      </w:r>
      <w:r>
        <w:rPr>
          <w:rFonts w:ascii="Times Roman" w:hAnsi="Times Roman"/>
          <w:sz w:val="24"/>
          <w:szCs w:val="24"/>
          <w:rtl w:val="0"/>
          <w:lang w:val="en-US"/>
        </w:rPr>
        <w:t xml:space="preserve"> To finance the acquisition and initial rehabilitation of the residential property located at [property address], in accordance with TCAP policy and affordability standards.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Loan Amount:</w:t>
      </w:r>
      <w:r>
        <w:rPr>
          <w:rFonts w:ascii="Times Roman" w:hAnsi="Times Roman"/>
          <w:sz w:val="24"/>
          <w:szCs w:val="24"/>
          <w:rtl w:val="0"/>
          <w:lang w:val="en-US"/>
        </w:rPr>
        <w:t xml:space="preserve"> Up to $[amount based on valuation], subject to final underwriting approval</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Interest Rate:</w:t>
      </w:r>
      <w:r>
        <w:rPr>
          <w:rFonts w:ascii="Times Roman" w:hAnsi="Times Roman"/>
          <w:sz w:val="24"/>
          <w:szCs w:val="24"/>
          <w:rtl w:val="0"/>
          <w:lang w:val="en-US"/>
        </w:rPr>
        <w:t xml:space="preserve"> [Insert fixed rate]% annually, fixed for the term of the loan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it-IT"/>
        </w:rPr>
        <w:t>Term:</w:t>
      </w:r>
      <w:r>
        <w:rPr>
          <w:rFonts w:ascii="Times Roman" w:hAnsi="Times Roman"/>
          <w:sz w:val="24"/>
          <w:szCs w:val="24"/>
          <w:rtl w:val="0"/>
          <w:lang w:val="en-US"/>
        </w:rPr>
        <w:t xml:space="preserve"> [Insert] years, fully amortizing</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Repayment Schedule: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Monthly payments due on the first of each month</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Grace period: 12-month interest-only period post-closing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Amortization begins in year 2 with equal monthly principal and interest payments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Security: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First lien mortgage on the property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Assignment of all subsidy conversion credits and cooperative share pledge agreements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Reserve account held in escrow by lender, minimum initial balance: 5% of total loan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Conditions Precedent: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Board formation and bylaw adoption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Completion of technical assistance and governance training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HPD certification of eligibility and compliance with affordability covenant</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Disbursement Schedule:</w:t>
      </w:r>
      <w:r>
        <w:rPr>
          <w:rFonts w:ascii="Times Roman" w:hAnsi="Times Roman"/>
          <w:b w:val="1"/>
          <w:bCs w:val="1"/>
          <w:sz w:val="24"/>
          <w:szCs w:val="24"/>
          <w:rtl w:val="0"/>
          <w:lang w:val="en-US"/>
        </w:rPr>
        <w:t>ip. in8b70]</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50% at closing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25% upon completion of legal transfer and co-op incorporation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25% upon submission of first-year operating budget and proof of reserve account</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rPr>
        <w:t>Default Triggers: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Breach of affordability term</w:t>
      </w:r>
      <w:r>
        <w:rPr>
          <w:rFonts w:ascii="Times Roman" w:hAnsi="Times Roman"/>
          <w:sz w:val="24"/>
          <w:szCs w:val="24"/>
          <w:rtl w:val="0"/>
          <w:lang w:val="en-US"/>
        </w:rPr>
        <w:t>":......................////////</w:t>
      </w:r>
      <w:r>
        <w:rPr>
          <w:rFonts w:ascii="Times Roman" w:hAnsi="Times Roman"/>
          <w:sz w:val="24"/>
          <w:szCs w:val="24"/>
          <w:rtl w:val="0"/>
        </w:rPr>
        <w:t>ve</w:t>
      </w:r>
      <w:r>
        <w:rPr>
          <w:rFonts w:ascii="Times Roman" w:hAnsi="Times Roman"/>
          <w:sz w:val="24"/>
          <w:szCs w:val="24"/>
          <w:rtl w:val="0"/>
          <w:lang w:val="en-US"/>
        </w:rPr>
        <w:t>............../</w:t>
      </w:r>
      <w:r>
        <w:rPr>
          <w:rFonts w:ascii="Times Roman" w:hAnsi="Times Roman"/>
          <w:sz w:val="24"/>
          <w:szCs w:val="24"/>
          <w:rtl w:val="0"/>
          <w:lang w:val="pt-PT"/>
        </w:rPr>
        <w:t xml:space="preserve"> governance compliance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Missed payments exceeding 90 days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fr-FR"/>
        </w:rPr>
        <w:t>Covenants: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Annual audit submission to lender and HPD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Participation in mid-term cooperative health check conducted by approved intermediary</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Signatures:</w:t>
      </w:r>
      <w:r>
        <w:rPr>
          <w:rFonts w:ascii="Times Roman" w:hAnsi="Times Roman"/>
          <w:sz w:val="24"/>
          <w:szCs w:val="24"/>
          <w:rtl w:val="0"/>
          <w:lang w:val="en-US"/>
        </w:rPr>
        <w:t xml:space="preserve"> [Authorized Cooperative Officer]</w:t>
      </w:r>
      <w:r>
        <w:rPr>
          <w:rFonts w:ascii="Times Roman" w:cs="Times Roman" w:hAnsi="Times Roman" w:eastAsia="Times Roman"/>
          <w:sz w:val="24"/>
          <w:szCs w:val="24"/>
        </w:rPr>
        <w:br w:type="textWrapping"/>
      </w:r>
      <w:r>
        <w:rPr>
          <w:rFonts w:ascii="Times Roman" w:hAnsi="Times Roman"/>
          <w:sz w:val="24"/>
          <w:szCs w:val="24"/>
          <w:rtl w:val="0"/>
          <w:lang w:val="de-DE"/>
        </w:rPr>
        <w:t>[Date]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[Authorized CDFI Officer]</w:t>
      </w:r>
      <w:r>
        <w:rPr>
          <w:rFonts w:ascii="Times Roman" w:cs="Times Roman" w:hAnsi="Times Roman" w:eastAsia="Times Roman"/>
          <w:sz w:val="24"/>
          <w:szCs w:val="24"/>
        </w:rPr>
        <w:br w:type="textWrapping"/>
      </w:r>
      <w:r>
        <w:rPr>
          <w:rFonts w:ascii="Times Roman" w:hAnsi="Times Roman"/>
          <w:sz w:val="24"/>
          <w:szCs w:val="24"/>
          <w:rtl w:val="0"/>
          <w:lang w:val="de-DE"/>
        </w:rPr>
        <w:t>[Date]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Each of the remaining template folders will follow this level of detail and legal formality. Let me know when you</w:t>
      </w:r>
      <w:r>
        <w:rPr>
          <w:rFonts w:ascii="Times Roman" w:hAnsi="Times Roman" w:hint="default"/>
          <w:sz w:val="24"/>
          <w:szCs w:val="24"/>
          <w:rtl w:val="1"/>
        </w:rPr>
        <w:t>’</w:t>
      </w:r>
      <w:r>
        <w:rPr>
          <w:rFonts w:ascii="Times Roman" w:hAnsi="Times Roman"/>
          <w:sz w:val="24"/>
          <w:szCs w:val="24"/>
          <w:rtl w:val="0"/>
          <w:lang w:val="en-US"/>
        </w:rPr>
        <w:t>re ready to continue with Folder 2: Sample Memorandum of Understanding (MOU).</w:t>
      </w:r>
    </w:p>
    <w:p>
      <w:pPr>
        <w:pStyle w:val="Default"/>
        <w:suppressAutoHyphens w:val="1"/>
        <w:spacing w:before="0" w:after="240" w:line="240" w:lineRule="auto"/>
        <w:rPr>
          <w:rFonts w:ascii="Times Roman" w:cs="Times Roman" w:hAnsi="Times Roman" w:eastAsia="Times Roman"/>
          <w:sz w:val="24"/>
          <w:szCs w:val="24"/>
        </w:rPr>
      </w:pP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Heading 2"/>
        <w:bidi w:val="0"/>
      </w:pPr>
      <w:r>
        <w:rPr>
          <w:rtl w:val="0"/>
        </w:rPr>
        <w:t>Folder 4: Affordability Covenant Agreement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TCAP Affordability Covenant Agreement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Parties:</w:t>
      </w:r>
      <w:r>
        <w:rPr>
          <w:rFonts w:ascii="Times Roman" w:cs="Times Roman" w:hAnsi="Times Roman" w:eastAsia="Times Roman"/>
          <w:sz w:val="24"/>
          <w:szCs w:val="24"/>
        </w:rPr>
        <w:br w:type="textWrapping"/>
      </w:r>
      <w:r>
        <w:rPr>
          <w:rFonts w:ascii="Times Roman" w:hAnsi="Times Roman"/>
          <w:sz w:val="24"/>
          <w:szCs w:val="24"/>
          <w:rtl w:val="0"/>
          <w:lang w:val="en-US"/>
        </w:rPr>
        <w:t>New York City Department of Housing Preservation and Development ("HPD")</w:t>
      </w:r>
      <w:r>
        <w:rPr>
          <w:rFonts w:ascii="Times Roman" w:cs="Times Roman" w:hAnsi="Times Roman" w:eastAsia="Times Roman"/>
          <w:sz w:val="24"/>
          <w:szCs w:val="24"/>
        </w:rPr>
        <w:br w:type="textWrapping"/>
      </w:r>
      <w:r>
        <w:rPr>
          <w:rFonts w:ascii="Times Roman" w:hAnsi="Times Roman"/>
          <w:sz w:val="24"/>
          <w:szCs w:val="24"/>
          <w:rtl w:val="0"/>
          <w:lang w:val="en-US"/>
        </w:rPr>
        <w:t>[Name of Limited-Equity Cooperative] ("Cooperative")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Preamble:</w:t>
      </w:r>
      <w:r>
        <w:rPr>
          <w:rFonts w:ascii="Times Roman" w:hAnsi="Times Roman"/>
          <w:sz w:val="24"/>
          <w:szCs w:val="24"/>
          <w:rtl w:val="0"/>
          <w:lang w:val="en-US"/>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1. Duration of Affordability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The Cooperative shall maintain affordability for no less than thirty (30) years from the date of conversion.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The affordability period may be extended in any renewal financing or covenant renegotiation.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2. Shareholder Eligibility and Resale Restrictions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All units shall be occupied by individuals or households at or below 100% of area median income (AMI).</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Share sales must be approved by the Cooperative Board and HPD.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Resale prices shall be capped at original purchase price plus a maximum 2% annual increase, compounded.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Shareholders may not lease or sublet units without prior board approval and HPD notification.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3. Capital Reserve and Maintenance Obligations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The Cooperative shall maintain a minimum capital reserve balance equivalent to 3 months of operating expenses.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Annual operating budgets and reserve status reports must be submitted to HPD.</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4. Monitoring and Compliance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HPD shall conduct affordability compliance reviews every three years.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Cooperatives shall submit annual self-certification forms confirming occupancy, governance, and affordability conditions.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Failure to comply may trigger corrective action plans, subsidy clawbacks, or reclassification of cooperative status.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5. Enforcement and Remedies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HPD retains the right to enforce this agreement through injunctive relief, financial penalties, or cooperative oversight takeover.</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The Cooperative waives any claims against the city for enforcement actions made in good faith pursuant to this covenant.</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6. Amendment and Transfer</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This covenant shall bind all successors and assigns.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Amendments require written approval by HPD and a two-thirds vote of the Cooperative Board.</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Signatures:</w:t>
      </w:r>
      <w:r>
        <w:rPr>
          <w:rFonts w:ascii="Times Roman" w:hAnsi="Times Roman"/>
          <w:sz w:val="24"/>
          <w:szCs w:val="24"/>
          <w:rtl w:val="0"/>
          <w:lang w:val="en-US"/>
        </w:rPr>
        <w:t xml:space="preserve"> [Authorized HPD Representative]</w:t>
      </w:r>
      <w:r>
        <w:rPr>
          <w:rFonts w:ascii="Times Roman" w:cs="Times Roman" w:hAnsi="Times Roman" w:eastAsia="Times Roman"/>
          <w:sz w:val="24"/>
          <w:szCs w:val="24"/>
        </w:rPr>
        <w:br w:type="textWrapping"/>
      </w:r>
      <w:r>
        <w:rPr>
          <w:rFonts w:ascii="Times Roman" w:hAnsi="Times Roman"/>
          <w:sz w:val="24"/>
          <w:szCs w:val="24"/>
          <w:rtl w:val="0"/>
          <w:lang w:val="pt-PT"/>
        </w:rPr>
        <w:t>[Title]</w:t>
      </w:r>
      <w:r>
        <w:rPr>
          <w:rFonts w:ascii="Times Roman" w:cs="Times Roman" w:hAnsi="Times Roman" w:eastAsia="Times Roman"/>
          <w:sz w:val="24"/>
          <w:szCs w:val="24"/>
        </w:rPr>
        <w:br w:type="textWrapping"/>
      </w:r>
      <w:r>
        <w:rPr>
          <w:rFonts w:ascii="Times Roman" w:hAnsi="Times Roman"/>
          <w:sz w:val="24"/>
          <w:szCs w:val="24"/>
          <w:rtl w:val="0"/>
          <w:lang w:val="de-DE"/>
        </w:rPr>
        <w:t>[Date]</w:t>
      </w: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Heading 2"/>
        <w:bidi w:val="0"/>
      </w:pPr>
      <w:r>
        <w:rPr>
          <w:rtl w:val="0"/>
        </w:rPr>
        <w:t>Folder 5: Technical Assistance Provider Contract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Agreement for Technical Assistance Services for TCAP Cooperative Conversions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Parties:</w:t>
      </w:r>
      <w:r>
        <w:rPr>
          <w:rFonts w:ascii="Times Roman" w:hAnsi="Times Roman"/>
          <w:sz w:val="24"/>
          <w:szCs w:val="24"/>
          <w:rtl w:val="0"/>
          <w:lang w:val="en-US"/>
        </w:rPr>
        <w:t xml:space="preserve"> This contract is entered into by and between the New York City Department of Housing Preservation and Development ("HPD") and [Name of Technical Assistance Provider] ("Provider").</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1. Purpose</w:t>
      </w:r>
      <w:r>
        <w:rPr>
          <w:rFonts w:ascii="Times Roman" w:hAnsi="Times Roman"/>
          <w:sz w:val="24"/>
          <w:szCs w:val="24"/>
          <w:rtl w:val="0"/>
          <w:lang w:val="en-US"/>
        </w:rPr>
        <w:t xml:space="preserve"> To provide organizational development, governance training, and compliance support for tenant associations undergoing cooperative conversion through TCAP.</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2. Scope of Services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Deliver cooperative governance training modules to tenant associations.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Facilitate board formation, bylaw adoption, and meeting facilitation.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Provide financial literacy education and assistance with operating budget development.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Submit monthly progress reports to HPD, including attendance logs and compliance milestones.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3. Deliverables and Milestones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Phase 1 (0</w:t>
      </w:r>
      <w:r>
        <w:rPr>
          <w:rFonts w:ascii="Times Roman" w:hAnsi="Times Roman" w:hint="default"/>
          <w:sz w:val="24"/>
          <w:szCs w:val="24"/>
          <w:rtl w:val="0"/>
        </w:rPr>
        <w:t>–</w:t>
      </w:r>
      <w:r>
        <w:rPr>
          <w:rFonts w:ascii="Times Roman" w:hAnsi="Times Roman"/>
          <w:sz w:val="24"/>
          <w:szCs w:val="24"/>
          <w:rtl w:val="0"/>
          <w:lang w:val="en-US"/>
        </w:rPr>
        <w:t>3 months): Conduct orientation, tenant readiness assessments, and leadership onboarding.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Phase 2 (4</w:t>
      </w:r>
      <w:r>
        <w:rPr>
          <w:rFonts w:ascii="Times Roman" w:hAnsi="Times Roman" w:hint="default"/>
          <w:sz w:val="24"/>
          <w:szCs w:val="24"/>
          <w:rtl w:val="0"/>
        </w:rPr>
        <w:t>–</w:t>
      </w:r>
      <w:r>
        <w:rPr>
          <w:rFonts w:ascii="Times Roman" w:hAnsi="Times Roman"/>
          <w:sz w:val="24"/>
          <w:szCs w:val="24"/>
          <w:rtl w:val="0"/>
          <w:lang w:val="en-US"/>
        </w:rPr>
        <w:t>9 months): Support incorporation of tenant cooperative and draft governance documents.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Phase 3 (10</w:t>
      </w:r>
      <w:r>
        <w:rPr>
          <w:rFonts w:ascii="Times Roman" w:hAnsi="Times Roman" w:hint="default"/>
          <w:sz w:val="24"/>
          <w:szCs w:val="24"/>
          <w:rtl w:val="0"/>
        </w:rPr>
        <w:t>–</w:t>
      </w:r>
      <w:r>
        <w:rPr>
          <w:rFonts w:ascii="Times Roman" w:hAnsi="Times Roman"/>
          <w:sz w:val="24"/>
          <w:szCs w:val="24"/>
          <w:rtl w:val="0"/>
          <w:lang w:val="en-US"/>
        </w:rPr>
        <w:t>18 months): Provide ongoing technical assistance and quarterly compliance coaching.</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4. Term and Termination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Initial term of 18 months from contract execution date.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HPD may terminate the agreement with 30 days' notice for cause, including nonperformance or noncompliance.</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5. Payment Terms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Compensation: $[insert amount] per unit supported, payable in installments.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Reimbursement for pre-approved training materials and meeting expenses.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6. Monitoring and Evaluation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Provider shall cooperate with HPD site visits and file reviews.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HPD reserves the right to audit all financial and programmatic records.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Renewal contingent on satisfactory performance evaluations.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7. Non-Discrimination and Accessibility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Provider agrees to comply with all federal, state, and city non-discrimination and language access laws.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All training and printed materials must be made available in English, Spanish, and additional languages as required by HPD.</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Signatures:</w:t>
      </w:r>
      <w:r>
        <w:rPr>
          <w:rFonts w:ascii="Times Roman" w:hAnsi="Times Roman"/>
          <w:sz w:val="24"/>
          <w:szCs w:val="24"/>
          <w:rtl w:val="0"/>
          <w:lang w:val="en-US"/>
        </w:rPr>
        <w:t xml:space="preserve"> [Authorized HPD Official]</w:t>
      </w:r>
      <w:r>
        <w:rPr>
          <w:rFonts w:ascii="Times Roman" w:cs="Times Roman" w:hAnsi="Times Roman" w:eastAsia="Times Roman"/>
          <w:sz w:val="24"/>
          <w:szCs w:val="24"/>
        </w:rPr>
        <w:br w:type="textWrapping"/>
      </w:r>
      <w:r>
        <w:rPr>
          <w:rFonts w:ascii="Times Roman" w:hAnsi="Times Roman"/>
          <w:sz w:val="24"/>
          <w:szCs w:val="24"/>
          <w:rtl w:val="0"/>
          <w:lang w:val="pt-PT"/>
        </w:rPr>
        <w:t>[Title]</w:t>
      </w:r>
      <w:r>
        <w:rPr>
          <w:rFonts w:ascii="Times Roman" w:cs="Times Roman" w:hAnsi="Times Roman" w:eastAsia="Times Roman"/>
          <w:sz w:val="24"/>
          <w:szCs w:val="24"/>
        </w:rPr>
        <w:br w:type="textWrapping"/>
      </w:r>
      <w:r>
        <w:rPr>
          <w:rFonts w:ascii="Times Roman" w:hAnsi="Times Roman"/>
          <w:sz w:val="24"/>
          <w:szCs w:val="24"/>
          <w:rtl w:val="0"/>
          <w:lang w:val="de-DE"/>
        </w:rPr>
        <w:t>[Date]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[Authorized Representative, Technical Assistance Provider]</w:t>
      </w:r>
      <w:r>
        <w:rPr>
          <w:rFonts w:ascii="Times Roman" w:cs="Times Roman" w:hAnsi="Times Roman" w:eastAsia="Times Roman"/>
          <w:sz w:val="24"/>
          <w:szCs w:val="24"/>
        </w:rPr>
        <w:br w:type="textWrapping"/>
      </w:r>
      <w:r>
        <w:rPr>
          <w:rFonts w:ascii="Times Roman" w:hAnsi="Times Roman"/>
          <w:sz w:val="24"/>
          <w:szCs w:val="24"/>
          <w:rtl w:val="0"/>
          <w:lang w:val="en-US"/>
        </w:rPr>
        <w:t>[Name]</w:t>
      </w:r>
      <w:r>
        <w:rPr>
          <w:rFonts w:ascii="Times Roman" w:cs="Times Roman" w:hAnsi="Times Roman" w:eastAsia="Times Roman"/>
          <w:sz w:val="24"/>
          <w:szCs w:val="24"/>
        </w:rPr>
        <w:br w:type="textWrapping"/>
      </w:r>
      <w:r>
        <w:rPr>
          <w:rFonts w:ascii="Times Roman" w:hAnsi="Times Roman"/>
          <w:sz w:val="24"/>
          <w:szCs w:val="24"/>
          <w:rtl w:val="0"/>
          <w:lang w:val="en-US"/>
        </w:rPr>
        <w:t>[Date]---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Each of the remaining template folders will follow this level of detail and legal formality. Let me know when you</w:t>
      </w:r>
      <w:r>
        <w:rPr>
          <w:rFonts w:ascii="Times Roman" w:hAnsi="Times Roman" w:hint="default"/>
          <w:sz w:val="24"/>
          <w:szCs w:val="24"/>
          <w:rtl w:val="1"/>
        </w:rPr>
        <w:t>’</w:t>
      </w:r>
      <w:r>
        <w:rPr>
          <w:rFonts w:ascii="Times Roman" w:hAnsi="Times Roman"/>
          <w:sz w:val="24"/>
          <w:szCs w:val="24"/>
          <w:rtl w:val="0"/>
          <w:lang w:val="en-US"/>
        </w:rPr>
        <w:t>re ready to continue with Folder 2: Sample Memorandum of Understanding (MOU).s</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sz w:val="24"/>
          <w:szCs w:val="24"/>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sz w:val="24"/>
          <w:szCs w:val="24"/>
        </w:rPr>
      </w:pP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sz w:val="24"/>
          <w:szCs w:val="24"/>
        </w:rPr>
      </w:pPr>
    </w:p>
    <w:p>
      <w:pPr>
        <w:pStyle w:val="Default"/>
        <w:tabs>
          <w:tab w:val="left" w:pos="220"/>
          <w:tab w:val="left" w:pos="720"/>
        </w:tabs>
        <w:suppressAutoHyphens w:val="1"/>
        <w:spacing w:before="0" w:after="240" w:line="240" w:lineRule="auto"/>
        <w:ind w:left="720" w:hanging="720"/>
        <w:jc w:val="left"/>
      </w:pPr>
      <w:r>
        <w:rPr>
          <w:rFonts w:ascii="Arial Unicode MS" w:cs="Arial Unicode MS" w:hAnsi="Arial Unicode MS" w:eastAsia="Arial Unicode MS"/>
          <w:b w:val="0"/>
          <w:bCs w:val="0"/>
          <w:i w:val="0"/>
          <w:iCs w:val="0"/>
          <w:sz w:val="24"/>
          <w:szCs w:val="24"/>
        </w:rPr>
        <w:br w:type="page"/>
      </w:r>
    </w:p>
    <w:p>
      <w:pPr>
        <w:pStyle w:val="Appendix"/>
        <w:bidi w:val="0"/>
      </w:pPr>
      <w:r>
        <w:rPr>
          <w:rtl w:val="0"/>
        </w:rPr>
        <w:t xml:space="preserve">Appendix D </w:t>
      </w:r>
      <w:r>
        <w:rPr>
          <w:rtl w:val="0"/>
          <w:lang w:val="en-US"/>
        </w:rPr>
        <w:t xml:space="preserve">— </w:t>
      </w:r>
      <w:r>
        <w:rPr>
          <w:rtl w:val="0"/>
          <w:lang w:val="en-US"/>
        </w:rPr>
        <w:t>Training &amp; Technical Assistance Toolkit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Folder 1: TCAP Orientation Curriculum</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Purpose:</w:t>
      </w:r>
      <w:r>
        <w:rPr>
          <w:rFonts w:ascii="Times Roman" w:hAnsi="Times Roman"/>
          <w:sz w:val="24"/>
          <w:szCs w:val="24"/>
          <w:rtl w:val="0"/>
          <w:lang w:val="en-US"/>
        </w:rPr>
        <w:t xml:space="preserve"> Introduces tenants to the TCAP model, cooperative ownership principles, and their legal rights and responsibilities under the program.</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TCAP Orientation Handbook </w:t>
      </w:r>
      <w:r>
        <w:rPr>
          <w:rFonts w:ascii="Times Roman" w:hAnsi="Times Roman" w:hint="default"/>
          <w:sz w:val="24"/>
          <w:szCs w:val="24"/>
          <w:rtl w:val="0"/>
          <w:lang w:val="en-US"/>
        </w:rPr>
        <w:t xml:space="preserve">— </w:t>
      </w:r>
      <w:r>
        <w:rPr>
          <w:rFonts w:ascii="Times Roman" w:hAnsi="Times Roman"/>
          <w:sz w:val="24"/>
          <w:szCs w:val="24"/>
          <w:rtl w:val="0"/>
          <w:lang w:val="en-US"/>
        </w:rPr>
        <w:t>Introduction to Cooperative Conversion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1: Welcome &amp; Program Overview</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Slide deck and facilitator script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Overview of TCAP goals, benefits, and eligibility criteria</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Comparison of rental subsidy vs. cooperative equity contributions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2: Tenants</w:t>
      </w:r>
      <w:r>
        <w:rPr>
          <w:rFonts w:ascii="Times Roman" w:hAnsi="Times Roman" w:hint="default"/>
          <w:b w:val="1"/>
          <w:bCs w:val="1"/>
          <w:sz w:val="24"/>
          <w:szCs w:val="24"/>
          <w:rtl w:val="1"/>
        </w:rPr>
        <w:t xml:space="preserve">’ </w:t>
      </w:r>
      <w:r>
        <w:rPr>
          <w:rFonts w:ascii="Times Roman" w:hAnsi="Times Roman"/>
          <w:b w:val="1"/>
          <w:bCs w:val="1"/>
          <w:sz w:val="24"/>
          <w:szCs w:val="24"/>
          <w:rtl w:val="0"/>
          <w:lang w:val="en-US"/>
        </w:rPr>
        <w:t>Rights and Responsibilities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Summary of the Tenants</w:t>
      </w:r>
      <w:r>
        <w:rPr>
          <w:rFonts w:ascii="Times Roman" w:hAnsi="Times Roman" w:hint="default"/>
          <w:sz w:val="24"/>
          <w:szCs w:val="24"/>
          <w:rtl w:val="1"/>
        </w:rPr>
        <w:t xml:space="preserve">’ </w:t>
      </w:r>
      <w:r>
        <w:rPr>
          <w:rFonts w:ascii="Times Roman" w:hAnsi="Times Roman"/>
          <w:sz w:val="24"/>
          <w:szCs w:val="24"/>
          <w:rtl w:val="0"/>
          <w:lang w:val="en-US"/>
        </w:rPr>
        <w:t>Bill of Rights under TCAP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Key legal protections during cooperative conversion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Responsibilities of members in good standing</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3: Equity Ownership Basics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What is a limited-equity cooperative?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Overview of shareholding, equity caps, and resale formulas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timeline from subsidy conversion to ownership accrual</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4: Program Timeline and Milestones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Pilot phases and required participation benchmarks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Timeline from organizing to cooperative board formation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Overview of HPD compliance reviews and training requirements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Handouts &amp; Support Materials: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TCAP FAQ Sheet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Glossary of Cooperative Terms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Calendar of Required Meetings &amp; Trainings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Contact list for legal support, mediation, and HPD liaisons</w:t>
      </w:r>
    </w:p>
    <w:p>
      <w:pPr>
        <w:pStyle w:val="Default"/>
        <w:suppressAutoHyphens w:val="1"/>
        <w:spacing w:before="0" w:after="240" w:line="240" w:lineRule="auto"/>
        <w:rPr>
          <w:rFonts w:ascii="Times Roman" w:cs="Times Roman" w:hAnsi="Times Roman" w:eastAsia="Times Roman"/>
          <w:i w:val="1"/>
          <w:iCs w:val="1"/>
          <w:sz w:val="24"/>
          <w:szCs w:val="24"/>
        </w:rPr>
      </w:pPr>
      <w:r>
        <w:rPr>
          <w:rFonts w:ascii="Times Roman" w:hAnsi="Times Roman"/>
          <w:i w:val="1"/>
          <w:iCs w:val="1"/>
          <w:sz w:val="24"/>
          <w:szCs w:val="24"/>
          <w:rtl w:val="0"/>
          <w:lang w:val="en-US"/>
        </w:rPr>
        <w:t>Translations provided in Spanish, Simplified Chinese, Haitian Creole, and Bengali to comply with NYC Local Law 30.</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Heading 2"/>
        <w:bidi w:val="0"/>
      </w:pPr>
      <w:r>
        <w:rPr>
          <w:rtl w:val="0"/>
        </w:rPr>
        <w:t>Folder 2: Financial Literacy &amp; Governance Training Modules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Purpose:</w:t>
      </w:r>
      <w:r>
        <w:rPr>
          <w:rFonts w:ascii="Times Roman" w:hAnsi="Times Roman"/>
          <w:sz w:val="24"/>
          <w:szCs w:val="24"/>
          <w:rtl w:val="0"/>
          <w:lang w:val="en-US"/>
        </w:rPr>
        <w:t xml:space="preserve"> To ensure tenant leaders and boards understand basic financial management and cooperative governance obligations.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Financial &amp; Governance Training Curriculum for TCAP Co-ops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A: Cooperative Financial Literacy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Introduction to cooperative accounting and fiscal responsibility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Building an annual operating budget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Managing capital reserve funds and understanding funding thresholds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How redirected subsidies contribute to equity and sustainability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Recognizing the difference between fixed and variable expenses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B: Maintenance Fees &amp; Revenue Strategy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Principles for setting fair and equitable maintenance fees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Aligning maintenance structures with affordability covenants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Strategies to plan for inflation, repairs, and unexpected costs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Transparency in fee adjustments and cooperative member communication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C: Governance &amp; Legal Responsibilities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Overview of board roles, fiduciary duty, and internal accountability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Conducting board elections and preventing governance burnout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Complying with HPD audit schedules and PETF rules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Maintaining internal controls and fiscal documentation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Module D: Internal Policies &amp; Ethics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Writing and enforcing conflict of interest policies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Transparency in procurement and hiring decisions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Recordkeeping and documentation for compliance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Addressing violations: from informal complaints to formal censure</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Supplemental Training Aids: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co-op operating budget template (Excel &amp; PDF)</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Maintenance fee calculator tool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Governance calendar template (elections, audits, training)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Annual board self-evaluation form</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Materials are adaptable for in-person workshops, remote self-guided instruction, or hybrid implementation. Language access, ADA-compliance, and facilitator guides are provided for approved training vendors.---</w:t>
      </w: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Heading 2"/>
        <w:bidi w:val="0"/>
      </w:pPr>
      <w:r>
        <w:rPr>
          <w:rtl w:val="0"/>
        </w:rPr>
        <w:t>Folder 3: Grievance Mediation Procedures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rPr>
        <w:t xml:space="preserve"> </w:t>
      </w:r>
      <w:r>
        <w:rPr>
          <w:rFonts w:ascii="Times Roman" w:hAnsi="Times Roman"/>
          <w:b w:val="1"/>
          <w:bCs w:val="1"/>
          <w:sz w:val="24"/>
          <w:szCs w:val="24"/>
          <w:rtl w:val="0"/>
          <w:lang w:val="en-US"/>
        </w:rPr>
        <w:t>Purpose:</w:t>
      </w:r>
      <w:r>
        <w:rPr>
          <w:rFonts w:ascii="Times Roman" w:hAnsi="Times Roman"/>
          <w:sz w:val="24"/>
          <w:szCs w:val="24"/>
          <w:rtl w:val="0"/>
          <w:lang w:val="en-US"/>
        </w:rPr>
        <w:t xml:space="preserve"> To provide an accessible, fair, and transparent process for resolving internal disputes within tenant cooperatives formed through TCAP, minimizing litigation and maintaining cooperative cohesion.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Grievance Mediation Framework for TCAP Cooperatives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1. Informal Conflict Resolution Guide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Encourage direct communication between parties as the first step</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Offer written guidance on active listening and compromise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Recommend appointing a neutral co-op member as peer mediator</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2. Internal Grievance Policy Template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Step-by-step grievance filing procedure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forms for documenting complaints and outcomes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Response timeline expectations (e.g., acknowledgment within 7 days, resolution within 30 days)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it-IT"/>
        </w:rPr>
        <w:t>3. Escalation Procedures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When informal efforts fail, parties may request board intervention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Clear rules for when and how the board must recuse itself from conflicts of interest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Options for appealing to an independent grievance panel or HPD</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4. External Mediation Access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Criteria for involving an HPD-certified mediation partner</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List of approved nonprofit and legal mediation services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Sliding scale fee policies and language access accommodations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5. Documentation and Reporting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All formal grievances and resolutions must be recorded in co-op minutes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Quarterly reports submitted to HPD including dispute trends and resolution rates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Protection from retaliation for good-faith grievance participation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de-DE"/>
        </w:rPr>
        <w:t>Attachments: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grievance form (fillable PDF)</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Mediation request letter template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Conflict-of-interest disclosure form</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All materials available in English and translated into Spanish, Haitian Creole, Chinese, and Bengali. Printed copies available upon request for residents without internet access.---</w:t>
      </w:r>
    </w:p>
    <w:p>
      <w:pPr>
        <w:pStyle w:val="Default"/>
        <w:suppressAutoHyphens w:val="1"/>
        <w:spacing w:before="0" w:after="281" w:line="240" w:lineRule="auto"/>
      </w:pPr>
      <w:r>
        <w:rPr>
          <w:rFonts w:ascii="Arial Unicode MS" w:cs="Arial Unicode MS" w:hAnsi="Arial Unicode MS" w:eastAsia="Arial Unicode MS"/>
          <w:b w:val="0"/>
          <w:bCs w:val="0"/>
          <w:i w:val="0"/>
          <w:iCs w:val="0"/>
          <w:sz w:val="28"/>
          <w:szCs w:val="28"/>
        </w:rPr>
        <w:br w:type="page"/>
      </w:r>
    </w:p>
    <w:p>
      <w:pPr>
        <w:pStyle w:val="Heading 2"/>
        <w:bidi w:val="0"/>
      </w:pPr>
      <w:r>
        <w:rPr>
          <w:rtl w:val="0"/>
        </w:rPr>
        <w:t>Folder 4: Approved Intermediary Provider List (AIPL)</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Purpose:</w:t>
      </w:r>
      <w:r>
        <w:rPr>
          <w:rFonts w:ascii="Times Roman" w:hAnsi="Times Roman"/>
          <w:sz w:val="24"/>
          <w:szCs w:val="24"/>
          <w:rtl w:val="0"/>
          <w:lang w:val="en-US"/>
        </w:rPr>
        <w:t xml:space="preserve"> To provide HPD-recognized nonprofit, legal, and financial organizations qualified to support tenant associations through the cooperative conversion process. Providers on this list must meet annual certification and performance criteria.</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fr-FR"/>
        </w:rPr>
        <w:t>Document Title:</w:t>
      </w:r>
      <w:r>
        <w:rPr>
          <w:rFonts w:ascii="Times Roman" w:hAnsi="Times Roman"/>
          <w:sz w:val="24"/>
          <w:szCs w:val="24"/>
          <w:rtl w:val="0"/>
          <w:lang w:val="en-US"/>
        </w:rPr>
        <w:t xml:space="preserve"> TCAP Approved Intermediary Provider Directory (AIPL)</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1. Provider Directory Format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Name of Organization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Primary Contact &amp; Email</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Borough(s) Served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Services Offered (e.g., organizing, legal aid, governance, financing)</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Certification Date / Expiration</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2. Sample Entry</w:t>
      </w:r>
    </w:p>
    <w:tbl>
      <w:tblPr>
        <w:tblW w:w="1079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80"/>
        <w:gridCol w:w="2450"/>
        <w:gridCol w:w="1331"/>
        <w:gridCol w:w="3242"/>
        <w:gridCol w:w="1045"/>
        <w:gridCol w:w="1044"/>
      </w:tblGrid>
      <w:tr>
        <w:tblPrEx>
          <w:shd w:val="clear" w:color="auto" w:fill="auto"/>
        </w:tblPrEx>
        <w:trPr>
          <w:trHeight w:val="567" w:hRule="atLeast"/>
        </w:trPr>
        <w:tc>
          <w:tcPr>
            <w:tcW w:type="dxa" w:w="1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Organization</w:t>
            </w:r>
          </w:p>
        </w:tc>
        <w:tc>
          <w:tcPr>
            <w:tcW w:type="dxa" w:w="24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Contact</w:t>
            </w:r>
          </w:p>
        </w:tc>
        <w:tc>
          <w:tcPr>
            <w:tcW w:type="dxa" w:w="13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Boroughs</w:t>
            </w:r>
          </w:p>
        </w:tc>
        <w:tc>
          <w:tcPr>
            <w:tcW w:type="dxa" w:w="3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Services</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Cert. Date</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Exp. Date</w:t>
            </w:r>
          </w:p>
        </w:tc>
      </w:tr>
      <w:tr>
        <w:tblPrEx>
          <w:shd w:val="clear" w:color="auto" w:fill="auto"/>
        </w:tblPrEx>
        <w:trPr>
          <w:trHeight w:val="567" w:hRule="atLeast"/>
        </w:trPr>
        <w:tc>
          <w:tcPr>
            <w:tcW w:type="dxa" w:w="1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Cooper Square Committee</w:t>
            </w:r>
          </w:p>
        </w:tc>
        <w:tc>
          <w:tcPr>
            <w:tcW w:type="dxa" w:w="24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info@coopersquare.org</w:t>
            </w:r>
          </w:p>
        </w:tc>
        <w:tc>
          <w:tcPr>
            <w:tcW w:type="dxa" w:w="13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Manhattan</w:t>
            </w:r>
          </w:p>
        </w:tc>
        <w:tc>
          <w:tcPr>
            <w:tcW w:type="dxa" w:w="3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Tenant organizing, legal navigation</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01/01/2025</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12/31/2025</w:t>
            </w:r>
          </w:p>
        </w:tc>
      </w:tr>
      <w:tr>
        <w:tblPrEx>
          <w:shd w:val="clear" w:color="auto" w:fill="auto"/>
        </w:tblPrEx>
        <w:trPr>
          <w:trHeight w:val="567" w:hRule="atLeast"/>
        </w:trPr>
        <w:tc>
          <w:tcPr>
            <w:tcW w:type="dxa" w:w="1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UHAB</w:t>
            </w:r>
          </w:p>
        </w:tc>
        <w:tc>
          <w:tcPr>
            <w:tcW w:type="dxa" w:w="24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tcap@uhab.org</w:t>
            </w:r>
          </w:p>
        </w:tc>
        <w:tc>
          <w:tcPr>
            <w:tcW w:type="dxa" w:w="13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Citywide</w:t>
            </w:r>
          </w:p>
        </w:tc>
        <w:tc>
          <w:tcPr>
            <w:tcW w:type="dxa" w:w="3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Governance training, budgeting help</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01/01/2025</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12/31/2025</w:t>
            </w:r>
          </w:p>
        </w:tc>
      </w:tr>
      <w:tr>
        <w:tblPrEx>
          <w:shd w:val="clear" w:color="auto" w:fill="auto"/>
        </w:tblPrEx>
        <w:trPr>
          <w:trHeight w:val="567" w:hRule="atLeast"/>
        </w:trPr>
        <w:tc>
          <w:tcPr>
            <w:tcW w:type="dxa" w:w="1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Brooklyn Legal Services</w:t>
            </w:r>
          </w:p>
        </w:tc>
        <w:tc>
          <w:tcPr>
            <w:tcW w:type="dxa" w:w="24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intake@blsnyc.org</w:t>
            </w:r>
          </w:p>
        </w:tc>
        <w:tc>
          <w:tcPr>
            <w:tcW w:type="dxa" w:w="13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Brooklyn</w:t>
            </w:r>
          </w:p>
        </w:tc>
        <w:tc>
          <w:tcPr>
            <w:tcW w:type="dxa" w:w="3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Eviction prevention, legal mediation</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01/01/2025</w:t>
            </w:r>
          </w:p>
        </w:tc>
        <w:tc>
          <w:tcPr>
            <w:tcW w:type="dxa" w:w="10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12/31/2025</w:t>
            </w:r>
          </w:p>
        </w:tc>
      </w:tr>
    </w:tbl>
    <w:p>
      <w:pPr>
        <w:pStyle w:val="Default"/>
        <w:suppressAutoHyphens w:val="1"/>
        <w:spacing w:before="0" w:after="240" w:line="240" w:lineRule="auto"/>
        <w:rPr>
          <w:rFonts w:ascii="Times Roman" w:cs="Times Roman" w:hAnsi="Times Roman" w:eastAsia="Times Roman"/>
          <w:b w:val="0"/>
          <w:bCs w:val="0"/>
          <w:sz w:val="24"/>
          <w:szCs w:val="24"/>
        </w:rPr>
      </w:pP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3. Certification Requirements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At least 3 years of experience in housing justice or cooperative support</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Documentation of language access and cultural competency</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Compliance with HPD reporting, ethics, and data privacy guidelines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en-US"/>
        </w:rPr>
        <w:t>4. Monitoring and Evaluation</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Annual provider scorecard submitted by HPD</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Tenant satisfaction surveys and community board feedback</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Grounds for suspension include failure to meet benchmarks or verified complaints</w:t>
      </w:r>
    </w:p>
    <w:p>
      <w:pPr>
        <w:pStyle w:val="Default"/>
        <w:suppressAutoHyphens w:val="1"/>
        <w:spacing w:before="0" w:after="240" w:line="240" w:lineRule="auto"/>
        <w:rPr>
          <w:rFonts w:ascii="Times Roman" w:cs="Times Roman" w:hAnsi="Times Roman" w:eastAsia="Times Roman"/>
          <w:b w:val="0"/>
          <w:bCs w:val="0"/>
          <w:sz w:val="24"/>
          <w:szCs w:val="24"/>
        </w:rPr>
      </w:pPr>
      <w:r>
        <w:rPr>
          <w:rFonts w:ascii="Times Roman" w:hAnsi="Times Roman"/>
          <w:b w:val="1"/>
          <w:bCs w:val="1"/>
          <w:sz w:val="24"/>
          <w:szCs w:val="24"/>
          <w:rtl w:val="0"/>
          <w:lang w:val="de-DE"/>
        </w:rPr>
        <w:t>Attachments:</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Blank AIPL Evaluation Scorecard (fillable)</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Sample Provider Intake &amp; Assignment Form</w:t>
      </w:r>
    </w:p>
    <w:p>
      <w:pPr>
        <w:pStyle w:val="Default"/>
        <w:numPr>
          <w:ilvl w:val="0"/>
          <w:numId w:val="3"/>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Annual Recertification Checklist---</w:t>
      </w:r>
    </w:p>
    <w:p>
      <w:pPr>
        <w:pStyle w:val="Default"/>
        <w:suppressAutoHyphens w:val="1"/>
        <w:spacing w:before="0" w:after="299" w:line="240" w:lineRule="auto"/>
      </w:pPr>
      <w:r>
        <w:rPr>
          <w:rFonts w:ascii="Arial Unicode MS" w:cs="Arial Unicode MS" w:hAnsi="Arial Unicode MS" w:eastAsia="Arial Unicode MS"/>
          <w:b w:val="0"/>
          <w:bCs w:val="0"/>
          <w:i w:val="0"/>
          <w:iCs w:val="0"/>
          <w:sz w:val="36"/>
          <w:szCs w:val="36"/>
        </w:rPr>
        <w:br w:type="page"/>
      </w:r>
    </w:p>
    <w:p>
      <w:pPr>
        <w:pStyle w:val="Appendix"/>
        <w:bidi w:val="0"/>
      </w:pPr>
      <w:r>
        <w:rPr>
          <w:rtl w:val="0"/>
        </w:rPr>
        <w:t xml:space="preserve">Appendix E </w:t>
      </w:r>
      <w:r>
        <w:rPr>
          <w:rtl w:val="0"/>
          <w:lang w:val="en-US"/>
        </w:rPr>
        <w:t xml:space="preserve">— </w:t>
      </w:r>
      <w:r>
        <w:rPr>
          <w:rtl w:val="0"/>
          <w:lang w:val="it-IT"/>
        </w:rPr>
        <w:t>Visual Data Supplement</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contains supporting charts, data tables, and program timelines referenced throughout the TCAP policy proposal. It provides detailed statistical summaries and geographic visualizations that reinforce the report</w:t>
      </w:r>
      <w:r>
        <w:rPr>
          <w:rFonts w:ascii="Times Roman" w:hAnsi="Times Roman" w:hint="default"/>
          <w:sz w:val="24"/>
          <w:szCs w:val="24"/>
          <w:rtl w:val="1"/>
        </w:rPr>
        <w:t>’</w:t>
      </w:r>
      <w:r>
        <w:rPr>
          <w:rFonts w:ascii="Times Roman" w:hAnsi="Times Roman"/>
          <w:sz w:val="24"/>
          <w:szCs w:val="24"/>
          <w:rtl w:val="0"/>
          <w:lang w:val="en-US"/>
        </w:rPr>
        <w:t>s core arguments, cost-benefit analyses, and demographic targeting strategy.</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E.1. Comparative Public Cost Analysis Table</w:t>
      </w:r>
    </w:p>
    <w:tbl>
      <w:tblPr>
        <w:tblW w:w="867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48"/>
        <w:gridCol w:w="2814"/>
        <w:gridCol w:w="2713"/>
      </w:tblGrid>
      <w:tr>
        <w:tblPrEx>
          <w:shd w:val="clear" w:color="auto" w:fill="auto"/>
        </w:tblPrEx>
        <w:trPr>
          <w:trHeight w:val="567" w:hRule="atLeast"/>
        </w:trPr>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Category</w:t>
            </w:r>
          </w:p>
        </w:tc>
        <w:tc>
          <w:tcPr>
            <w:tcW w:type="dxa" w:w="28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Status Quo Rental Subsidy</w:t>
            </w:r>
          </w:p>
        </w:tc>
        <w:tc>
          <w:tcPr>
            <w:tcW w:type="dxa" w:w="2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TCAP Model (Converted)</w:t>
            </w:r>
          </w:p>
        </w:tc>
      </w:tr>
      <w:tr>
        <w:tblPrEx>
          <w:shd w:val="clear" w:color="auto" w:fill="auto"/>
        </w:tblPrEx>
        <w:trPr>
          <w:trHeight w:val="380" w:hRule="atLeast"/>
        </w:trPr>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Avg. Annual Public Cost/Unit</w:t>
            </w:r>
          </w:p>
        </w:tc>
        <w:tc>
          <w:tcPr>
            <w:tcW w:type="dxa" w:w="28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$32,800</w:t>
            </w:r>
          </w:p>
        </w:tc>
        <w:tc>
          <w:tcPr>
            <w:tcW w:type="dxa" w:w="2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$26,200</w:t>
            </w:r>
          </w:p>
        </w:tc>
      </w:tr>
      <w:tr>
        <w:tblPrEx>
          <w:shd w:val="clear" w:color="auto" w:fill="auto"/>
        </w:tblPrEx>
        <w:trPr>
          <w:trHeight w:val="380" w:hRule="atLeast"/>
        </w:trPr>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Projected 5-Year Cost/Unit</w:t>
            </w:r>
          </w:p>
        </w:tc>
        <w:tc>
          <w:tcPr>
            <w:tcW w:type="dxa" w:w="28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$164,000</w:t>
            </w:r>
          </w:p>
        </w:tc>
        <w:tc>
          <w:tcPr>
            <w:tcW w:type="dxa" w:w="2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$131,000</w:t>
            </w:r>
          </w:p>
        </w:tc>
      </w:tr>
      <w:tr>
        <w:tblPrEx>
          <w:shd w:val="clear" w:color="auto" w:fill="auto"/>
        </w:tblPrEx>
        <w:trPr>
          <w:trHeight w:val="567" w:hRule="atLeast"/>
        </w:trPr>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Shelter &amp; RTC Cost Offset/Unit</w:t>
            </w:r>
          </w:p>
        </w:tc>
        <w:tc>
          <w:tcPr>
            <w:tcW w:type="dxa" w:w="28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2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$16,000</w:t>
            </w:r>
          </w:p>
        </w:tc>
      </w:tr>
      <w:tr>
        <w:tblPrEx>
          <w:shd w:val="clear" w:color="auto" w:fill="auto"/>
        </w:tblPrEx>
        <w:trPr>
          <w:trHeight w:val="380" w:hRule="atLeast"/>
        </w:trPr>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Annual Savings (Net)</w:t>
            </w:r>
          </w:p>
        </w:tc>
        <w:tc>
          <w:tcPr>
            <w:tcW w:type="dxa" w:w="28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2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$6,600</w:t>
            </w:r>
          </w:p>
        </w:tc>
      </w:tr>
    </w:tbl>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E.2. Return on Investment (ROI) Projection Table</w:t>
      </w:r>
    </w:p>
    <w:tbl>
      <w:tblPr>
        <w:tblW w:w="80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06"/>
        <w:gridCol w:w="1130"/>
        <w:gridCol w:w="1050"/>
        <w:gridCol w:w="1522"/>
        <w:gridCol w:w="1709"/>
      </w:tblGrid>
      <w:tr>
        <w:tblPrEx>
          <w:shd w:val="clear" w:color="auto" w:fill="auto"/>
        </w:tblPrEx>
        <w:trPr>
          <w:trHeight w:val="567" w:hRule="atLeast"/>
        </w:trPr>
        <w:tc>
          <w:tcPr>
            <w:tcW w:type="dxa" w:w="26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Pilot Site</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Total Units</w:t>
            </w:r>
          </w:p>
        </w:tc>
        <w:tc>
          <w:tcPr>
            <w:tcW w:type="dxa" w:w="1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Total Cost</w:t>
            </w:r>
          </w:p>
        </w:tc>
        <w:tc>
          <w:tcPr>
            <w:tcW w:type="dxa" w:w="1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5-Year Savings</w:t>
            </w:r>
          </w:p>
        </w:tc>
        <w:tc>
          <w:tcPr>
            <w:tcW w:type="dxa" w:w="17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Break-Even Year</w:t>
            </w:r>
          </w:p>
        </w:tc>
      </w:tr>
      <w:tr>
        <w:tblPrEx>
          <w:shd w:val="clear" w:color="auto" w:fill="auto"/>
        </w:tblPrEx>
        <w:trPr>
          <w:trHeight w:val="380" w:hRule="atLeast"/>
        </w:trPr>
        <w:tc>
          <w:tcPr>
            <w:tcW w:type="dxa" w:w="26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Bronx CD 6</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24</w:t>
            </w:r>
          </w:p>
        </w:tc>
        <w:tc>
          <w:tcPr>
            <w:tcW w:type="dxa" w:w="1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$1.03M</w:t>
            </w:r>
          </w:p>
        </w:tc>
        <w:tc>
          <w:tcPr>
            <w:tcW w:type="dxa" w:w="1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$1.5M</w:t>
            </w:r>
          </w:p>
        </w:tc>
        <w:tc>
          <w:tcPr>
            <w:tcW w:type="dxa" w:w="17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Year 3.4</w:t>
            </w:r>
          </w:p>
        </w:tc>
      </w:tr>
      <w:tr>
        <w:tblPrEx>
          <w:shd w:val="clear" w:color="auto" w:fill="auto"/>
        </w:tblPrEx>
        <w:trPr>
          <w:trHeight w:val="380" w:hRule="atLeast"/>
        </w:trPr>
        <w:tc>
          <w:tcPr>
            <w:tcW w:type="dxa" w:w="26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Brooklyn CD 33</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42</w:t>
            </w:r>
          </w:p>
        </w:tc>
        <w:tc>
          <w:tcPr>
            <w:tcW w:type="dxa" w:w="1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$1.98M</w:t>
            </w:r>
          </w:p>
        </w:tc>
        <w:tc>
          <w:tcPr>
            <w:tcW w:type="dxa" w:w="1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$2.9M</w:t>
            </w:r>
          </w:p>
        </w:tc>
        <w:tc>
          <w:tcPr>
            <w:tcW w:type="dxa" w:w="17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Year 2.9</w:t>
            </w:r>
          </w:p>
        </w:tc>
      </w:tr>
      <w:tr>
        <w:tblPrEx>
          <w:shd w:val="clear" w:color="auto" w:fill="auto"/>
        </w:tblPrEx>
        <w:trPr>
          <w:trHeight w:val="567" w:hRule="atLeast"/>
        </w:trPr>
        <w:tc>
          <w:tcPr>
            <w:tcW w:type="dxa" w:w="26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Upper Manhattan (HDFC)</w:t>
            </w:r>
          </w:p>
        </w:tc>
        <w:tc>
          <w:tcPr>
            <w:tcW w:type="dxa" w:w="11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18</w:t>
            </w:r>
          </w:p>
        </w:tc>
        <w:tc>
          <w:tcPr>
            <w:tcW w:type="dxa" w:w="10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$875K</w:t>
            </w:r>
          </w:p>
        </w:tc>
        <w:tc>
          <w:tcPr>
            <w:tcW w:type="dxa" w:w="15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$1.14M</w:t>
            </w:r>
          </w:p>
        </w:tc>
        <w:tc>
          <w:tcPr>
            <w:tcW w:type="dxa" w:w="17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Year 3.1</w:t>
            </w:r>
          </w:p>
        </w:tc>
      </w:tr>
    </w:tbl>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E.3. NYC Homeownership Disparities by Race (2022)</w:t>
      </w:r>
    </w:p>
    <w:tbl>
      <w:tblPr>
        <w:tblW w:w="3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86"/>
        <w:gridCol w:w="2146"/>
      </w:tblGrid>
      <w:tr>
        <w:tblPrEx>
          <w:shd w:val="clear" w:color="auto" w:fill="auto"/>
        </w:tblPrEx>
        <w:trPr>
          <w:trHeight w:val="56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Race/Ethnicity</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Homeownership Rate</w:t>
            </w:r>
          </w:p>
        </w:tc>
      </w:tr>
      <w:tr>
        <w:tblPrEx>
          <w:shd w:val="clear" w:color="auto" w:fill="auto"/>
        </w:tblPrEx>
        <w:trPr>
          <w:trHeight w:val="380"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White</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44%</w:t>
            </w:r>
          </w:p>
        </w:tc>
      </w:tr>
      <w:tr>
        <w:tblPrEx>
          <w:shd w:val="clear" w:color="auto" w:fill="auto"/>
        </w:tblPrEx>
        <w:trPr>
          <w:trHeight w:val="380"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Black</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27%</w:t>
            </w:r>
          </w:p>
        </w:tc>
      </w:tr>
      <w:tr>
        <w:tblPrEx>
          <w:shd w:val="clear" w:color="auto" w:fill="auto"/>
        </w:tblPrEx>
        <w:trPr>
          <w:trHeight w:val="380"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Latino</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17%</w:t>
            </w:r>
          </w:p>
        </w:tc>
      </w:tr>
      <w:tr>
        <w:tblPrEx>
          <w:shd w:val="clear" w:color="auto" w:fill="auto"/>
        </w:tblPrEx>
        <w:trPr>
          <w:trHeight w:val="380"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Asian</w:t>
            </w:r>
          </w:p>
        </w:tc>
        <w:tc>
          <w:tcPr>
            <w:tcW w:type="dxa" w:w="21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34%</w:t>
            </w:r>
          </w:p>
        </w:tc>
      </w:tr>
    </w:tbl>
    <w:p>
      <w:pPr>
        <w:pStyle w:val="Default"/>
        <w:suppressAutoHyphens w:val="1"/>
        <w:spacing w:before="0" w:after="240" w:line="240" w:lineRule="auto"/>
        <w:rPr>
          <w:rFonts w:ascii="Times Roman" w:cs="Times Roman" w:hAnsi="Times Roman" w:eastAsia="Times Roman"/>
          <w:i w:val="1"/>
          <w:iCs w:val="1"/>
          <w:sz w:val="24"/>
          <w:szCs w:val="24"/>
        </w:rPr>
      </w:pPr>
    </w:p>
    <w:p>
      <w:pPr>
        <w:pStyle w:val="Default"/>
        <w:suppressAutoHyphens w:val="1"/>
        <w:spacing w:before="0" w:after="240" w:line="240" w:lineRule="auto"/>
        <w:rPr>
          <w:rFonts w:ascii="Times Roman" w:cs="Times Roman" w:hAnsi="Times Roman" w:eastAsia="Times Roman"/>
          <w:i w:val="1"/>
          <w:iCs w:val="1"/>
          <w:sz w:val="24"/>
          <w:szCs w:val="24"/>
        </w:rPr>
      </w:pPr>
      <w:r>
        <w:rPr>
          <w:rFonts w:ascii="Times Roman" w:hAnsi="Times Roman"/>
          <w:i w:val="1"/>
          <w:iCs w:val="1"/>
          <w:sz w:val="24"/>
          <w:szCs w:val="24"/>
          <w:rtl w:val="0"/>
          <w:lang w:val="en-US"/>
        </w:rPr>
        <w:t>Source: NYU Furman Center, 2022</w:t>
      </w:r>
    </w:p>
    <w:p>
      <w:pPr>
        <w:pStyle w:val="Heading 2"/>
        <w:bidi w:val="0"/>
      </w:pPr>
      <w:r>
        <w:rPr>
          <w:rtl w:val="0"/>
        </w:rPr>
        <w:t>E.4. Targeted Violation Density Map</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1"/>
          <w:iCs w:val="1"/>
          <w:sz w:val="24"/>
          <w:szCs w:val="24"/>
          <w:rtl w:val="0"/>
          <w:lang w:val="en-US"/>
        </w:rPr>
        <w:t>(Map Placeholder: Overlay of HPD Housing Maintenance Code violations by NYC Council District. Highlighted districts include Bronx CD 6, Brooklyn CD 33, and Manhattan CD 9.)</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E.5. TCAP Conversion Process Timeline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Year 0:</w:t>
      </w:r>
      <w:r>
        <w:rPr>
          <w:rFonts w:ascii="Times Roman" w:hAnsi="Times Roman"/>
          <w:sz w:val="24"/>
          <w:szCs w:val="24"/>
          <w:rtl w:val="0"/>
          <w:lang w:val="en-US"/>
        </w:rPr>
        <w:t xml:space="preserve"> Tenant organizing &amp; TA onboarding</w:t>
      </w:r>
      <w:r>
        <w:rPr>
          <w:rFonts w:ascii="Times Roman" w:cs="Times Roman" w:hAnsi="Times Roman" w:eastAsia="Times Roman"/>
          <w:sz w:val="24"/>
          <w:szCs w:val="24"/>
        </w:rPr>
        <w:br w:type="textWrapping"/>
      </w:r>
      <w:r>
        <w:rPr>
          <w:rFonts w:ascii="Times Roman" w:hAnsi="Times Roman"/>
          <w:b w:val="1"/>
          <w:bCs w:val="1"/>
          <w:sz w:val="24"/>
          <w:szCs w:val="24"/>
          <w:rtl w:val="0"/>
          <w:lang w:val="en-US"/>
        </w:rPr>
        <w:t>Year 1:</w:t>
      </w:r>
      <w:r>
        <w:rPr>
          <w:rFonts w:ascii="Times Roman" w:hAnsi="Times Roman"/>
          <w:sz w:val="24"/>
          <w:szCs w:val="24"/>
          <w:rtl w:val="0"/>
          <w:lang w:val="en-US"/>
        </w:rPr>
        <w:t xml:space="preserve"> Legal formation + acquisition closing</w:t>
      </w:r>
      <w:r>
        <w:rPr>
          <w:rFonts w:ascii="Times Roman" w:cs="Times Roman" w:hAnsi="Times Roman" w:eastAsia="Times Roman"/>
          <w:sz w:val="24"/>
          <w:szCs w:val="24"/>
        </w:rPr>
        <w:br w:type="textWrapping"/>
      </w:r>
      <w:r>
        <w:rPr>
          <w:rFonts w:ascii="Times Roman" w:hAnsi="Times Roman"/>
          <w:b w:val="1"/>
          <w:bCs w:val="1"/>
          <w:sz w:val="24"/>
          <w:szCs w:val="24"/>
          <w:rtl w:val="0"/>
          <w:lang w:val="en-US"/>
        </w:rPr>
        <w:t>Year 2</w:t>
      </w:r>
      <w:r>
        <w:rPr>
          <w:rFonts w:ascii="Times Roman" w:hAnsi="Times Roman" w:hint="default"/>
          <w:b w:val="1"/>
          <w:bCs w:val="1"/>
          <w:sz w:val="24"/>
          <w:szCs w:val="24"/>
          <w:rtl w:val="0"/>
        </w:rPr>
        <w:t>–</w:t>
      </w:r>
      <w:r>
        <w:rPr>
          <w:rFonts w:ascii="Times Roman" w:hAnsi="Times Roman"/>
          <w:b w:val="1"/>
          <w:bCs w:val="1"/>
          <w:sz w:val="24"/>
          <w:szCs w:val="24"/>
          <w:rtl w:val="0"/>
          <w:lang w:val="ru-RU"/>
        </w:rPr>
        <w:t>3:</w:t>
      </w:r>
      <w:r>
        <w:rPr>
          <w:rFonts w:ascii="Times Roman" w:hAnsi="Times Roman"/>
          <w:sz w:val="24"/>
          <w:szCs w:val="24"/>
          <w:rtl w:val="0"/>
          <w:lang w:val="en-US"/>
        </w:rPr>
        <w:t xml:space="preserve"> Subsidy redirection phase &amp; board governance training</w:t>
      </w:r>
      <w:r>
        <w:rPr>
          <w:rFonts w:ascii="Times Roman" w:cs="Times Roman" w:hAnsi="Times Roman" w:eastAsia="Times Roman"/>
          <w:sz w:val="24"/>
          <w:szCs w:val="24"/>
        </w:rPr>
        <w:br w:type="textWrapping"/>
      </w:r>
      <w:r>
        <w:rPr>
          <w:rFonts w:ascii="Times Roman" w:hAnsi="Times Roman"/>
          <w:b w:val="1"/>
          <w:bCs w:val="1"/>
          <w:sz w:val="24"/>
          <w:szCs w:val="24"/>
          <w:rtl w:val="0"/>
          <w:lang w:val="en-US"/>
        </w:rPr>
        <w:t>Year 4</w:t>
      </w:r>
      <w:r>
        <w:rPr>
          <w:rFonts w:ascii="Times Roman" w:hAnsi="Times Roman" w:hint="default"/>
          <w:b w:val="1"/>
          <w:bCs w:val="1"/>
          <w:sz w:val="24"/>
          <w:szCs w:val="24"/>
          <w:rtl w:val="0"/>
        </w:rPr>
        <w:t>–</w:t>
      </w:r>
      <w:r>
        <w:rPr>
          <w:rFonts w:ascii="Times Roman" w:hAnsi="Times Roman"/>
          <w:b w:val="1"/>
          <w:bCs w:val="1"/>
          <w:sz w:val="24"/>
          <w:szCs w:val="24"/>
          <w:rtl w:val="0"/>
        </w:rPr>
        <w:t>5:</w:t>
      </w:r>
      <w:r>
        <w:rPr>
          <w:rFonts w:ascii="Times Roman" w:hAnsi="Times Roman"/>
          <w:sz w:val="24"/>
          <w:szCs w:val="24"/>
          <w:rtl w:val="0"/>
          <w:lang w:val="en-US"/>
        </w:rPr>
        <w:t xml:space="preserve"> Independent cooperative operation &amp; audit initiation</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E.6. Program Impact Projection (Citywide)</w:t>
      </w:r>
    </w:p>
    <w:tbl>
      <w:tblPr>
        <w:tblW w:w="619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62"/>
        <w:gridCol w:w="1480"/>
        <w:gridCol w:w="1761"/>
        <w:gridCol w:w="2287"/>
      </w:tblGrid>
      <w:tr>
        <w:tblPrEx>
          <w:shd w:val="clear" w:color="auto" w:fill="auto"/>
        </w:tblPrEx>
        <w:trPr>
          <w:trHeight w:val="567" w:hRule="atLeast"/>
        </w:trPr>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Year</w:t>
            </w:r>
          </w:p>
        </w:tc>
        <w:tc>
          <w:tcPr>
            <w:tcW w:type="dxa" w:w="14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Units Converted</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Estimated City Savings</w:t>
            </w:r>
          </w:p>
        </w:tc>
        <w:tc>
          <w:tcPr>
            <w:tcW w:type="dxa" w:w="2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Avg. Equity Built/Unit</w:t>
            </w:r>
          </w:p>
        </w:tc>
      </w:tr>
      <w:tr>
        <w:tblPrEx>
          <w:shd w:val="clear" w:color="auto" w:fill="auto"/>
        </w:tblPrEx>
        <w:trPr>
          <w:trHeight w:val="380" w:hRule="atLeast"/>
        </w:trPr>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p>
        </w:tc>
        <w:tc>
          <w:tcPr>
            <w:tcW w:type="dxa" w:w="14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120</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$7.9M</w:t>
            </w:r>
          </w:p>
        </w:tc>
        <w:tc>
          <w:tcPr>
            <w:tcW w:type="dxa" w:w="2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$12,500</w:t>
            </w:r>
          </w:p>
        </w:tc>
      </w:tr>
      <w:tr>
        <w:tblPrEx>
          <w:shd w:val="clear" w:color="auto" w:fill="auto"/>
        </w:tblPrEx>
        <w:trPr>
          <w:trHeight w:val="380" w:hRule="atLeast"/>
        </w:trPr>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p>
        </w:tc>
        <w:tc>
          <w:tcPr>
            <w:tcW w:type="dxa" w:w="14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340</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$26.4M</w:t>
            </w:r>
          </w:p>
        </w:tc>
        <w:tc>
          <w:tcPr>
            <w:tcW w:type="dxa" w:w="2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$18,000</w:t>
            </w:r>
          </w:p>
        </w:tc>
      </w:tr>
      <w:tr>
        <w:tblPrEx>
          <w:shd w:val="clear" w:color="auto" w:fill="auto"/>
        </w:tblPrEx>
        <w:trPr>
          <w:trHeight w:val="380" w:hRule="atLeast"/>
        </w:trPr>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w:t>
            </w:r>
          </w:p>
        </w:tc>
        <w:tc>
          <w:tcPr>
            <w:tcW w:type="dxa" w:w="14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600</w:t>
            </w:r>
          </w:p>
        </w:tc>
        <w:tc>
          <w:tcPr>
            <w:tcW w:type="dxa" w:w="17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$48.6M</w:t>
            </w:r>
          </w:p>
        </w:tc>
        <w:tc>
          <w:tcPr>
            <w:tcW w:type="dxa" w:w="22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$24,000</w:t>
            </w:r>
          </w:p>
        </w:tc>
      </w:tr>
    </w:tbl>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lang w:val="de-DE"/>
        </w:rPr>
        <w:t>E.7. Tenant Cost Burden Pre/Post-TCAP</w:t>
      </w:r>
      <w:r>
        <w:drawing xmlns:a="http://schemas.openxmlformats.org/drawingml/2006/main">
          <wp:anchor distT="152400" distB="152400" distL="152400" distR="152400" simplePos="0" relativeHeight="251659264" behindDoc="0" locked="0" layoutInCell="1" allowOverlap="1">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4">
                      <a:extLst/>
                    </a:blip>
                    <a:stretch>
                      <a:fillRect/>
                    </a:stretch>
                  </pic:blipFill>
                  <pic:spPr>
                    <a:xfrm>
                      <a:off x="0" y="0"/>
                      <a:ext cx="5728335" cy="3341529"/>
                    </a:xfrm>
                    <a:prstGeom prst="rect">
                      <a:avLst/>
                    </a:prstGeom>
                    <a:ln w="12700" cap="flat">
                      <a:noFill/>
                      <a:miter lim="400000"/>
                    </a:ln>
                    <a:effectLst/>
                  </pic:spPr>
                </pic:pic>
              </a:graphicData>
            </a:graphic>
          </wp:anchor>
        </w:drawing>
      </w:r>
    </w:p>
    <w:p>
      <w:pPr>
        <w:pStyle w:val="Body"/>
        <w:bidi w:val="0"/>
      </w:pPr>
      <w:r>
        <w:rPr>
          <w:rtl w:val="0"/>
        </w:rPr>
        <w:t>A bar chart comparing:</w:t>
      </w:r>
    </w:p>
    <w:p>
      <w:pPr>
        <w:pStyle w:val="Body"/>
        <w:bidi w:val="0"/>
      </w:pPr>
      <w:r>
        <w:rPr>
          <w:rtl w:val="0"/>
        </w:rPr>
        <w:tab/>
        <w:t>•</w:t>
        <w:tab/>
      </w:r>
      <w:r>
        <w:rPr>
          <w:rtl w:val="0"/>
        </w:rPr>
        <w:t>Average % of income spent on rent before TCAP</w:t>
      </w:r>
    </w:p>
    <w:p>
      <w:pPr>
        <w:pStyle w:val="Body"/>
        <w:bidi w:val="0"/>
      </w:pPr>
      <w:r>
        <w:rPr>
          <w:rtl w:val="0"/>
        </w:rPr>
        <w:tab/>
        <w:t>•</w:t>
        <w:tab/>
      </w:r>
      <w:r>
        <w:rPr>
          <w:rtl w:val="0"/>
        </w:rPr>
        <w:t>Average % of income spent on cooperative maintenance after TCAP</w:t>
      </w:r>
    </w:p>
    <w:p>
      <w:pPr>
        <w:pStyle w:val="Body"/>
        <w:bidi w:val="0"/>
      </w:pPr>
      <w:r>
        <w:rPr>
          <w:rtl w:val="0"/>
        </w:rPr>
        <w:tab/>
        <w:t>•</w:t>
        <w:tab/>
      </w:r>
      <w:r>
        <w:rPr>
          <w:rtl w:val="0"/>
        </w:rPr>
        <w:t>Broken down by AMI bracket (30%, 50%, 80%, 100%)</w:t>
      </w:r>
    </w:p>
    <w:p>
      <w:pPr>
        <w:pStyle w:val="Heading 2"/>
        <w:bidi w:val="0"/>
      </w:pPr>
      <w:r>
        <w:rPr>
          <w:rtl w:val="0"/>
        </w:rPr>
        <w:t>E.8. Timeline Comparison: Traditional Voucher Path vs. TCAP Path</w:t>
      </w:r>
    </w:p>
    <w:p>
      <w:pPr>
        <w:pStyle w:val="Body"/>
        <w:bidi w:val="0"/>
      </w:pPr>
      <w:r>
        <w:rPr>
          <w:rtl w:val="0"/>
        </w:rPr>
        <w:t>A side-by-side visual timeline showing:</w:t>
      </w:r>
    </w:p>
    <w:p>
      <w:pPr>
        <w:pStyle w:val="Body"/>
        <w:bidi w:val="0"/>
      </w:pPr>
      <w:r>
        <w:rPr>
          <w:rtl w:val="0"/>
        </w:rPr>
        <w:tab/>
        <w:t>•</w:t>
        <w:tab/>
      </w:r>
      <w:r>
        <w:rPr>
          <w:rtl w:val="0"/>
        </w:rPr>
        <w:t>Traditional rental subsidy cycle (no ownership, ongoing payments)</w:t>
      </w:r>
    </w:p>
    <w:p>
      <w:pPr>
        <w:pStyle w:val="Body"/>
        <w:bidi w:val="0"/>
      </w:pPr>
      <w:r>
        <w:rPr>
          <w:rtl w:val="0"/>
        </w:rPr>
        <w:tab/>
        <w:t>•</w:t>
        <w:tab/>
      </w:r>
      <w:r>
        <w:rPr>
          <w:rtl w:val="0"/>
        </w:rPr>
        <w:t>TCAP path (ownership by year 5, no rent by year 7)</w:t>
      </w:r>
    </w:p>
    <w:p>
      <w:pPr>
        <w:pStyle w:val="Heading 2"/>
        <w:bidi w:val="0"/>
      </w:pPr>
      <w:r>
        <w:rPr>
          <w:rtl w:val="0"/>
        </w:rPr>
        <w:t>E.9. Interagency Flowchart: TCAP Governance &amp; Implementation</w:t>
      </w:r>
    </w:p>
    <w:p>
      <w:pPr>
        <w:pStyle w:val="Body"/>
        <w:bidi w:val="0"/>
      </w:pPr>
      <w:r>
        <w:rPr>
          <w:rtl w:val="0"/>
        </w:rPr>
        <w:t>Diagram showing how HPD, HCR, HUD, legal partners, credit unions, and tenant associations interact across phases</w:t>
      </w:r>
    </w:p>
    <w:p>
      <w:pPr>
        <w:pStyle w:val="Heading 2"/>
        <w:bidi w:val="0"/>
      </w:pPr>
      <w:r>
        <w:rPr>
          <w:rtl w:val="0"/>
        </w:rPr>
        <w:t>E.10. Geographic Equity Impact Map</w:t>
      </w:r>
    </w:p>
    <w:p>
      <w:pPr>
        <w:pStyle w:val="Body"/>
        <w:bidi w:val="0"/>
      </w:pPr>
      <w:r>
        <w:rPr>
          <w:rtl w:val="0"/>
        </w:rPr>
        <w:t>Overlay of historic redlined districts + current eviction heatmaps + TCAP pilot targets</w:t>
      </w:r>
    </w:p>
    <w:p>
      <w:pPr>
        <w:pStyle w:val="Body"/>
        <w:bidi w:val="0"/>
      </w:pPr>
      <w:r>
        <w:rPr>
          <w:rFonts w:ascii="Arial Unicode MS" w:cs="Arial Unicode MS" w:hAnsi="Arial Unicode MS" w:eastAsia="Arial Unicode MS" w:hint="default"/>
          <w:b w:val="0"/>
          <w:bCs w:val="0"/>
          <w:i w:val="0"/>
          <w:iCs w:val="0"/>
          <w:rtl w:val="0"/>
        </w:rPr>
        <w:t>⸻</w:t>
      </w:r>
    </w:p>
    <w:p>
      <w:pPr>
        <w:pStyle w:val="Appendix"/>
        <w:bidi w:val="0"/>
        <w:rPr>
          <w:rStyle w:val="Emphasis"/>
        </w:rPr>
      </w:pPr>
      <w:r>
        <w:rPr>
          <w:rStyle w:val="Emphasis"/>
          <w:rtl w:val="0"/>
        </w:rPr>
        <w:t xml:space="preserve">Appendix F </w:t>
      </w:r>
      <w:r>
        <w:rPr>
          <w:rStyle w:val="Emphasis"/>
          <w:rtl w:val="0"/>
        </w:rPr>
        <w:t xml:space="preserve">– </w:t>
      </w:r>
      <w:r>
        <w:rPr>
          <w:rStyle w:val="Emphasis"/>
          <w:rtl w:val="0"/>
          <w:lang w:val="en-US"/>
        </w:rPr>
        <w:t>Cognitive &amp; Educational Outcomes Summary</w:t>
      </w:r>
    </w:p>
    <w:tbl>
      <w:tblPr>
        <w:tblW w:w="1080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81"/>
        <w:gridCol w:w="1729"/>
        <w:gridCol w:w="5070"/>
        <w:gridCol w:w="3020"/>
      </w:tblGrid>
      <w:tr>
        <w:tblPrEx>
          <w:shd w:val="clear" w:color="auto" w:fill="auto"/>
        </w:tblPrEx>
        <w:trPr>
          <w:trHeight w:val="380"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Study</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Focus Area</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Key Findings</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Application</w:t>
            </w:r>
          </w:p>
        </w:tc>
      </w:tr>
      <w:tr>
        <w:tblPrEx>
          <w:shd w:val="clear" w:color="auto" w:fill="auto"/>
        </w:tblPrEx>
        <w:trPr>
          <w:trHeight w:val="1069"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Maqbool et al. (2015)</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Health outcomes from housing stress</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Housing cost burden is linked to poor physical and mental health, especially due to stress, utility shutoffs, and overcrowding.</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Justifies mental health and healthcare offsets in housing subsidy reform.</w:t>
            </w:r>
          </w:p>
        </w:tc>
      </w:tr>
      <w:tr>
        <w:tblPrEx>
          <w:shd w:val="clear" w:color="auto" w:fill="auto"/>
        </w:tblPrEx>
        <w:trPr>
          <w:trHeight w:val="1007"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Brennan et al. (2014)</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Educational impact of housing stability</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School mobility and frequent residential moves cause lasting setbacks in achievement, attendance, and behavioral health.</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Supports stable tenure and family-focused subsidy design for child development.</w:t>
            </w:r>
          </w:p>
        </w:tc>
      </w:tr>
      <w:tr>
        <w:tblPrEx>
          <w:shd w:val="clear" w:color="auto" w:fill="auto"/>
        </w:tblPrEx>
        <w:trPr>
          <w:trHeight w:val="1253"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Shrier (2016)</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Tenant harassment and trauma</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Harassment and housing court failures compound emotional distress and displacement trauma for vulnerable tenants.</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Corroborates legal reform proposals and trauma-informed tenant protections.</w:t>
            </w:r>
          </w:p>
        </w:tc>
      </w:tr>
      <w:tr>
        <w:tblPrEx>
          <w:shd w:val="clear" w:color="auto" w:fill="auto"/>
        </w:tblPrEx>
        <w:trPr>
          <w:trHeight w:val="1171"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Clark &amp; Ledwith (2006)</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Mobility effects on neighborhood perception</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Low satisfaction and perceived lack of social cohesion predict higher intent to move, correlating with housing stress.</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Reinforces place-based vs. hyper-mobile assistance strategy.</w:t>
            </w:r>
          </w:p>
        </w:tc>
      </w:tr>
      <w:tr>
        <w:tblPrEx>
          <w:shd w:val="clear" w:color="auto" w:fill="auto"/>
        </w:tblPrEx>
        <w:trPr>
          <w:trHeight w:val="1246"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Elder et al. (2003)</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Life course impact of instability</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Life disruptions during key stages (childhood, adolescence) shape long-term cognitive and psychosocial development.</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Theoretical foundation for age-based targeting of interventions.</w:t>
            </w:r>
          </w:p>
        </w:tc>
      </w:tr>
      <w:tr>
        <w:tblPrEx>
          <w:shd w:val="clear" w:color="auto" w:fill="auto"/>
        </w:tblPrEx>
        <w:trPr>
          <w:trHeight w:val="1353" w:hRule="atLeast"/>
        </w:trPr>
        <w:tc>
          <w:tcPr>
            <w:tcW w:type="dxa" w:w="98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Mimura (2007)</w:t>
            </w:r>
          </w:p>
        </w:tc>
        <w:tc>
          <w:tcPr>
            <w:tcW w:type="dxa" w:w="17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Poverty vs. cost burden in hardship prediction</w:t>
            </w:r>
          </w:p>
        </w:tc>
        <w:tc>
          <w:tcPr>
            <w:tcW w:type="dxa" w:w="50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Cost burden alone poorly predicts hardship unless poverty and race are factored</w:t>
            </w:r>
            <w:r>
              <w:rPr>
                <w:rFonts w:ascii="Times Roman" w:hAnsi="Times Roman" w:hint="default"/>
                <w:sz w:val="24"/>
                <w:szCs w:val="24"/>
                <w:rtl w:val="0"/>
              </w:rPr>
              <w:t>—</w:t>
            </w:r>
            <w:r>
              <w:rPr>
                <w:rFonts w:ascii="Times Roman" w:hAnsi="Times Roman"/>
                <w:sz w:val="24"/>
                <w:szCs w:val="24"/>
                <w:rtl w:val="0"/>
              </w:rPr>
              <w:t>Black and Hispanic families face compounding stress.</w:t>
            </w:r>
          </w:p>
        </w:tc>
        <w:tc>
          <w:tcPr>
            <w:tcW w:type="dxa" w:w="3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Improves targeting methods for economic hardship metrics in voucher models.</w:t>
            </w:r>
          </w:p>
        </w:tc>
      </w:tr>
    </w:tbl>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line="240" w:lineRule="auto"/>
        <w:rPr>
          <w:rFonts w:ascii="Times Roman" w:cs="Times Roman" w:hAnsi="Times Roman" w:eastAsia="Times Roman"/>
          <w:sz w:val="24"/>
          <w:szCs w:val="24"/>
        </w:rPr>
      </w:pPr>
    </w:p>
    <w:p>
      <w:pPr>
        <w:pStyle w:val="Body"/>
        <w:bidi w:val="0"/>
      </w:pPr>
    </w:p>
    <w:p>
      <w:pPr>
        <w:pStyle w:val="Appendix"/>
        <w:bidi w:val="0"/>
      </w:pPr>
      <w:r>
        <w:rPr>
          <w:rtl w:val="0"/>
          <w:lang w:val="en-US"/>
        </w:rPr>
        <w:t>Appendix G: Systemic Exclusion from Housing Subsidies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Heading 2"/>
        <w:bidi w:val="0"/>
      </w:pPr>
      <w:r>
        <w:rPr>
          <w:rtl w:val="0"/>
        </w:rPr>
        <w:t xml:space="preserve"> Demographic Barriers at a Glance</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b w:val="1"/>
          <w:bCs w:val="1"/>
          <w:i w:val="0"/>
          <w:iCs w:val="0"/>
          <w:sz w:val="24"/>
          <w:szCs w:val="24"/>
          <w:rtl w:val="0"/>
          <w:lang w:val="en-US"/>
        </w:rPr>
        <w:t>Visual Reference: "Barred from Housing Subsidies"</w:t>
      </w:r>
      <w:r>
        <w:rPr>
          <w:rFonts w:ascii="Times Roman" w:cs="Times Roman" w:hAnsi="Times Roman" w:eastAsia="Times Roman"/>
          <w:i w:val="0"/>
          <w:iCs w:val="0"/>
          <w:sz w:val="24"/>
          <w:szCs w:val="24"/>
        </w:rPr>
        <w:br w:type="textWrapping"/>
      </w:r>
      <w:r>
        <w:rPr>
          <w:rFonts w:ascii="Times Roman" w:hAnsi="Times Roman"/>
          <w:i w:val="1"/>
          <w:iCs w:val="1"/>
          <w:sz w:val="24"/>
          <w:szCs w:val="24"/>
          <w:rtl w:val="0"/>
          <w:lang w:val="en-US"/>
        </w:rPr>
        <w:t>See embedded infographic summarizing major disenfranchised demographics.</w:t>
      </w:r>
    </w:p>
    <w:tbl>
      <w:tblPr>
        <w:tblW w:w="1080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14"/>
        <w:gridCol w:w="2994"/>
        <w:gridCol w:w="5392"/>
      </w:tblGrid>
      <w:tr>
        <w:tblPrEx>
          <w:shd w:val="clear" w:color="auto" w:fill="auto"/>
        </w:tblPrEx>
        <w:trPr>
          <w:trHeight w:val="380" w:hRule="atLeast"/>
        </w:trPr>
        <w:tc>
          <w:tcPr>
            <w:tcW w:type="dxa" w:w="24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Group</w:t>
            </w:r>
          </w:p>
        </w:tc>
        <w:tc>
          <w:tcPr>
            <w:tcW w:type="dxa" w:w="2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Barrier Type</w:t>
            </w:r>
          </w:p>
        </w:tc>
        <w:tc>
          <w:tcPr>
            <w:tcW w:type="dxa" w:w="5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Description</w:t>
            </w:r>
          </w:p>
        </w:tc>
      </w:tr>
      <w:tr>
        <w:tblPrEx>
          <w:shd w:val="clear" w:color="auto" w:fill="auto"/>
        </w:tblPrEx>
        <w:trPr>
          <w:trHeight w:val="782" w:hRule="atLeast"/>
        </w:trPr>
        <w:tc>
          <w:tcPr>
            <w:tcW w:type="dxa" w:w="24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Mixed-Status Households</w:t>
            </w:r>
          </w:p>
        </w:tc>
        <w:tc>
          <w:tcPr>
            <w:tcW w:type="dxa" w:w="2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Legal exclusion</w:t>
            </w:r>
          </w:p>
        </w:tc>
        <w:tc>
          <w:tcPr>
            <w:tcW w:type="dxa" w:w="5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Ineligible due to unauthorized members, despite U.S. citizen dependents</w:t>
            </w:r>
          </w:p>
        </w:tc>
      </w:tr>
      <w:tr>
        <w:tblPrEx>
          <w:shd w:val="clear" w:color="auto" w:fill="auto"/>
        </w:tblPrEx>
        <w:trPr>
          <w:trHeight w:val="567" w:hRule="atLeast"/>
        </w:trPr>
        <w:tc>
          <w:tcPr>
            <w:tcW w:type="dxa" w:w="24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Formerly Incarcerated Tenants</w:t>
            </w:r>
          </w:p>
        </w:tc>
        <w:tc>
          <w:tcPr>
            <w:tcW w:type="dxa" w:w="2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Administrative and stigma</w:t>
            </w:r>
          </w:p>
        </w:tc>
        <w:tc>
          <w:tcPr>
            <w:tcW w:type="dxa" w:w="5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Eviction history or criminal records often disqualify access</w:t>
            </w:r>
          </w:p>
        </w:tc>
      </w:tr>
      <w:tr>
        <w:tblPrEx>
          <w:shd w:val="clear" w:color="auto" w:fill="auto"/>
        </w:tblPrEx>
        <w:trPr>
          <w:trHeight w:val="705" w:hRule="atLeast"/>
        </w:trPr>
        <w:tc>
          <w:tcPr>
            <w:tcW w:type="dxa" w:w="24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Tenants with Disabilities</w:t>
            </w:r>
          </w:p>
        </w:tc>
        <w:tc>
          <w:tcPr>
            <w:tcW w:type="dxa" w:w="2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Accessibility and supply-side constraint</w:t>
            </w:r>
          </w:p>
        </w:tc>
        <w:tc>
          <w:tcPr>
            <w:tcW w:type="dxa" w:w="5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Lack of ADA-compliant affordable housing options</w:t>
            </w:r>
          </w:p>
        </w:tc>
      </w:tr>
      <w:tr>
        <w:tblPrEx>
          <w:shd w:val="clear" w:color="auto" w:fill="auto"/>
        </w:tblPrEx>
        <w:trPr>
          <w:trHeight w:val="754" w:hRule="atLeast"/>
        </w:trPr>
        <w:tc>
          <w:tcPr>
            <w:tcW w:type="dxa" w:w="24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Aging Adults on Fixed Incomes</w:t>
            </w:r>
          </w:p>
        </w:tc>
        <w:tc>
          <w:tcPr>
            <w:tcW w:type="dxa" w:w="2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Cost inflation vs. static income</w:t>
            </w:r>
          </w:p>
        </w:tc>
        <w:tc>
          <w:tcPr>
            <w:tcW w:type="dxa" w:w="5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Escalating rent burdens despite social security or retirement income</w:t>
            </w:r>
          </w:p>
        </w:tc>
      </w:tr>
      <w:tr>
        <w:tblPrEx>
          <w:shd w:val="clear" w:color="auto" w:fill="auto"/>
        </w:tblPrEx>
        <w:trPr>
          <w:trHeight w:val="567" w:hRule="atLeast"/>
        </w:trPr>
        <w:tc>
          <w:tcPr>
            <w:tcW w:type="dxa" w:w="24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Single-Parent Households</w:t>
            </w:r>
          </w:p>
        </w:tc>
        <w:tc>
          <w:tcPr>
            <w:tcW w:type="dxa" w:w="2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Structural affordability gap</w:t>
            </w:r>
          </w:p>
        </w:tc>
        <w:tc>
          <w:tcPr>
            <w:tcW w:type="dxa" w:w="53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Income-to-rent ratios disqualify families despite high need</w:t>
            </w:r>
          </w:p>
        </w:tc>
      </w:tr>
    </w:tbl>
    <w:p>
      <w:pPr>
        <w:pStyle w:val="Default"/>
        <w:suppressAutoHyphens w:val="1"/>
        <w:spacing w:before="0" w:line="240" w:lineRule="auto"/>
        <w:rPr>
          <w:rFonts w:ascii="Times Roman" w:cs="Times Roman" w:hAnsi="Times Roman" w:eastAsia="Times Roman"/>
          <w:outline w:val="0"/>
          <w:color w:val="808080"/>
          <w:sz w:val="24"/>
          <w:szCs w:val="24"/>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b w:val="1"/>
          <w:bCs w:val="1"/>
          <w:sz w:val="24"/>
          <w:szCs w:val="24"/>
          <w:rtl w:val="0"/>
          <w:lang w:val="en-US"/>
        </w:rPr>
        <w:t>Infographic Source File</w:t>
      </w:r>
      <w:r>
        <w:rPr>
          <w:rFonts w:ascii="Times Roman" w:hAnsi="Times Roman"/>
          <w:sz w:val="24"/>
          <w:szCs w:val="24"/>
          <w:rtl w:val="0"/>
          <w:lang w:val="en-US"/>
        </w:rPr>
        <w:t>: Barred_from_Housing_Subsidies.png (on file)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This chart reinforce the call for:</w:t>
      </w:r>
    </w:p>
    <w:p>
      <w:pPr>
        <w:pStyle w:val="Default"/>
        <w:numPr>
          <w:ilvl w:val="0"/>
          <w:numId w:val="12"/>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A Local Flexibility Voucher Pilot</w:t>
      </w:r>
    </w:p>
    <w:p>
      <w:pPr>
        <w:pStyle w:val="Default"/>
        <w:numPr>
          <w:ilvl w:val="0"/>
          <w:numId w:val="12"/>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Mixed-status firewall protections</w:t>
      </w:r>
    </w:p>
    <w:p>
      <w:pPr>
        <w:pStyle w:val="Default"/>
        <w:numPr>
          <w:ilvl w:val="0"/>
          <w:numId w:val="12"/>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Disability-access quotas in all publicly funded housing</w:t>
      </w:r>
    </w:p>
    <w:p>
      <w:pPr>
        <w:pStyle w:val="Default"/>
        <w:numPr>
          <w:ilvl w:val="0"/>
          <w:numId w:val="12"/>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Expanded funding for Aging-in-Place retrofits</w:t>
      </w:r>
    </w:p>
    <w:p>
      <w:pPr>
        <w:pStyle w:val="Default"/>
        <w:numPr>
          <w:ilvl w:val="0"/>
          <w:numId w:val="12"/>
        </w:numPr>
        <w:suppressAutoHyphens w:val="1"/>
        <w:spacing w:before="0" w:after="240" w:line="240" w:lineRule="auto"/>
        <w:jc w:val="left"/>
        <w:rPr>
          <w:rFonts w:ascii="Times Roman" w:hAnsi="Times Roman"/>
          <w:sz w:val="24"/>
          <w:szCs w:val="24"/>
          <w:lang w:val="en-US"/>
        </w:rPr>
      </w:pPr>
      <w:r>
        <w:rPr>
          <w:rFonts w:ascii="Times Roman" w:hAnsi="Times Roman"/>
          <w:sz w:val="24"/>
          <w:szCs w:val="24"/>
          <w:rtl w:val="0"/>
          <w:lang w:val="en-US"/>
        </w:rPr>
        <w:t>Single-parent and trauma-informed eligibility criteria</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For corresponding legislative references, see Section VII: Policy Amendments and the Case Study on Legal Exclusion.</w:t>
      </w:r>
    </w:p>
    <w:p>
      <w:pPr>
        <w:pStyle w:val="Default"/>
        <w:suppressAutoHyphens w:val="1"/>
        <w:spacing w:before="0" w:after="240" w:line="240" w:lineRule="auto"/>
        <w:rPr>
          <w:rFonts w:ascii="Times Roman" w:cs="Times Roman" w:hAnsi="Times Roman" w:eastAsia="Times Roman"/>
          <w:i w:val="1"/>
          <w:iCs w:val="1"/>
          <w:sz w:val="24"/>
          <w:szCs w:val="24"/>
        </w:rPr>
      </w:pPr>
    </w:p>
    <w:p>
      <w:pPr>
        <w:pStyle w:val="Body"/>
        <w:bidi w:val="0"/>
      </w:pPr>
    </w:p>
    <w:p>
      <w:pPr>
        <w:pStyle w:val="Body"/>
        <w:bidi w:val="0"/>
      </w:pPr>
    </w:p>
    <w:p>
      <w:pPr>
        <w:pStyle w:val="Body"/>
        <w:bidi w:val="0"/>
      </w:pPr>
    </w:p>
    <w:p>
      <w:pPr>
        <w:pStyle w:val="Body"/>
        <w:bidi w:val="0"/>
      </w:pPr>
      <w:r>
        <w:rPr>
          <w:rtl w:val="0"/>
        </w:rPr>
        <w:t xml:space="preserve">                            </w:t>
      </w:r>
      <w:r>
        <w:rPr>
          <w:rFonts w:ascii="Arial Unicode MS" w:cs="Arial Unicode MS" w:hAnsi="Arial Unicode MS" w:eastAsia="Arial Unicode MS"/>
          <w:b w:val="0"/>
          <w:bCs w:val="0"/>
          <w:i w:val="0"/>
          <w:iCs w:val="0"/>
        </w:rPr>
        <w:br w:type="page"/>
      </w:r>
    </w:p>
    <w:p>
      <w:pPr>
        <w:pStyle w:val="Default"/>
        <w:suppressAutoHyphens w:val="1"/>
        <w:spacing w:before="0" w:after="299" w:line="240" w:lineRule="auto"/>
        <w:jc w:val="center"/>
        <w:rPr>
          <w:rFonts w:ascii="Times Roman" w:cs="Times Roman" w:hAnsi="Times Roman" w:eastAsia="Times Roman"/>
          <w:b w:val="1"/>
          <w:bCs w:val="1"/>
          <w:sz w:val="36"/>
          <w:szCs w:val="36"/>
        </w:rPr>
      </w:pPr>
      <w:r>
        <w:rPr>
          <w:rFonts w:ascii="Times Roman" w:hAnsi="Times Roman"/>
          <w:b w:val="1"/>
          <w:bCs w:val="1"/>
          <w:sz w:val="36"/>
          <w:szCs w:val="36"/>
          <w:rtl w:val="0"/>
          <w:lang w:val="fr-FR"/>
        </w:rPr>
        <w:t>References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Alba, R. D., &amp; Logan, J. R. (1992). Assimilation and stratification in the homeownership patterns of racial and ethnic groups. </w:t>
      </w:r>
      <w:r>
        <w:rPr>
          <w:rFonts w:ascii="Times Roman" w:hAnsi="Times Roman"/>
          <w:i w:val="1"/>
          <w:iCs w:val="1"/>
          <w:sz w:val="24"/>
          <w:szCs w:val="24"/>
          <w:rtl w:val="0"/>
          <w:lang w:val="en-US"/>
        </w:rPr>
        <w:t>International Migration Review, 26</w:t>
      </w:r>
      <w:r>
        <w:rPr>
          <w:rFonts w:ascii="Times Roman" w:hAnsi="Times Roman"/>
          <w:sz w:val="24"/>
          <w:szCs w:val="24"/>
          <w:rtl w:val="0"/>
        </w:rPr>
        <w:t>(4), 1314</w:t>
      </w:r>
      <w:r>
        <w:rPr>
          <w:rFonts w:ascii="Times Roman" w:hAnsi="Times Roman" w:hint="default"/>
          <w:sz w:val="24"/>
          <w:szCs w:val="24"/>
          <w:rtl w:val="0"/>
        </w:rPr>
        <w:t>–</w:t>
      </w:r>
      <w:r>
        <w:rPr>
          <w:rFonts w:ascii="Times Roman" w:hAnsi="Times Roman"/>
          <w:sz w:val="24"/>
          <w:szCs w:val="24"/>
          <w:rtl w:val="0"/>
        </w:rPr>
        <w:t>1340.</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Chernick, H., Reschovsky, A., &amp; Newman, S. (2021). The fiscal effects of the housing crisis on central cities. </w:t>
      </w:r>
      <w:r>
        <w:rPr>
          <w:rFonts w:ascii="Times Roman" w:hAnsi="Times Roman"/>
          <w:i w:val="1"/>
          <w:iCs w:val="1"/>
          <w:sz w:val="24"/>
          <w:szCs w:val="24"/>
          <w:rtl w:val="0"/>
          <w:lang w:val="en-US"/>
        </w:rPr>
        <w:t>Journal of Urban Economics, 126</w:t>
      </w:r>
      <w:r>
        <w:rPr>
          <w:rFonts w:ascii="Times Roman" w:hAnsi="Times Roman"/>
          <w:sz w:val="24"/>
          <w:szCs w:val="24"/>
          <w:rtl w:val="0"/>
        </w:rPr>
        <w:t>, 103374. https://doi.org/10.1016/j.jue.2021.103374</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Dubb, S. (2020). LISC at 40: Coming to terms with the limits of markets. </w:t>
      </w:r>
      <w:r>
        <w:rPr>
          <w:rFonts w:ascii="Times Roman" w:hAnsi="Times Roman"/>
          <w:i w:val="1"/>
          <w:iCs w:val="1"/>
          <w:sz w:val="24"/>
          <w:szCs w:val="24"/>
          <w:rtl w:val="0"/>
          <w:lang w:val="en-US"/>
        </w:rPr>
        <w:t>Nonprofit Quarterly</w:t>
      </w:r>
      <w:r>
        <w:rPr>
          <w:rFonts w:ascii="Times Roman" w:hAnsi="Times Roman"/>
          <w:sz w:val="24"/>
          <w:szCs w:val="24"/>
          <w:rtl w:val="0"/>
          <w:lang w:val="en-US"/>
        </w:rPr>
        <w:t>. Retrieved from https://nonprofitquarterly.org/lisc-at-40-coming-to-terms-with-the-limits-of-markets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Elmelech, Y. (2004). Housing inequality in New York City: Racial and ethnic disparities in homeownership and shelter-cost burden. </w:t>
      </w:r>
      <w:r>
        <w:rPr>
          <w:rFonts w:ascii="Times Roman" w:hAnsi="Times Roman"/>
          <w:i w:val="1"/>
          <w:iCs w:val="1"/>
          <w:sz w:val="24"/>
          <w:szCs w:val="24"/>
          <w:rtl w:val="0"/>
          <w:lang w:val="en-US"/>
        </w:rPr>
        <w:t>Housing, Theory and Society, 21</w:t>
      </w:r>
      <w:r>
        <w:rPr>
          <w:rFonts w:ascii="Times Roman" w:hAnsi="Times Roman"/>
          <w:sz w:val="24"/>
          <w:szCs w:val="24"/>
          <w:rtl w:val="0"/>
        </w:rPr>
        <w:t>(4), 163</w:t>
      </w:r>
      <w:r>
        <w:rPr>
          <w:rFonts w:ascii="Times Roman" w:hAnsi="Times Roman" w:hint="default"/>
          <w:sz w:val="24"/>
          <w:szCs w:val="24"/>
          <w:rtl w:val="0"/>
        </w:rPr>
        <w:t>–</w:t>
      </w:r>
      <w:r>
        <w:rPr>
          <w:rFonts w:ascii="Times Roman" w:hAnsi="Times Roman"/>
          <w:sz w:val="24"/>
          <w:szCs w:val="24"/>
          <w:rtl w:val="0"/>
          <w:lang w:val="en-US"/>
        </w:rPr>
        <w:t>175. https://doi.org/10.1080/14036090410001319</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0"/>
          <w:iCs w:val="0"/>
          <w:sz w:val="24"/>
          <w:szCs w:val="24"/>
          <w:rtl w:val="0"/>
          <w:lang w:val="en-US"/>
        </w:rPr>
        <w:t xml:space="preserve">Ford Foundation. (1989). </w:t>
      </w:r>
      <w:r>
        <w:rPr>
          <w:rFonts w:ascii="Times Roman" w:hAnsi="Times Roman"/>
          <w:i w:val="1"/>
          <w:iCs w:val="1"/>
          <w:sz w:val="24"/>
          <w:szCs w:val="24"/>
          <w:rtl w:val="0"/>
          <w:lang w:val="en-US"/>
        </w:rPr>
        <w:t>Affordable housing: The years ahead</w:t>
      </w:r>
      <w:r>
        <w:rPr>
          <w:rFonts w:ascii="Times Roman" w:hAnsi="Times Roman"/>
          <w:i w:val="0"/>
          <w:iCs w:val="0"/>
          <w:sz w:val="24"/>
          <w:szCs w:val="24"/>
          <w:rtl w:val="0"/>
          <w:lang w:val="en-US"/>
        </w:rPr>
        <w:t>. New York, NY: Ford Foundation.</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0"/>
          <w:iCs w:val="0"/>
          <w:sz w:val="24"/>
          <w:szCs w:val="24"/>
          <w:rtl w:val="0"/>
          <w:lang w:val="it-IT"/>
        </w:rPr>
        <w:t xml:space="preserve">Logan, J. R., &amp; Molotch, H. L. (1987). </w:t>
      </w:r>
      <w:r>
        <w:rPr>
          <w:rFonts w:ascii="Times Roman" w:hAnsi="Times Roman"/>
          <w:i w:val="1"/>
          <w:iCs w:val="1"/>
          <w:sz w:val="24"/>
          <w:szCs w:val="24"/>
          <w:rtl w:val="0"/>
          <w:lang w:val="en-US"/>
        </w:rPr>
        <w:t>Urban fortunes: The political economy of place.</w:t>
      </w:r>
      <w:r>
        <w:rPr>
          <w:rFonts w:ascii="Times Roman" w:hAnsi="Times Roman"/>
          <w:i w:val="0"/>
          <w:iCs w:val="0"/>
          <w:sz w:val="24"/>
          <w:szCs w:val="24"/>
          <w:rtl w:val="0"/>
          <w:lang w:val="en-US"/>
        </w:rPr>
        <w:t xml:space="preserve"> Berkeley, CA: University of California Press.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de-DE"/>
        </w:rPr>
        <w:t xml:space="preserve">Lubell, J., Gubits, D., Paulen, L., Dastrup, S., Travis, A., McInnis, D., &amp; Lo, L. (2025). </w:t>
      </w:r>
      <w:r>
        <w:rPr>
          <w:rFonts w:ascii="Times Roman" w:hAnsi="Times Roman"/>
          <w:i w:val="1"/>
          <w:iCs w:val="1"/>
          <w:sz w:val="24"/>
          <w:szCs w:val="24"/>
          <w:rtl w:val="0"/>
          <w:lang w:val="en-US"/>
        </w:rPr>
        <w:t>Rapid Cycle Evaluation Report: An Early Look at the Community Choice Demonstration.</w:t>
      </w:r>
      <w:r>
        <w:rPr>
          <w:rFonts w:ascii="Times Roman" w:hAnsi="Times Roman"/>
          <w:sz w:val="24"/>
          <w:szCs w:val="24"/>
          <w:rtl w:val="0"/>
          <w:lang w:val="en-US"/>
        </w:rPr>
        <w:t xml:space="preserve"> U.S. Department of Housing and Urban Development (HUD). Retrieved from https://huduser.gov/portal/publications/rapid-cycle-community-choice.html</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0"/>
          <w:iCs w:val="0"/>
          <w:sz w:val="24"/>
          <w:szCs w:val="24"/>
          <w:rtl w:val="0"/>
          <w:lang w:val="it-IT"/>
        </w:rPr>
        <w:t xml:space="preserve">Oliver, M. L., &amp; Shapiro, T. M. (1995). </w:t>
      </w:r>
      <w:r>
        <w:rPr>
          <w:rFonts w:ascii="Times Roman" w:hAnsi="Times Roman"/>
          <w:i w:val="1"/>
          <w:iCs w:val="1"/>
          <w:sz w:val="24"/>
          <w:szCs w:val="24"/>
          <w:rtl w:val="0"/>
          <w:lang w:val="en-US"/>
        </w:rPr>
        <w:t>Black wealth/White wealth: A new perspective on racial inequality.</w:t>
      </w:r>
      <w:r>
        <w:rPr>
          <w:rFonts w:ascii="Times Roman" w:hAnsi="Times Roman"/>
          <w:i w:val="0"/>
          <w:iCs w:val="0"/>
          <w:sz w:val="24"/>
          <w:szCs w:val="24"/>
          <w:rtl w:val="0"/>
          <w:lang w:val="en-US"/>
        </w:rPr>
        <w:t xml:space="preserve"> New York, NY: Routledge.</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Rosenbaum, E. (1994). The constraints on minority housing choices, New York City 1978</w:t>
      </w:r>
      <w:r>
        <w:rPr>
          <w:rFonts w:ascii="Times Roman" w:hAnsi="Times Roman" w:hint="default"/>
          <w:sz w:val="24"/>
          <w:szCs w:val="24"/>
          <w:rtl w:val="0"/>
        </w:rPr>
        <w:t>–</w:t>
      </w:r>
      <w:r>
        <w:rPr>
          <w:rFonts w:ascii="Times Roman" w:hAnsi="Times Roman"/>
          <w:sz w:val="24"/>
          <w:szCs w:val="24"/>
          <w:rtl w:val="0"/>
        </w:rPr>
        <w:t xml:space="preserve">1987. </w:t>
      </w:r>
      <w:r>
        <w:rPr>
          <w:rFonts w:ascii="Times Roman" w:hAnsi="Times Roman"/>
          <w:i w:val="1"/>
          <w:iCs w:val="1"/>
          <w:sz w:val="24"/>
          <w:szCs w:val="24"/>
          <w:rtl w:val="0"/>
          <w:lang w:val="fr-FR"/>
        </w:rPr>
        <w:t>Social Forces, 72</w:t>
      </w:r>
      <w:r>
        <w:rPr>
          <w:rFonts w:ascii="Times Roman" w:hAnsi="Times Roman"/>
          <w:sz w:val="24"/>
          <w:szCs w:val="24"/>
          <w:rtl w:val="0"/>
        </w:rPr>
        <w:t>(3), 725</w:t>
      </w:r>
      <w:r>
        <w:rPr>
          <w:rFonts w:ascii="Times Roman" w:hAnsi="Times Roman" w:hint="default"/>
          <w:sz w:val="24"/>
          <w:szCs w:val="24"/>
          <w:rtl w:val="0"/>
        </w:rPr>
        <w:t>–</w:t>
      </w:r>
      <w:r>
        <w:rPr>
          <w:rFonts w:ascii="Times Roman" w:hAnsi="Times Roman"/>
          <w:sz w:val="24"/>
          <w:szCs w:val="24"/>
          <w:rtl w:val="0"/>
        </w:rPr>
        <w:t>747.</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Sassen, S. (1990). Economic restructuring and the American city. </w:t>
      </w:r>
      <w:r>
        <w:rPr>
          <w:rFonts w:ascii="Times Roman" w:hAnsi="Times Roman"/>
          <w:i w:val="1"/>
          <w:iCs w:val="1"/>
          <w:sz w:val="24"/>
          <w:szCs w:val="24"/>
          <w:rtl w:val="0"/>
          <w:lang w:val="en-US"/>
        </w:rPr>
        <w:t>Annual Review of Sociology, 16</w:t>
      </w:r>
      <w:r>
        <w:rPr>
          <w:rFonts w:ascii="Times Roman" w:hAnsi="Times Roman"/>
          <w:sz w:val="24"/>
          <w:szCs w:val="24"/>
          <w:rtl w:val="0"/>
        </w:rPr>
        <w:t>, 465</w:t>
      </w:r>
      <w:r>
        <w:rPr>
          <w:rFonts w:ascii="Times Roman" w:hAnsi="Times Roman" w:hint="default"/>
          <w:sz w:val="24"/>
          <w:szCs w:val="24"/>
          <w:rtl w:val="0"/>
        </w:rPr>
        <w:t>–</w:t>
      </w:r>
      <w:r>
        <w:rPr>
          <w:rFonts w:ascii="Times Roman" w:hAnsi="Times Roman"/>
          <w:sz w:val="24"/>
          <w:szCs w:val="24"/>
          <w:rtl w:val="0"/>
        </w:rPr>
        <w:t>490.</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Schill, M., Friedman, S., &amp; Rosenbaum, E. (1998). The housing conditions of immigrants in New York City. </w:t>
      </w:r>
      <w:r>
        <w:rPr>
          <w:rFonts w:ascii="Times Roman" w:hAnsi="Times Roman"/>
          <w:i w:val="1"/>
          <w:iCs w:val="1"/>
          <w:sz w:val="24"/>
          <w:szCs w:val="24"/>
          <w:rtl w:val="0"/>
          <w:lang w:val="en-US"/>
        </w:rPr>
        <w:t>Journal of Housing Research, 9</w:t>
      </w:r>
      <w:r>
        <w:rPr>
          <w:rFonts w:ascii="Times Roman" w:hAnsi="Times Roman"/>
          <w:sz w:val="24"/>
          <w:szCs w:val="24"/>
          <w:rtl w:val="0"/>
        </w:rPr>
        <w:t>(2), 201</w:t>
      </w:r>
      <w:r>
        <w:rPr>
          <w:rFonts w:ascii="Times Roman" w:hAnsi="Times Roman" w:hint="default"/>
          <w:sz w:val="24"/>
          <w:szCs w:val="24"/>
          <w:rtl w:val="0"/>
        </w:rPr>
        <w:t>–</w:t>
      </w:r>
      <w:r>
        <w:rPr>
          <w:rFonts w:ascii="Times Roman" w:hAnsi="Times Roman"/>
          <w:sz w:val="24"/>
          <w:szCs w:val="24"/>
          <w:rtl w:val="0"/>
        </w:rPr>
        <w:t>235.</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 xml:space="preserve">Skidmore, M., Alm, J., &amp; Anenberg, E. (2011). Causes and consequences of fiscal stress in Michigan cities. </w:t>
      </w:r>
      <w:r>
        <w:rPr>
          <w:rFonts w:ascii="Times Roman" w:hAnsi="Times Roman"/>
          <w:i w:val="1"/>
          <w:iCs w:val="1"/>
          <w:sz w:val="24"/>
          <w:szCs w:val="24"/>
          <w:rtl w:val="0"/>
          <w:lang w:val="en-US"/>
        </w:rPr>
        <w:t>Regional Science and Urban Economics.</w:t>
      </w:r>
    </w:p>
    <w:p>
      <w:pPr>
        <w:pStyle w:val="Default"/>
        <w:suppressAutoHyphens w:val="1"/>
        <w:spacing w:before="0" w:after="240" w:line="240" w:lineRule="auto"/>
        <w:rPr>
          <w:rFonts w:ascii="Times Roman" w:cs="Times Roman" w:hAnsi="Times Roman" w:eastAsia="Times Roman"/>
          <w:i w:val="0"/>
          <w:iCs w:val="0"/>
          <w:sz w:val="24"/>
          <w:szCs w:val="24"/>
        </w:rPr>
      </w:pPr>
      <w:r>
        <w:rPr>
          <w:rFonts w:ascii="Times Roman" w:hAnsi="Times Roman"/>
          <w:i w:val="0"/>
          <w:iCs w:val="0"/>
          <w:sz w:val="24"/>
          <w:szCs w:val="24"/>
          <w:rtl w:val="0"/>
          <w:lang w:val="en-US"/>
        </w:rPr>
        <w:t xml:space="preserve">United States Department of Commerce. (2003). </w:t>
      </w:r>
      <w:r>
        <w:rPr>
          <w:rFonts w:ascii="Times Roman" w:hAnsi="Times Roman"/>
          <w:i w:val="1"/>
          <w:iCs w:val="1"/>
          <w:sz w:val="24"/>
          <w:szCs w:val="24"/>
          <w:rtl w:val="0"/>
          <w:lang w:val="en-US"/>
        </w:rPr>
        <w:t>Net worth and asset ownership of households: 1998 and 2000</w:t>
      </w:r>
      <w:r>
        <w:rPr>
          <w:rFonts w:ascii="Times Roman" w:hAnsi="Times Roman"/>
          <w:i w:val="0"/>
          <w:iCs w:val="0"/>
          <w:sz w:val="24"/>
          <w:szCs w:val="24"/>
          <w:rtl w:val="0"/>
          <w:lang w:val="en-US"/>
        </w:rPr>
        <w:t>. Bureau of the Census.</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NYU Furman Center. (2022). State of New York City</w:t>
      </w:r>
      <w:r>
        <w:rPr>
          <w:rFonts w:ascii="Times Roman" w:hAnsi="Times Roman" w:hint="default"/>
          <w:sz w:val="24"/>
          <w:szCs w:val="24"/>
          <w:rtl w:val="1"/>
        </w:rPr>
        <w:t>’</w:t>
      </w:r>
      <w:r>
        <w:rPr>
          <w:rFonts w:ascii="Times Roman" w:hAnsi="Times Roman"/>
          <w:sz w:val="24"/>
          <w:szCs w:val="24"/>
          <w:rtl w:val="0"/>
          <w:lang w:val="en-US"/>
        </w:rPr>
        <w:t>s Housing and Neighborhoods in 2022. Retrieved from https://furmancenter.org/research/sonychan</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U.S. Department of Housing and Urban Development. (2025). Rapid Cycle Evaluation of Community Choice Demonstration. Retrieved from https://huduser.gov/portal/publications/rapid-cycle-community-choice.html</w:t>
      </w:r>
    </w:p>
    <w:p>
      <w:pPr>
        <w:pStyle w:val="Default"/>
        <w:suppressAutoHyphens w:val="1"/>
        <w:spacing w:before="0" w:after="240" w:line="240" w:lineRule="auto"/>
        <w:rPr>
          <w:rFonts w:ascii="Times Roman" w:cs="Times Roman" w:hAnsi="Times Roman" w:eastAsia="Times Roman"/>
          <w:sz w:val="24"/>
          <w:szCs w:val="24"/>
        </w:rPr>
      </w:pPr>
      <w:r>
        <w:rPr>
          <w:rFonts w:ascii="Times Roman" w:hAnsi="Times Roman"/>
          <w:sz w:val="24"/>
          <w:szCs w:val="24"/>
          <w:rtl w:val="0"/>
          <w:lang w:val="en-US"/>
        </w:rPr>
        <w:t>Demonstration. Retrieved from https://huduser.gov/portal/publications/rapid-cycle-community-choice.html</w:t>
      </w:r>
    </w:p>
    <w:p>
      <w:pPr>
        <w:pStyle w:val="Default"/>
        <w:suppressAutoHyphens w:val="1"/>
        <w:spacing w:before="0" w:after="240" w:line="240" w:lineRule="auto"/>
        <w:rPr>
          <w:rFonts w:ascii="Times Roman" w:cs="Times Roman" w:hAnsi="Times Roman" w:eastAsia="Times Roman"/>
          <w:sz w:val="24"/>
          <w:szCs w:val="24"/>
        </w:rPr>
      </w:pPr>
    </w:p>
    <w:p>
      <w:pPr>
        <w:pStyle w:val="Default"/>
        <w:suppressAutoHyphens w:val="1"/>
        <w:spacing w:before="0" w:after="240" w:line="240" w:lineRule="auto"/>
        <w:rPr>
          <w:rFonts w:ascii="Times Roman" w:cs="Times Roman" w:hAnsi="Times Roman" w:eastAsia="Times Roman"/>
          <w:sz w:val="24"/>
          <w:szCs w:val="24"/>
        </w:rPr>
      </w:pPr>
    </w:p>
    <w:p>
      <w:pPr>
        <w:pStyle w:val="Default"/>
        <w:suppressAutoHyphens w:val="1"/>
        <w:spacing w:before="0" w:line="240" w:lineRule="auto"/>
      </w:pPr>
      <w:r>
        <w:rPr>
          <w:rFonts w:ascii="Times Roman" w:cs="Times Roman" w:hAnsi="Times Roman" w:eastAsia="Times Roman"/>
          <w:outline w:val="0"/>
          <w:color w:val="808080"/>
          <w:sz w:val="24"/>
          <w:szCs w:val="24"/>
          <w14:textFill>
            <w14:solidFill>
              <w14:srgbClr w14:val="808080"/>
            </w14:solidFill>
          </w14:textFill>
        </w:rPr>
      </w:r>
    </w:p>
    <w:sectPr>
      <w:headerReference w:type="default" r:id="rId5"/>
      <w:footerReference w:type="default" r:id="rId6"/>
      <w:pgSz w:w="12240" w:h="15840" w:orient="portrait"/>
      <w:pgMar w:top="1440" w:right="720" w:bottom="1080" w:left="720" w:header="1440" w:footer="14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0"/>
  </w:abstractNum>
  <w:abstractNum w:abstractNumId="1">
    <w:multiLevelType w:val="hybridMultilevel"/>
    <w:styleLink w:val="Bullet.0"/>
    <w:lvl w:ilvl="0">
      <w:start w:val="1"/>
      <w:numFmt w:val="bullet"/>
      <w:suff w:val="tab"/>
      <w:lvlText w:val="•"/>
      <w:lvlJc w:val="left"/>
      <w:pPr>
        <w:tabs>
          <w:tab w:val="num" w:pos="720"/>
        </w:tabs>
        <w:ind w:left="115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940"/>
        </w:tabs>
        <w:ind w:left="137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num" w:pos="1160"/>
        </w:tabs>
        <w:ind w:left="159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num" w:pos="1380"/>
        </w:tabs>
        <w:ind w:left="181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num" w:pos="1600"/>
        </w:tabs>
        <w:ind w:left="203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num" w:pos="1820"/>
        </w:tabs>
        <w:ind w:left="225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num" w:pos="2040"/>
        </w:tabs>
        <w:ind w:left="247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num" w:pos="2260"/>
        </w:tabs>
        <w:ind w:left="269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num" w:pos="2480"/>
        </w:tabs>
        <w:ind w:left="2912" w:hanging="93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bullet"/>
        <w:suff w:val="tab"/>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2"/>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000000"/>
      <w:spacing w:val="5"/>
      <w:kern w:val="0"/>
      <w:position w:val="0"/>
      <w:sz w:val="30"/>
      <w:szCs w:val="30"/>
      <w:u w:val="none"/>
      <w:shd w:val="nil" w:color="auto" w:fill="auto"/>
      <w:vertAlign w:val="baseline"/>
      <w:lang w:val="en-US"/>
      <w14:textOutline>
        <w14:noFill/>
      </w14:textOutline>
      <w14:textFill>
        <w14:solidFill>
          <w14:srgbClr w14:val="000000"/>
        </w14:solidFill>
      </w14:textFill>
    </w:rPr>
  </w:style>
  <w:style w:type="character" w:styleId="Italic">
    <w:name w:val="Italic"/>
    <w:rPr>
      <w:i w:val="1"/>
      <w:iCs w:val="1"/>
      <w:lang w:val="en-US"/>
    </w:rPr>
  </w:style>
  <w:style w:type="paragraph" w:styleId="Heading 2">
    <w:name w:val="Heading 2"/>
    <w:next w:val="Body"/>
    <w:pPr>
      <w:keepNext w:val="1"/>
      <w:keepLines w:val="0"/>
      <w:pageBreakBefore w:val="0"/>
      <w:widowControl w:val="1"/>
      <w:shd w:val="clear" w:color="auto" w:fill="auto"/>
      <w:suppressAutoHyphens w:val="0"/>
      <w:bidi w:val="0"/>
      <w:spacing w:before="0" w:after="0" w:line="48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4"/>
      <w:szCs w:val="34"/>
      <w:u w:val="none"/>
      <w:shd w:val="nil" w:color="auto" w:fill="auto"/>
      <w:vertAlign w:val="baseline"/>
      <w:lang w:val="en-US"/>
      <w14:textOutline>
        <w14:noFill/>
      </w14:textOutline>
      <w14:textFill>
        <w14:solidFill>
          <w14:srgbClr w14:val="000000"/>
        </w14:solidFill>
      </w14:textFill>
    </w:rPr>
  </w:style>
  <w:style w:type="paragraph" w:styleId="Bullet">
    <w:name w:val="Bullet"/>
    <w:next w:val="Bullet"/>
    <w:pPr>
      <w:keepNext w:val="0"/>
      <w:keepLines w:val="0"/>
      <w:pageBreakBefore w:val="0"/>
      <w:widowControl w:val="1"/>
      <w:shd w:val="clear" w:color="auto" w:fill="auto"/>
      <w:suppressAutoHyphens w:val="0"/>
      <w:bidi w:val="0"/>
      <w:spacing w:before="0" w:after="0" w:line="480" w:lineRule="auto"/>
      <w:ind w:left="432" w:right="0" w:hanging="72"/>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0">
    <w:name w:val="Bullet.0"/>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4"/>
      </w:numPr>
    </w:pPr>
  </w:style>
  <w:style w:type="paragraph" w:styleId="Category">
    <w:name w:val="Category"/>
    <w:next w:val="Category"/>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Times New Roman" w:cs="Arial Unicode MS" w:hAnsi="Times New Roman" w:eastAsia="Arial Unicode MS"/>
      <w:b w:val="1"/>
      <w:bCs w:val="1"/>
      <w:i w:val="0"/>
      <w:iCs w:val="0"/>
      <w:caps w:val="1"/>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Description">
    <w:name w:val="Description"/>
    <w:next w:val="Description"/>
    <w:pPr>
      <w:keepNext w:val="0"/>
      <w:keepLines w:val="0"/>
      <w:pageBreakBefore w:val="0"/>
      <w:widowControl w:val="1"/>
      <w:shd w:val="clear" w:color="auto" w:fill="auto"/>
      <w:suppressAutoHyphens w:val="0"/>
      <w:bidi w:val="0"/>
      <w:spacing w:before="0" w:after="180" w:line="336" w:lineRule="auto"/>
      <w:ind w:left="0" w:right="0" w:firstLine="0"/>
      <w:jc w:val="left"/>
      <w:outlineLvl w:val="9"/>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Appendix">
    <w:name w:val="Appendix"/>
    <w:next w:val="Body"/>
    <w:pPr>
      <w:keepNext w:val="1"/>
      <w:keepLines w:val="0"/>
      <w:pageBreakBefore w:val="0"/>
      <w:widowControl w:val="1"/>
      <w:shd w:val="clear" w:color="auto" w:fill="auto"/>
      <w:suppressAutoHyphens w:val="0"/>
      <w:bidi w:val="0"/>
      <w:spacing w:before="0" w:after="0" w:line="48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shd w:val="nil" w:color="auto" w:fill="auto"/>
      <w:vertAlign w:val="baseline"/>
      <w:lang w:val="da-DK"/>
      <w14:textOutline>
        <w14:noFill/>
      </w14:textOutline>
      <w14:textFill>
        <w14:solidFill>
          <w14:srgbClr w14:val="000000"/>
        </w14:solidFill>
      </w14:textFill>
    </w:rPr>
  </w:style>
  <w:style w:type="character" w:styleId="Emphasis">
    <w:name w:val="Emphasis"/>
    <w:rPr>
      <w:b w:val="1"/>
      <w:bCs w:val="1"/>
      <w:lang w:val="da-DK"/>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