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H: Public Equity Transfer Framework Diagram</w:t>
      </w:r>
    </w:p>
    <w:p>
      <w:r>
        <w:t>Ownership Pathway Framework: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Subsidized Tenant</w:t>
              <w:br/>
              <w:t>Receives HAVP</w:t>
            </w:r>
          </w:p>
        </w:tc>
        <w:tc>
          <w:tcPr>
            <w:tcW w:type="dxa" w:w="2160"/>
          </w:tcPr>
          <w:p>
            <w:r>
              <w:t>Rent-to-Own Lease</w:t>
              <w:br/>
              <w:t>(3–5 Year Phase)</w:t>
            </w:r>
          </w:p>
        </w:tc>
        <w:tc>
          <w:tcPr>
            <w:tcW w:type="dxa" w:w="2160"/>
          </w:tcPr>
          <w:p>
            <w:r>
              <w:t>Co-op Membership</w:t>
              <w:br/>
              <w:t>&amp; Governance Vote</w:t>
            </w:r>
          </w:p>
        </w:tc>
        <w:tc>
          <w:tcPr>
            <w:tcW w:type="dxa" w:w="2160"/>
          </w:tcPr>
          <w:p>
            <w:r>
              <w:t>Intergenerational</w:t>
              <w:br/>
              <w:t>Wealth</w:t>
            </w:r>
          </w:p>
        </w:tc>
      </w:tr>
      <w:tr>
        <w:tc>
          <w:tcPr>
            <w:tcW w:type="dxa" w:w="2160"/>
          </w:tcPr>
          <w:p>
            <w:r>
              <w:t>→</w:t>
            </w:r>
          </w:p>
        </w:tc>
        <w:tc>
          <w:tcPr>
            <w:tcW w:type="dxa" w:w="2160"/>
          </w:tcPr>
          <w:p>
            <w:r>
              <w:t>→</w:t>
            </w:r>
          </w:p>
        </w:tc>
        <w:tc>
          <w:tcPr>
            <w:tcW w:type="dxa" w:w="2160"/>
          </w:tcPr>
          <w:p>
            <w:r>
              <w:t>→</w:t>
            </w:r>
          </w:p>
        </w:tc>
        <w:tc>
          <w:tcPr>
            <w:tcW w:type="dxa" w:w="2160"/>
          </w:tcPr>
          <w:p>
            <w:r>
              <w:t>→</w:t>
            </w:r>
          </w:p>
        </w:tc>
      </w:tr>
    </w:tbl>
    <w:p>
      <w:r>
        <w:br/>
        <w:t>NOTES:</w:t>
      </w:r>
    </w:p>
    <w:p>
      <w:r>
        <w:t>- Tenants retain rental protections while equity builds</w:t>
      </w:r>
    </w:p>
    <w:p>
      <w:r>
        <w:t>- Monthly rent converts partially into down payment credit</w:t>
      </w:r>
    </w:p>
    <w:p>
      <w:r>
        <w:t>- Tenant HOA votes determine repair, budget, and buyout planning</w:t>
      </w:r>
    </w:p>
    <w:p>
      <w:r>
        <w:t>- Credit unions and city funds support low-interest financing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