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Briefing Memo: Housing Subsidy Reform</w:t>
      </w:r>
    </w:p>
    <w:p>
      <w:pPr>
        <w:pStyle w:val="Heading1"/>
      </w:pPr>
      <w:r>
        <w:t>To:</w:t>
      </w:r>
    </w:p>
    <w:p>
      <w:r>
        <w:t>City Council Members, NYC Office of Management and Budget (OMB), Department of Housing Preservation and Development (HPD)</w:t>
      </w:r>
    </w:p>
    <w:p>
      <w:pPr>
        <w:pStyle w:val="Heading1"/>
      </w:pPr>
      <w:r>
        <w:t>From:</w:t>
      </w:r>
    </w:p>
    <w:p>
      <w:r>
        <w:t>Seth Foss, Housing Equity Policy Advocate</w:t>
      </w:r>
    </w:p>
    <w:p>
      <w:pPr>
        <w:pStyle w:val="Heading1"/>
      </w:pPr>
      <w:r>
        <w:t>Date:</w:t>
      </w:r>
    </w:p>
    <w:p>
      <w:r>
        <w:t>April 08, 2025</w:t>
      </w:r>
    </w:p>
    <w:p>
      <w:pPr>
        <w:pStyle w:val="Heading1"/>
      </w:pPr>
      <w:r>
        <w:t>Subject:</w:t>
      </w:r>
    </w:p>
    <w:p>
      <w:r>
        <w:t>Transforming Rental Subsidies into Equity-Building Tenant Ownership</w:t>
      </w:r>
    </w:p>
    <w:p>
      <w:pPr>
        <w:pStyle w:val="Heading2"/>
      </w:pPr>
      <w:r>
        <w:t>Executive Summary</w:t>
      </w:r>
    </w:p>
    <w:p>
      <w:r>
        <w:t>This proposal advocates shifting housing subsidies away from landlord payouts toward equity investments in tenant-owned cooperatives. The plan targets buildings owned by high-violation landlords and redirects funds currently used for rent into down payments, repairs, and reserve capital. Through this shift, we will reduce reliance on housing court, stabilize communities, and generate long-term ROI through wealth-building mechanisms and reduced public spending.</w:t>
      </w:r>
    </w:p>
    <w:p>
      <w:r>
        <w:br w:type="page"/>
      </w:r>
    </w:p>
    <w:p>
      <w:pPr>
        <w:pStyle w:val="Heading2"/>
      </w:pPr>
      <w:r>
        <w:t>Budget Justification</w:t>
      </w:r>
    </w:p>
    <w:p>
      <w:r>
        <w:t>New York City spends over $750 million annually on rental vouchers, much of which flows to landlords on the Public Advocate's 'Worst Landlords List'. The proposed model reduces long-term costs through cooperative ownership while producing the following gains:</w:t>
      </w:r>
    </w:p>
    <w:p>
      <w:r>
        <w:t>- Up to $350M projected annual savings by 2030 through reduced subsidy reliance.</w:t>
      </w:r>
    </w:p>
    <w:p>
      <w:r>
        <w:t>- Significant decrease in housing court costs—each avoided eviction saves $7,000–$15,000.</w:t>
      </w:r>
    </w:p>
    <w:p>
      <w:r>
        <w:t>- Lower emergency shelter and repair program spending due to stabilized, tenant-managed housing.</w:t>
      </w:r>
    </w:p>
    <w:p>
      <w:r>
        <w:t>- Long-term property stewardship and maintenance driven by co-op member ownership.</w:t>
      </w:r>
    </w:p>
    <w:p>
      <w:r>
        <w:t>This transition strategy is not a new expenditure, but a reclassification of existing funds to yield greater public value. We urge interagency support and HUD engagement to launch the pilot phase and demonstrate scalable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