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Subsidy Reform: A Wealth-Building, Tenant-Ownership Strategy</w:t>
      </w:r>
    </w:p>
    <w:p>
      <w:pPr>
        <w:pStyle w:val="Heading1"/>
      </w:pPr>
      <w:r>
        <w:t>Introduction</w:t>
      </w:r>
    </w:p>
    <w:p>
      <w:r>
        <w:t>This policy proposal outlines a multi-phase housing reform strategy designed to shift away from the current landlord-centered voucher rental model toward a tenant-ownership model. The model draws from community-based approaches, historical cooperative housing models in New York City, and international best practices such as Vienna's public housing system (Forster, 2020). The initiative aims to repurpose existing subsidy structures to create long-term, community-controlled affordable housing, with a focus on marginalized populations who have been systematically excluded from wealth-building opportunities through homeownership (Taylor, 2019).</w:t>
      </w:r>
    </w:p>
    <w:p>
      <w:pPr>
        <w:pStyle w:val="Heading1"/>
      </w:pPr>
      <w:r>
        <w:t>Problem Statement</w:t>
      </w:r>
    </w:p>
    <w:p>
      <w:r>
        <w:t>Rental subsidies in New York City and across the U.S. have long subsidized landlords rather than empowering tenants. Programs like Section 8 result in billions of dollars annually being paid to private property owners, many of whom appear on the New York City Public Advocate’s Worst Landlord List (Office of the Public Advocate, 2024). This model perpetuates instability, disrepair, and racial wealth inequities by directing public funds into the private market without building tenant equity or improving long-term affordability (Desmond &amp; Wilmers, 2019).</w:t>
      </w:r>
    </w:p>
    <w:p>
      <w:pPr>
        <w:pStyle w:val="Heading1"/>
      </w:pPr>
      <w:r>
        <w:t>Proposed Solution</w:t>
      </w:r>
    </w:p>
    <w:p>
      <w:r>
        <w:t>This proposal envisions the transformation of housing vouchers into a tenant-centered, rent-to-own pathway. Funding would be redirected toward down payments, repairs, and HOA or co-op reserve funds. Target properties would include buildings with high voucher density and known violations. Inspired by the Cooper Square Mutual Housing Association and East Harlem/LES CLT, this initiative would create permanent affordability through limited equity models (Cooper Square Committee, 2023).</w:t>
      </w:r>
    </w:p>
    <w:p>
      <w:pPr>
        <w:pStyle w:val="Heading1"/>
      </w:pPr>
      <w:r>
        <w:t>Implementation Framework</w:t>
      </w:r>
    </w:p>
    <w:p>
      <w:r>
        <w:t>- Reallocation of subsidies into tenant-managed cooperative structures.</w:t>
      </w:r>
    </w:p>
    <w:p>
      <w:r>
        <w:t>- 5-year subsidy runway to support transitions, technical assistance, and capital repairs.</w:t>
      </w:r>
    </w:p>
    <w:p>
      <w:r>
        <w:t>- Multi-agency collaboration across NYC HPD, HDC, Right to Counsel, OPA, and DHCR.</w:t>
      </w:r>
    </w:p>
    <w:p>
      <w:r>
        <w:t>- Use of HPD violations and OPA landlord lists to prioritize interventions.</w:t>
      </w:r>
    </w:p>
    <w:p>
      <w:pPr>
        <w:pStyle w:val="Heading1"/>
      </w:pPr>
      <w:r>
        <w:t>Budget Optimization and Return on Investment (ROI)</w:t>
      </w:r>
    </w:p>
    <w:p>
      <w:r>
        <w:t>Current expenditures on housing court, emergency shelter, and tenant defense can be reduced dramatically by transitioning tenants into ownership (Finkel et al., 2022).</w:t>
      </w:r>
    </w:p>
    <w:p>
      <w:r>
        <w:t>Redirecting subsidies into cooperative housing models will reduce eviction filings and administrative court costs. Programs like Right to Counsel have already reduced evictions by 30%; combining this with ownership pathways can push this number higher (Right to Counsel NYC Coalition, 2024).</w:t>
      </w:r>
    </w:p>
    <w:p>
      <w:r>
        <w:t>Each eviction in NYC costs taxpayers an estimated $7,000–$15,000 when factoring court time, shelter use, and emergency services (Desmond &amp; Wilmers, 2019). A shift to ownership could prevent thousands of cases annually.</w:t>
      </w:r>
    </w:p>
    <w:p>
      <w:r>
        <w:t>Repair costs often borne by emergency programs could instead be funded proactively through capital repair grants bundled into co-op conversion packages, reducing long-term maintenance backlogs.</w:t>
      </w:r>
    </w:p>
    <w:p>
      <w:r>
        <w:t>This model represents a form of impact investing: public funds are not lost to rent, but turned into community equity and asset-building tools. Tenants gain ownership, neighborhoods retain long-term affordability, and the city reduces crisis-based housing expenses.</w:t>
      </w:r>
    </w:p>
    <w:p>
      <w:r>
        <w:t>Cost modeling scenarios will compare current subsidy allocations (e.g., annual Section 8 outlays) against phased ownership subsidies to demonstrate projected ROI over a 5- and 10-year period.</w:t>
      </w:r>
    </w:p>
    <w:p>
      <w:pPr>
        <w:pStyle w:val="Heading1"/>
      </w:pPr>
      <w:r>
        <w:t>Next Steps</w:t>
      </w:r>
    </w:p>
    <w:p>
      <w:r>
        <w:t>- Finalize legal memo outlining HUD waiver processes.</w:t>
      </w:r>
    </w:p>
    <w:p>
      <w:r>
        <w:t>- FOIL requests for HPD enforcement data to build prioritization maps.</w:t>
      </w:r>
    </w:p>
    <w:p>
      <w:r>
        <w:t>- Stakeholder sessions with tenants and advocates.</w:t>
      </w:r>
    </w:p>
    <w:p>
      <w:r>
        <w:t>- Begin drafting 2-page memo for policymakers and budget justifications.</w:t>
      </w:r>
    </w:p>
    <w:p>
      <w:r>
        <w:t>- Build fiscal model comparing traditional voucher use to cooperative ROI.</w:t>
      </w:r>
    </w:p>
    <w:p>
      <w:r>
        <w:br/>
        <w:t>Generated on 2025-04-08 – Draft Version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