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Policy Proposal Outline: Housing Subsidy Reform for Tenant-Owned Housing in NYC</w:t>
      </w:r>
    </w:p>
    <w:p>
      <w:pPr>
        <w:pStyle w:val="Heading1"/>
      </w:pPr>
      <w:r>
        <w:t>Executive Summary</w:t>
      </w:r>
    </w:p>
    <w:p>
      <w:r>
        <w:t>The current landlord-centric subsidy models in New York City have perpetuated cycles of poverty and racial inequity, failed to promote tenant stability, and significantly drained public resources without achieving meaningful long-term outcomes (CSS, 2024; Desmond, 2023). Over 50% of NYC renters spend more than 30% of their income on rent, reinforcing a cycle of economic dependency and instability (Community Service Society of New York, 2023). This policy proposal recommends reallocating existing housing subsidies towards tenant-owned cooperative models, particularly targeting marginalized communities historically denied homeownership opportunities.</w:t>
      </w:r>
    </w:p>
    <w:p>
      <w:pPr>
        <w:pStyle w:val="Heading1"/>
      </w:pPr>
      <w:r>
        <w:t>Introduction</w:t>
      </w:r>
    </w:p>
    <w:p>
      <w:r>
        <w:t>Housing instability is a profound public health and economic justice crisis in NYC. Current rental subsidies predominantly benefit landlords, providing limited long-term security and preventing tenants from building equity or wealth (Community Service Society of New York, 2023). By transitioning these subsidies towards tenant ownership and cooperative models, this proposal aims to improve community health, enhance racial equity, and establish pathways for intergenerational wealth (Mullainathan &amp; Shafir, 2013).</w:t>
      </w:r>
    </w:p>
    <w:p>
      <w:pPr>
        <w:pStyle w:val="Heading1"/>
      </w:pPr>
      <w:r>
        <w:t>Problem Statement</w:t>
      </w:r>
    </w:p>
    <w:p>
      <w:r>
        <w:t>The landlord-focused subsidy framework reinforces systemic inequities in several ways: Economic Disparities, Housing Conditions, and Limited Ownership Opportunities (New York State Attorney General, 2023; NYC Department of Health, 2024; Community Service Society of New York, 2023).</w:t>
      </w:r>
    </w:p>
    <w:p>
      <w:pPr>
        <w:pStyle w:val="Heading1"/>
      </w:pPr>
      <w:r>
        <w:t>Policy Proposal</w:t>
      </w:r>
    </w:p>
    <w:p>
      <w:r>
        <w:t>The proposed policy recommends subsidy reallocation, financial structure adjustments, and legal reforms including Tenant Opportunity to Purchase Act (HUD, 2023; Housing Subsidy Reform Strategy, 2024).</w:t>
      </w:r>
    </w:p>
    <w:p>
      <w:pPr>
        <w:pStyle w:val="Heading1"/>
      </w:pPr>
      <w:r>
        <w:t>Evidence Base</w:t>
      </w:r>
    </w:p>
    <w:p>
      <w:r>
        <w:t>Vienna Model Benchmark, health and socioeconomic data, and economic sustainability analyses support the policy proposal (United Nations, 2021; Lorenz, 2023; QuALMRI Proposal Draft, 2024; NYC Department of Health, 2024).</w:t>
      </w:r>
    </w:p>
    <w:p>
      <w:pPr>
        <w:pStyle w:val="Heading1"/>
      </w:pPr>
      <w:r>
        <w:t>Implementation Strategy</w:t>
      </w:r>
    </w:p>
    <w:p>
      <w:r>
        <w:t>Multi-agency collaboration, financial transition, community partnerships, and accountability frameworks are key (CSS, 2024; Research Proposal &amp; Methodology Memo, 2024).</w:t>
      </w:r>
    </w:p>
    <w:p>
      <w:pPr>
        <w:pStyle w:val="Heading1"/>
      </w:pPr>
      <w:r>
        <w:t>Anticipated Outcomes</w:t>
      </w:r>
    </w:p>
    <w:p>
      <w:r>
        <w:t>Anticipated outcomes include improved public health, economic empowerment, intergenerational wealth, and fiscal efficiency (Desmond, 2023; HUD, 2023; MEMORANDUM, 2024).</w:t>
      </w:r>
    </w:p>
    <w:p>
      <w:pPr>
        <w:pStyle w:val="Heading1"/>
      </w:pPr>
      <w:r>
        <w:t>Political Messaging &amp; Public Engagement</w:t>
      </w:r>
    </w:p>
    <w:p>
      <w:r>
        <w:t>Framing housing reform as a public health issue and economic justice, emphasizing equity, and engaging stakeholders (Your Comprehensive Policy Reform, 2024).</w:t>
      </w:r>
    </w:p>
    <w:p>
      <w:pPr>
        <w:pStyle w:val="Heading1"/>
      </w:pPr>
      <w:r>
        <w:t>Potential Barriers &amp; Counterarguments</w:t>
      </w:r>
    </w:p>
    <w:p>
      <w:r>
        <w:t>Real estate opposition, administrative challenges, and financial and legal complexities identified (CSS, 2024; Letter to Mayor’s Office of Criminal Justice, 2025; HUD, 2023; Housing Subsidy Reform Strategy, 2024).</w:t>
      </w:r>
    </w:p>
    <w:p>
      <w:pPr>
        <w:pStyle w:val="Heading1"/>
      </w:pPr>
      <w:r>
        <w:t>Conclusion &amp; Next Steps</w:t>
      </w:r>
    </w:p>
    <w:p>
      <w:r>
        <w:t>Recommendations include pilot programs, detailed studies, legislative advocacy, and community engagement (QuALMRI Proposal Draft, 2024; Your Comprehensive Policy Reform,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