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jc w:val="center"/>
      </w:pPr>
      <w:r>
        <w:rPr>
          <w:rtl w:val="0"/>
          <w:lang w:val="en-US"/>
        </w:rPr>
        <w:t>Policy Proposal Outline: Housing Subsidy Reform for Tenant-Owned Housing in NYC</w:t>
      </w:r>
      <w:r>
        <w:br w:type="textWrapping"/>
      </w:r>
      <w:commentRangeStart w:id="0"/>
    </w:p>
    <w:p>
      <w:pPr>
        <w:pStyle w:val="Heading"/>
      </w:pPr>
      <w:r>
        <w:rPr>
          <w:rtl w:val="0"/>
          <w:lang w:val="en-US"/>
        </w:rPr>
        <w:t xml:space="preserve"> </w:t>
      </w:r>
      <w:commentRangeEnd w:id="0"/>
      <w:r>
        <w:commentReference w:id="0"/>
      </w:r>
      <w:r>
        <w:rPr>
          <w:rtl w:val="0"/>
          <w:lang w:val="en-US"/>
        </w:rPr>
        <w:t xml:space="preserve">                                        </w:t>
      </w:r>
      <w:r>
        <w:rPr>
          <w:rtl w:val="0"/>
          <w:lang w:val="sv-SE"/>
        </w:rPr>
        <w:t xml:space="preserve"> Summary</w:t>
      </w:r>
    </w:p>
    <w:p>
      <w:pPr>
        <w:pStyle w:val="Body"/>
      </w:pPr>
      <w:r>
        <w:rPr>
          <w:rtl w:val="0"/>
          <w:lang w:val="en-US"/>
        </w:rPr>
        <w:t>The current landlord-centric subsidy models in New York City have perpetuated cycles of poverty and racial inequity, failed to promote tenant stability, and significantly drained public resources without achieving meaningful long-term outcomes. Over 50% of NYC renters spend more than 30% of their income on rent, reinforcing economic dependency and instability. This policy proposal recommends reallocating existing housing subsidies towards tenant-owned cooperative models, specifically targeting marginalized communities historically denied homeownership opportunities, thus promoting equity and stability.</w:t>
      </w:r>
    </w:p>
    <w:p>
      <w:pPr>
        <w:pStyle w:val="Heading"/>
      </w:pPr>
      <w:r>
        <w:rPr>
          <w:rtl w:val="0"/>
          <w:lang w:val="fr-FR"/>
        </w:rPr>
        <w:t>Introduction</w:t>
      </w:r>
    </w:p>
    <w:p>
      <w:pPr>
        <w:pStyle w:val="Body"/>
      </w:pPr>
      <w:r>
        <w:rPr>
          <w:rtl w:val="0"/>
          <w:lang w:val="en-US"/>
        </w:rPr>
        <w:t>Housing instability remains a critical public health and socioeconomic crisis in NYC. Current subsidies primarily benefit landlords, neglecting the need for long-term tenant security and wealth building. This policy transition towards tenant ownership is designed to improve community health outcomes, enhance racial equity, and establish pathways for intergenerational wealth by empowering tenants through ownership.</w:t>
      </w:r>
    </w:p>
    <w:p>
      <w:pPr>
        <w:pStyle w:val="Heading"/>
      </w:pPr>
      <w:r>
        <w:rPr>
          <w:rtl w:val="0"/>
          <w:lang w:val="de-DE"/>
        </w:rPr>
        <w:t>Problem Statement</w:t>
      </w:r>
    </w:p>
    <w:p>
      <w:pPr>
        <w:pStyle w:val="Body"/>
      </w:pPr>
      <w:r>
        <w:rPr>
          <w:rtl w:val="0"/>
          <w:lang w:val="en-US"/>
        </w:rPr>
        <w:t>The existing landlord-driven subsidy system perpetuates economic disparities and inadequate housing conditions, contributing significantly to poor health outcomes. Moreover, it offers minimal opportunities for tenants, particularly communities of color, to transition into ownership, thereby exacerbating existing racial wealth gaps and preventing meaningful economic mobility.</w:t>
      </w:r>
    </w:p>
    <w:p>
      <w:pPr>
        <w:pStyle w:val="Heading"/>
      </w:pPr>
      <w:r>
        <w:rPr>
          <w:rtl w:val="0"/>
        </w:rPr>
        <w:t>Policy Proposal</w:t>
      </w:r>
    </w:p>
    <w:p>
      <w:pPr>
        <w:pStyle w:val="Body"/>
      </w:pPr>
      <w:r>
        <w:rPr>
          <w:rtl w:val="0"/>
          <w:lang w:val="en-US"/>
        </w:rPr>
        <w:t>This policy proposes the strategic reallocation of current rental subsidies towards cooperative and rent-to-own housing structures, emphasizing buildings owned by problematic landlords. Financial restructuring will direct voucher funds into tenant-driven down payments, maintenance initiatives, and cooperative governance support, underpinned by legislative reforms such as the Tenant Opportunity to Purchase Act (TOPA).</w:t>
      </w:r>
    </w:p>
    <w:p>
      <w:pPr>
        <w:pStyle w:val="Heading"/>
      </w:pPr>
      <w:r>
        <w:rPr>
          <w:rtl w:val="0"/>
          <w:lang w:val="en-US"/>
        </w:rPr>
        <w:t>Evidence Base</w:t>
      </w:r>
    </w:p>
    <w:p>
      <w:pPr>
        <w:pStyle w:val="Body"/>
      </w:pPr>
      <w:r>
        <w:rPr>
          <w:rtl w:val="0"/>
          <w:lang w:val="en-US"/>
        </w:rPr>
        <w:t>Significant international evidence, particularly the Vienna housing model, demonstrates the success of tenant-centric subsidy approaches in achieving affordability and improved quality of life. Additionally, local health and socioeconomic data indicate the profound benefits of stable housing in reducing chronic illnesses and cognitive impairments, with cooperative ownership models proving economically more sustainable compared to rental subsidies.</w:t>
      </w:r>
    </w:p>
    <w:p>
      <w:pPr>
        <w:pStyle w:val="Heading"/>
      </w:pPr>
      <w:r>
        <w:rPr>
          <w:rtl w:val="0"/>
          <w:lang w:val="en-US"/>
        </w:rPr>
        <w:t>Implementation Strategy</w:t>
      </w:r>
    </w:p>
    <w:p>
      <w:pPr>
        <w:pStyle w:val="Body"/>
      </w:pPr>
      <w:r>
        <w:rPr>
          <w:rtl w:val="0"/>
          <w:lang w:val="en-US"/>
        </w:rPr>
        <w:t>A comprehensive multi-agency collaboration is essential for this transition, involving HPD, DHCR, Housing Court, and advocacy groups such as Right to Counsel NYC Coalition. This strategy includes a phased five-year financial transition, leveraging community partnerships with experienced organizations such as Cooper Square Committee and Community Land Trusts, combined with robust accountability frameworks, regular audits, oversight boards, and transparent public reporting.</w:t>
      </w:r>
    </w:p>
    <w:p>
      <w:pPr>
        <w:pStyle w:val="Heading"/>
      </w:pPr>
      <w:r>
        <w:rPr>
          <w:rtl w:val="0"/>
          <w:lang w:val="en-US"/>
        </w:rPr>
        <w:t>Anticipated Outcomes</w:t>
      </w:r>
    </w:p>
    <w:p>
      <w:pPr>
        <w:pStyle w:val="Body"/>
      </w:pPr>
      <w:r>
        <w:rPr>
          <w:rtl w:val="0"/>
          <w:lang w:val="en-US"/>
        </w:rPr>
        <w:t>The anticipated outcomes of this policy reform are considerable, including improved public health through stable housing, enhanced economic empowerment reducing racial wealth disparities, and the creation of intergenerational wealth-building opportunities. Furthermore, significant reductions in long-term public expenditures on rental subsidies and housing courts are expected, contributing to overall fiscal efficiency.</w:t>
      </w:r>
    </w:p>
    <w:p>
      <w:pPr>
        <w:pStyle w:val="Heading"/>
      </w:pPr>
      <w:r>
        <w:rPr>
          <w:rtl w:val="0"/>
          <w:lang w:val="en-US"/>
        </w:rPr>
        <w:t>Political Messaging &amp; Public Engagement</w:t>
      </w:r>
    </w:p>
    <w:p>
      <w:pPr>
        <w:pStyle w:val="Body"/>
      </w:pPr>
      <w:r>
        <w:rPr>
          <w:rtl w:val="0"/>
          <w:lang w:val="en-US"/>
        </w:rPr>
        <w:t>Effective framing of this housing reform as a critical public health, economic justice, and racial equity issue is crucial. The policy will leverage robust stakeholder engagement through community forums, advocacy partnerships, and bipartisan dialogues, highlighting benefits across diverse populations and governance levels.</w:t>
      </w:r>
    </w:p>
    <w:p>
      <w:pPr>
        <w:pStyle w:val="Heading"/>
      </w:pPr>
      <w:r>
        <w:rPr>
          <w:rtl w:val="0"/>
          <w:lang w:val="en-US"/>
        </w:rPr>
        <w:t>Potential Barriers &amp; Counterarguments</w:t>
      </w:r>
    </w:p>
    <w:p>
      <w:pPr>
        <w:pStyle w:val="Body"/>
      </w:pPr>
      <w:r>
        <w:rPr>
          <w:rtl w:val="0"/>
          <w:lang w:val="en-US"/>
        </w:rPr>
        <w:t>Identified barriers include expected resistance from real estate interests, administrative complexities, potential corruption, and financial regulatory challenges. Effective strategies will address these concerns proactively, ensuring smooth policy implementation.</w:t>
      </w:r>
    </w:p>
    <w:p>
      <w:pPr>
        <w:pStyle w:val="Heading"/>
      </w:pPr>
      <w:r>
        <w:rPr>
          <w:rtl w:val="0"/>
          <w:lang w:val="en-US"/>
        </w:rPr>
        <w:t>Conclusion &amp; Next Steps</w:t>
      </w:r>
    </w:p>
    <w:p>
      <w:pPr>
        <w:pStyle w:val="Body"/>
      </w:pPr>
      <w:r>
        <w:rPr>
          <w:rtl w:val="0"/>
          <w:lang w:val="en-US"/>
        </w:rPr>
        <w:t>Immediate actions recommended include initiating pilot programs targeting buildings owned by problematic landlords, conducting comprehensive economic and health impact studies, and strengthening legislative advocacy efforts. Continued community engagement and stakeholder dialogues will be essential for policy refinement and effective implementation.</w:t>
      </w:r>
    </w:p>
    <w:p>
      <w:pPr>
        <w:pStyle w:val="Heading"/>
      </w:pPr>
      <w:r>
        <w:rPr>
          <w:rtl w:val="0"/>
          <w:lang w:val="fr-FR"/>
        </w:rPr>
        <w:t>References</w:t>
      </w:r>
    </w:p>
    <w:p>
      <w:pPr>
        <w:pStyle w:val="List Bullet"/>
        <w:numPr>
          <w:ilvl w:val="0"/>
          <w:numId w:val="2"/>
        </w:numPr>
      </w:pPr>
      <w:r>
        <w:rPr>
          <w:rtl w:val="0"/>
          <w:lang w:val="en-US"/>
        </w:rPr>
        <w:t>Community Service Society of New York. (2023). Our analysis of NYC housing and vacancy survey. Retrieved from https://www.cssny.org</w:t>
      </w:r>
    </w:p>
    <w:p>
      <w:pPr>
        <w:pStyle w:val="List Bullet"/>
        <w:numPr>
          <w:ilvl w:val="0"/>
          <w:numId w:val="2"/>
        </w:numPr>
      </w:pPr>
      <w:r>
        <w:rPr>
          <w:rtl w:val="0"/>
          <w:lang w:val="en-US"/>
        </w:rPr>
        <w:t>Desmond, M. (2023). Poverty, by America. Crown.</w:t>
      </w:r>
    </w:p>
    <w:p>
      <w:pPr>
        <w:pStyle w:val="List Bullet"/>
        <w:numPr>
          <w:ilvl w:val="0"/>
          <w:numId w:val="2"/>
        </w:numPr>
      </w:pPr>
      <w:r>
        <w:rPr>
          <w:rtl w:val="0"/>
          <w:lang w:val="en-US"/>
        </w:rPr>
        <w:t>HUD. (2023). Housing subsidy programs and limitations. Retrieved from https://hud.gov</w:t>
      </w:r>
    </w:p>
    <w:p>
      <w:pPr>
        <w:pStyle w:val="List Bullet"/>
        <w:numPr>
          <w:ilvl w:val="0"/>
          <w:numId w:val="2"/>
        </w:numPr>
      </w:pPr>
      <w:r>
        <w:rPr>
          <w:rtl w:val="0"/>
          <w:lang w:val="en-US"/>
        </w:rPr>
        <w:t>Lorenz, M. (2023). How Vienna found a unique model for low rent. Datawrapper Blog.</w:t>
      </w:r>
    </w:p>
    <w:p>
      <w:pPr>
        <w:pStyle w:val="List Bullet"/>
        <w:numPr>
          <w:ilvl w:val="0"/>
          <w:numId w:val="2"/>
        </w:numPr>
      </w:pPr>
      <w:r>
        <w:rPr>
          <w:rtl w:val="0"/>
          <w:lang w:val="en-US"/>
        </w:rPr>
        <w:t>Mullainathan, S., &amp; Shafir, E. (2013). Scarcity: The new science of having less and how it defines our lives. Picador.</w:t>
      </w:r>
    </w:p>
    <w:p>
      <w:pPr>
        <w:pStyle w:val="List Bullet"/>
        <w:numPr>
          <w:ilvl w:val="0"/>
          <w:numId w:val="2"/>
        </w:numPr>
      </w:pPr>
      <w:r>
        <w:rPr>
          <w:rtl w:val="0"/>
          <w:lang w:val="en-US"/>
        </w:rPr>
        <w:t>New York State Attorney General. (2023). Racial disparities in homeownership. Retrieved from https://ag.ny.gov</w:t>
      </w:r>
    </w:p>
    <w:p>
      <w:pPr>
        <w:pStyle w:val="List Bullet"/>
        <w:numPr>
          <w:ilvl w:val="0"/>
          <w:numId w:val="2"/>
        </w:numPr>
      </w:pPr>
      <w:r>
        <w:rPr>
          <w:rtl w:val="0"/>
          <w:lang w:val="en-US"/>
        </w:rPr>
        <w:t>NYC Department of Health. (2024). Health disparities report.</w:t>
      </w:r>
    </w:p>
    <w:p>
      <w:pPr>
        <w:pStyle w:val="List Bullet"/>
        <w:numPr>
          <w:ilvl w:val="0"/>
          <w:numId w:val="2"/>
        </w:numPr>
      </w:pPr>
      <w:r>
        <w:rPr>
          <w:rtl w:val="0"/>
          <w:lang w:val="en-US"/>
        </w:rPr>
        <w:t>United Nations. (2021). Urban population trends and implications.</w:t>
      </w:r>
      <w:r/>
    </w:p>
    <w:sectPr>
      <w:headerReference w:type="default" r:id="rId4"/>
      <w:footerReference w:type="default" r:id="rId5"/>
      <w:pgSz w:w="12240" w:h="15840" w:orient="portrait"/>
      <w:pgMar w:top="1440" w:right="1800" w:bottom="1440" w:left="1800" w:header="720" w:footer="720"/>
      <w:bidi w:val="0"/>
    </w:sectPr>
  </w:body>
</w:document>
</file>

<file path=word/comments.xml><?xml version="1.0" encoding="utf-8"?>
<w:comments xmlns:w="http://schemas.openxmlformats.org/wordprocessingml/2006/main" xmlns:r="http://schemas.openxmlformats.org/officeDocument/2006/relationships" xmlns:wp="http://schemas.openxmlformats.org/drawingml/2006/wordprocessingDrawing" xmlns:w14="http://schemas.microsoft.com/office/word/2010/wordml">
  <w:comment w:id="0" w:author="Seth Foss" w:date="2025-03-27T11:12:20Z">
    <w:p w14:paraId="1111FFFF">
      <w:pPr>
        <w:pStyle w:val="Default"/>
        <w:bidi w:val="0"/>
      </w:pPr>
    </w:p>
    <w:p w14:paraId="11120000">
      <w:pPr>
        <w:pStyle w:val="Default"/>
        <w:bidi w:val="0"/>
      </w:pPr>
      <w:r>
        <w:rPr>
          <w:rFonts w:cs="Arial Unicode MS" w:eastAsia="Arial Unicode MS"/>
        </w:rPr>
        <w:t>credit unions</w:t>
      </w:r>
    </w:p>
    <w:p w14:paraId="11120001">
      <w:pPr>
        <w:pStyle w:val="Default"/>
        <w:bidi w:val="0"/>
      </w:pPr>
    </w:p>
    <w:p w14:paraId="11120002">
      <w:pPr>
        <w:pStyle w:val="Default"/>
        <w:bidi w:val="0"/>
      </w:pPr>
      <w:r>
        <w:rPr>
          <w:rFonts w:cs="Arial Unicode MS" w:eastAsia="Arial Unicode MS"/>
        </w:rPr>
        <w:t xml:space="preserve"> Co-op netork</w:t>
      </w:r>
    </w:p>
    <w:p w14:paraId="11120003">
      <w:pPr>
        <w:pStyle w:val="Default"/>
        <w:bidi w:val="0"/>
      </w:pPr>
    </w:p>
    <w:p w14:paraId="11120004">
      <w:pPr>
        <w:pStyle w:val="Default"/>
        <w:bidi w:val="0"/>
      </w:pPr>
      <w:r>
        <w:rPr>
          <w:rFonts w:cs="Arial Unicode MS" w:eastAsia="Arial Unicode MS"/>
        </w:rPr>
        <w:t>not spendig any money</w:t>
      </w:r>
    </w:p>
    <w:p w14:paraId="11120005">
      <w:pPr>
        <w:pStyle w:val="Default"/>
        <w:bidi w:val="0"/>
      </w:pPr>
    </w:p>
    <w:p w14:paraId="11120006">
      <w:pPr>
        <w:pStyle w:val="Default"/>
        <w:bidi w:val="0"/>
      </w:pPr>
      <w:r>
        <w:rPr>
          <w:rFonts w:cs="Arial Unicode MS" w:eastAsia="Arial Unicode MS"/>
        </w:rPr>
        <w:t>comminuty and n</w:t>
      </w:r>
    </w:p>
  </w:comment>
</w:comment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w:pPr>
      <w:keepNext w:val="0"/>
      <w:keepLines w:val="0"/>
      <w:pageBreakBefore w:val="0"/>
      <w:widowControl w:val="1"/>
      <w:pBdr>
        <w:top w:val="nil"/>
        <w:left w:val="nil"/>
        <w:bottom w:val="single" w:color="4f81bd" w:sz="8" w:space="0" w:shadow="0" w:frame="0"/>
        <w:right w:val="nil"/>
      </w:pBdr>
      <w:shd w:val="clear" w:color="auto" w:fill="auto"/>
      <w:suppressAutoHyphens w:val="0"/>
      <w:bidi w:val="0"/>
      <w:spacing w:before="0" w:after="30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17365d"/>
      <w:spacing w:val="5"/>
      <w:kern w:val="28"/>
      <w:position w:val="0"/>
      <w:sz w:val="52"/>
      <w:szCs w:val="52"/>
      <w:u w:val="none" w:color="17365d"/>
      <w:shd w:val="nil" w:color="auto" w:fill="auto"/>
      <w:vertAlign w:val="baseline"/>
      <w:lang w:val="en-US"/>
      <w14:textOutline>
        <w14:noFill/>
      </w14:textOutline>
      <w14:textFill>
        <w14:solidFill>
          <w14:srgbClr w14:val="17365D"/>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noFill/>
      </w14:textOutline>
      <w14:textFill>
        <w14:solidFill>
          <w14:srgbClr w14:val="365F91"/>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comments" Target="comments.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