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rPr>
          <w:b w:val="1"/>
          <w:bCs w:val="1"/>
        </w:rPr>
      </w:pPr>
      <w:r>
        <w:rPr>
          <w:b w:val="1"/>
          <w:bCs w:val="1"/>
          <w:rtl w:val="0"/>
          <w:lang w:val="de-DE"/>
        </w:rPr>
        <w:t>MEMORANDUM</w:t>
      </w:r>
    </w:p>
    <w:p>
      <w:pPr>
        <w:pStyle w:val="Body"/>
        <w:bidi w:val="0"/>
      </w:pPr>
    </w:p>
    <w:p>
      <w:pPr>
        <w:pStyle w:val="Body"/>
        <w:bidi w:val="0"/>
      </w:pPr>
      <w:r>
        <w:rPr>
          <w:b w:val="1"/>
          <w:bCs w:val="1"/>
          <w:rtl w:val="0"/>
          <w:lang w:val="it-IT"/>
        </w:rPr>
        <w:t>To:</w:t>
      </w:r>
      <w:r>
        <w:rPr>
          <w:rtl w:val="0"/>
          <w:lang w:val="en-US"/>
        </w:rPr>
        <w:t xml:space="preserve"> Stakeholders in Housing Reform, New York City Council, Public Advocates</w:t>
      </w:r>
    </w:p>
    <w:p>
      <w:pPr>
        <w:pStyle w:val="Body"/>
        <w:bidi w:val="0"/>
      </w:pPr>
      <w:r>
        <w:rPr>
          <w:b w:val="1"/>
          <w:bCs w:val="1"/>
          <w:rtl w:val="0"/>
          <w:lang w:val="en-US"/>
        </w:rPr>
        <w:t>From:</w:t>
      </w:r>
      <w:r>
        <w:rPr>
          <w:rtl w:val="0"/>
          <w:lang w:val="en-US"/>
        </w:rPr>
        <w:t xml:space="preserve"> [Your Name]</w:t>
      </w:r>
    </w:p>
    <w:p>
      <w:pPr>
        <w:pStyle w:val="Body"/>
        <w:bidi w:val="0"/>
      </w:pPr>
      <w:r>
        <w:rPr>
          <w:b w:val="1"/>
          <w:bCs w:val="1"/>
          <w:rtl w:val="0"/>
          <w:lang w:val="de-DE"/>
        </w:rPr>
        <w:t>Date:</w:t>
      </w:r>
      <w:r>
        <w:rPr>
          <w:rtl w:val="0"/>
        </w:rPr>
        <w:t xml:space="preserve"> [Date]</w:t>
      </w:r>
    </w:p>
    <w:p>
      <w:pPr>
        <w:pStyle w:val="Body"/>
        <w:bidi w:val="0"/>
      </w:pPr>
      <w:r>
        <w:rPr>
          <w:b w:val="1"/>
          <w:bCs w:val="1"/>
          <w:rtl w:val="0"/>
          <w:lang w:val="en-US"/>
        </w:rPr>
        <w:t>Subject:</w:t>
      </w:r>
      <w:r>
        <w:rPr>
          <w:rtl w:val="0"/>
        </w:rPr>
        <w:t xml:space="preserve"> </w:t>
      </w:r>
      <w:r>
        <w:rPr>
          <w:b w:val="1"/>
          <w:bCs w:val="1"/>
          <w:rtl w:val="0"/>
          <w:lang w:val="en-US"/>
        </w:rPr>
        <w:t>Addressing Systemic Inequities in New York City</w:t>
      </w:r>
      <w:r>
        <w:rPr>
          <w:b w:val="1"/>
          <w:bCs w:val="1"/>
          <w:rtl w:val="1"/>
        </w:rPr>
        <w:t>’</w:t>
      </w:r>
      <w:r>
        <w:rPr>
          <w:b w:val="1"/>
          <w:bCs w:val="1"/>
          <w:rtl w:val="0"/>
          <w:lang w:val="en-US"/>
        </w:rPr>
        <w:t>s Housing Subsidy Framework</w:t>
      </w:r>
    </w:p>
    <w:p>
      <w:pPr>
        <w:pStyle w:val="Body"/>
        <w:bidi w:val="0"/>
      </w:pPr>
    </w:p>
    <w:p>
      <w:pPr>
        <w:pStyle w:val="Body"/>
        <w:rPr>
          <w:b w:val="1"/>
          <w:bCs w:val="1"/>
        </w:rPr>
      </w:pPr>
      <w:r>
        <w:rPr>
          <w:b w:val="1"/>
          <w:bCs w:val="1"/>
          <w:rtl w:val="0"/>
          <w:lang w:val="fr-FR"/>
        </w:rPr>
        <w:t>I. Introduction</w:t>
      </w:r>
    </w:p>
    <w:p>
      <w:pPr>
        <w:pStyle w:val="Body"/>
        <w:bidi w:val="0"/>
      </w:pPr>
    </w:p>
    <w:p>
      <w:pPr>
        <w:pStyle w:val="Body"/>
        <w:bidi w:val="0"/>
      </w:pPr>
      <w:r>
        <w:rPr>
          <w:rtl w:val="0"/>
          <w:lang w:val="en-US"/>
        </w:rPr>
        <w:t>New York City allocates billions annually to housing subsidies, yet systemic disparities persist, particularly among communities of color. This memorandum examines critical challenges within the city</w:t>
      </w:r>
      <w:r>
        <w:rPr>
          <w:rtl w:val="1"/>
        </w:rPr>
        <w:t>’</w:t>
      </w:r>
      <w:r>
        <w:rPr>
          <w:rtl w:val="0"/>
          <w:lang w:val="en-US"/>
        </w:rPr>
        <w:t>s housing subsidy system, highlighting the need for a policy overhaul that prioritizes economic stability and wealth-building for marginalized communities.</w:t>
      </w:r>
    </w:p>
    <w:p>
      <w:pPr>
        <w:pStyle w:val="Body"/>
        <w:bidi w:val="0"/>
      </w:pPr>
    </w:p>
    <w:p>
      <w:pPr>
        <w:pStyle w:val="Body"/>
        <w:rPr>
          <w:b w:val="1"/>
          <w:bCs w:val="1"/>
        </w:rPr>
      </w:pPr>
      <w:r>
        <w:rPr>
          <w:b w:val="1"/>
          <w:bCs w:val="1"/>
          <w:rtl w:val="0"/>
          <w:lang w:val="en-US"/>
        </w:rPr>
        <w:t>II. Disparities in Homeownership</w:t>
      </w:r>
    </w:p>
    <w:p>
      <w:pPr>
        <w:pStyle w:val="Body"/>
        <w:bidi w:val="0"/>
        <w:ind w:left="720"/>
      </w:pPr>
      <w:r>
        <w:rPr>
          <w:rtl w:val="0"/>
        </w:rPr>
        <w:tab/>
        <w:t>•</w:t>
        <w:tab/>
      </w:r>
      <w:r>
        <w:rPr>
          <w:b w:val="1"/>
          <w:bCs w:val="1"/>
          <w:rtl w:val="0"/>
          <w:lang w:val="en-US"/>
        </w:rPr>
        <w:t>Racial Homeownership Gap</w:t>
      </w:r>
      <w:r>
        <w:rPr>
          <w:rtl w:val="0"/>
          <w:lang w:val="en-US"/>
        </w:rPr>
        <w:t>: White households in New York have a homeownership rate of 67%, whereas only 34% of households of color own their homes (ABC7NY, 2023). This disparity is even more pronounced among Black (24%) and Latino (17%) households (New York State Attorney General, 2023).</w:t>
      </w:r>
    </w:p>
    <w:p>
      <w:pPr>
        <w:pStyle w:val="Body"/>
        <w:bidi w:val="0"/>
        <w:ind w:left="720"/>
      </w:pPr>
      <w:r>
        <w:rPr>
          <w:rtl w:val="0"/>
        </w:rPr>
        <w:tab/>
        <w:t>•</w:t>
        <w:tab/>
      </w:r>
      <w:r>
        <w:rPr>
          <w:b w:val="1"/>
          <w:bCs w:val="1"/>
          <w:rtl w:val="0"/>
          <w:lang w:val="en-US"/>
        </w:rPr>
        <w:t>Mortgage Denial Rates</w:t>
      </w:r>
      <w:r>
        <w:rPr>
          <w:rtl w:val="0"/>
          <w:lang w:val="en-US"/>
        </w:rPr>
        <w:t xml:space="preserve">: Black and Asian applicants are </w:t>
      </w:r>
      <w:r>
        <w:rPr>
          <w:b w:val="1"/>
          <w:bCs w:val="1"/>
          <w:rtl w:val="0"/>
          <w:lang w:val="en-US"/>
        </w:rPr>
        <w:t>43% more likely</w:t>
      </w:r>
      <w:r>
        <w:rPr>
          <w:rtl w:val="0"/>
          <w:lang w:val="en-US"/>
        </w:rPr>
        <w:t xml:space="preserve"> to have their mortgage applications denied than white applicants, even when controlling for credit score and income (New York State Attorney General, 2023).</w:t>
      </w:r>
    </w:p>
    <w:p>
      <w:pPr>
        <w:pStyle w:val="Body"/>
        <w:bidi w:val="0"/>
        <w:ind w:left="720"/>
      </w:pPr>
    </w:p>
    <w:p>
      <w:pPr>
        <w:pStyle w:val="Body"/>
        <w:rPr>
          <w:b w:val="1"/>
          <w:bCs w:val="1"/>
        </w:rPr>
      </w:pPr>
      <w:r>
        <w:rPr>
          <w:b w:val="1"/>
          <w:bCs w:val="1"/>
          <w:rtl w:val="0"/>
          <w:lang w:val="en-US"/>
        </w:rPr>
        <w:t>III. Financial Implications of Rental Assistance</w:t>
      </w:r>
    </w:p>
    <w:p>
      <w:pPr>
        <w:pStyle w:val="Body"/>
        <w:bidi w:val="0"/>
        <w:ind w:left="720"/>
      </w:pPr>
      <w:r>
        <w:rPr>
          <w:rtl w:val="0"/>
        </w:rPr>
        <w:tab/>
        <w:t>•</w:t>
        <w:tab/>
      </w:r>
      <w:r>
        <w:rPr>
          <w:b w:val="1"/>
          <w:bCs w:val="1"/>
          <w:rtl w:val="0"/>
          <w:lang w:val="en-US"/>
        </w:rPr>
        <w:t>Escalating Expenditures</w:t>
      </w:r>
      <w:r>
        <w:rPr>
          <w:rtl w:val="0"/>
          <w:lang w:val="en-US"/>
        </w:rPr>
        <w:t>: NYC</w:t>
      </w:r>
      <w:r>
        <w:rPr>
          <w:rtl w:val="1"/>
        </w:rPr>
        <w:t>’</w:t>
      </w:r>
      <w:r>
        <w:rPr>
          <w:rtl w:val="0"/>
          <w:lang w:val="en-US"/>
        </w:rPr>
        <w:t xml:space="preserve">s spending on rental assistance surged from </w:t>
      </w:r>
      <w:r>
        <w:rPr>
          <w:b w:val="1"/>
          <w:bCs w:val="1"/>
          <w:rtl w:val="0"/>
          <w:lang w:val="en-US"/>
        </w:rPr>
        <w:t>$16 million in FY2015</w:t>
      </w:r>
      <w:r>
        <w:rPr>
          <w:rtl w:val="0"/>
          <w:lang w:val="en-US"/>
        </w:rPr>
        <w:t xml:space="preserve"> to a projected </w:t>
      </w:r>
      <w:r>
        <w:rPr>
          <w:b w:val="1"/>
          <w:bCs w:val="1"/>
          <w:rtl w:val="0"/>
          <w:lang w:val="en-US"/>
        </w:rPr>
        <w:t>$636 million in FY2023</w:t>
      </w:r>
      <w:r>
        <w:rPr>
          <w:rtl w:val="0"/>
          <w:lang w:val="en-US"/>
        </w:rPr>
        <w:t xml:space="preserve"> (Citizens Budget Commission, 2024). Despite this, housing insecurity remains high.</w:t>
      </w:r>
    </w:p>
    <w:p>
      <w:pPr>
        <w:pStyle w:val="Body"/>
        <w:bidi w:val="0"/>
        <w:ind w:left="720"/>
      </w:pPr>
      <w:r>
        <w:rPr>
          <w:rtl w:val="0"/>
        </w:rPr>
        <w:tab/>
        <w:t>•</w:t>
        <w:tab/>
      </w:r>
      <w:r>
        <w:rPr>
          <w:b w:val="1"/>
          <w:bCs w:val="1"/>
          <w:rtl w:val="0"/>
          <w:lang w:val="fr-FR"/>
        </w:rPr>
        <w:t>Tenant Contributions</w:t>
      </w:r>
      <w:r>
        <w:rPr>
          <w:rtl w:val="0"/>
          <w:lang w:val="en-US"/>
        </w:rPr>
        <w:t xml:space="preserve">: Housing Choice Voucher holders in NYC contribute an average of </w:t>
      </w:r>
      <w:r>
        <w:rPr>
          <w:b w:val="1"/>
          <w:bCs w:val="1"/>
          <w:rtl w:val="0"/>
          <w:lang w:val="en-US"/>
        </w:rPr>
        <w:t>$475 monthly toward rent</w:t>
      </w:r>
      <w:r>
        <w:rPr>
          <w:rtl w:val="0"/>
          <w:lang w:val="en-US"/>
        </w:rPr>
        <w:t xml:space="preserve">, with total unit rents averaging </w:t>
      </w:r>
      <w:r>
        <w:rPr>
          <w:b w:val="1"/>
          <w:bCs w:val="1"/>
          <w:rtl w:val="0"/>
          <w:lang w:val="en-US"/>
        </w:rPr>
        <w:t>$1,768 per month</w:t>
      </w:r>
      <w:r>
        <w:rPr>
          <w:rtl w:val="0"/>
          <w:lang w:val="en-US"/>
        </w:rPr>
        <w:t xml:space="preserve"> (Furman Center, 2023). This reflects a substantial financial burden on low-income families while failing to build equity.</w:t>
      </w:r>
    </w:p>
    <w:p>
      <w:pPr>
        <w:pStyle w:val="Body"/>
        <w:bidi w:val="0"/>
        <w:ind w:left="720"/>
      </w:pPr>
    </w:p>
    <w:p>
      <w:pPr>
        <w:pStyle w:val="Body"/>
        <w:rPr>
          <w:b w:val="1"/>
          <w:bCs w:val="1"/>
        </w:rPr>
      </w:pPr>
      <w:r>
        <w:rPr>
          <w:b w:val="1"/>
          <w:bCs w:val="1"/>
          <w:rtl w:val="0"/>
          <w:lang w:val="en-US"/>
        </w:rPr>
        <w:t>IV. Socioeconomic Impact on Households</w:t>
      </w:r>
    </w:p>
    <w:p>
      <w:pPr>
        <w:pStyle w:val="Body"/>
        <w:bidi w:val="0"/>
        <w:ind w:left="720"/>
      </w:pPr>
      <w:r>
        <w:rPr>
          <w:rtl w:val="0"/>
        </w:rPr>
        <w:tab/>
        <w:t>•</w:t>
        <w:tab/>
      </w:r>
      <w:r>
        <w:rPr>
          <w:b w:val="1"/>
          <w:bCs w:val="1"/>
          <w:rtl w:val="0"/>
          <w:lang w:val="en-US"/>
        </w:rPr>
        <w:t>Income Disparities</w:t>
      </w:r>
      <w:r>
        <w:rPr>
          <w:rtl w:val="0"/>
          <w:lang w:val="en-US"/>
        </w:rPr>
        <w:t xml:space="preserve">: Households in public housing and those receiving subsidized rentals earn </w:t>
      </w:r>
      <w:r>
        <w:rPr>
          <w:b w:val="1"/>
          <w:bCs w:val="1"/>
          <w:rtl w:val="0"/>
          <w:lang w:val="en-US"/>
        </w:rPr>
        <w:t>$35,500</w:t>
      </w:r>
      <w:r>
        <w:rPr>
          <w:b w:val="1"/>
          <w:bCs w:val="1"/>
          <w:rtl w:val="0"/>
        </w:rPr>
        <w:t>–</w:t>
      </w:r>
      <w:r>
        <w:rPr>
          <w:b w:val="1"/>
          <w:bCs w:val="1"/>
          <w:rtl w:val="0"/>
          <w:lang w:val="en-US"/>
        </w:rPr>
        <w:t>$42,100 less annually</w:t>
      </w:r>
      <w:r>
        <w:rPr>
          <w:rtl w:val="0"/>
          <w:lang w:val="en-US"/>
        </w:rPr>
        <w:t xml:space="preserve"> than the median NYC household income (Community Service Society of New York, 2023).</w:t>
      </w:r>
    </w:p>
    <w:p>
      <w:pPr>
        <w:pStyle w:val="Body"/>
        <w:bidi w:val="0"/>
        <w:ind w:left="720"/>
      </w:pPr>
      <w:r>
        <w:rPr>
          <w:rtl w:val="0"/>
        </w:rPr>
        <w:tab/>
        <w:t>•</w:t>
        <w:tab/>
      </w:r>
      <w:r>
        <w:rPr>
          <w:b w:val="1"/>
          <w:bCs w:val="1"/>
          <w:rtl w:val="0"/>
          <w:lang w:val="en-US"/>
        </w:rPr>
        <w:t>Housing Cost Burden</w:t>
      </w:r>
      <w:r>
        <w:rPr>
          <w:rtl w:val="0"/>
          <w:lang w:val="en-US"/>
        </w:rPr>
        <w:t xml:space="preserve">: Housing expenses, including rent and utilities, comprise </w:t>
      </w:r>
      <w:r>
        <w:rPr>
          <w:b w:val="1"/>
          <w:bCs w:val="1"/>
          <w:rtl w:val="0"/>
          <w:lang w:val="en-US"/>
        </w:rPr>
        <w:t>40% of household expenditures</w:t>
      </w:r>
      <w:r>
        <w:rPr>
          <w:rtl w:val="0"/>
          <w:lang w:val="en-US"/>
        </w:rPr>
        <w:t xml:space="preserve"> in NYC, significantly impacting economic mobility (Office of the New York State Comptroller, 2024).</w:t>
      </w:r>
    </w:p>
    <w:p>
      <w:pPr>
        <w:pStyle w:val="Body"/>
        <w:bidi w:val="0"/>
        <w:ind w:left="720"/>
      </w:pPr>
    </w:p>
    <w:p>
      <w:pPr>
        <w:pStyle w:val="Body"/>
        <w:rPr>
          <w:b w:val="1"/>
          <w:bCs w:val="1"/>
        </w:rPr>
      </w:pPr>
      <w:r>
        <w:rPr>
          <w:b w:val="1"/>
          <w:bCs w:val="1"/>
          <w:rtl w:val="0"/>
          <w:lang w:val="it-IT"/>
        </w:rPr>
        <w:t>V. Conclusion</w:t>
      </w:r>
    </w:p>
    <w:p>
      <w:pPr>
        <w:pStyle w:val="Body"/>
        <w:bidi w:val="0"/>
      </w:pPr>
    </w:p>
    <w:p>
      <w:pPr>
        <w:pStyle w:val="Body"/>
        <w:bidi w:val="0"/>
      </w:pPr>
      <w:r>
        <w:rPr>
          <w:rtl w:val="0"/>
          <w:lang w:val="en-US"/>
        </w:rPr>
        <w:t>New York City</w:t>
      </w:r>
      <w:r>
        <w:rPr>
          <w:rtl w:val="1"/>
        </w:rPr>
        <w:t>’</w:t>
      </w:r>
      <w:r>
        <w:rPr>
          <w:rtl w:val="0"/>
          <w:lang w:val="en-US"/>
        </w:rPr>
        <w:t>s existing housing subsidy system has not effectively addressed homeownership disparities or long-term economic stability for marginalized communities. The data underscores the urgent need for policy reforms that promote sustainable housing solutions, enabling tenants to build generational wealth rather than remaining trapped in cycles of rental dependency.</w:t>
      </w:r>
    </w:p>
    <w:p>
      <w:pPr>
        <w:pStyle w:val="Body"/>
        <w:bidi w:val="0"/>
      </w:pPr>
    </w:p>
    <w:p>
      <w:pPr>
        <w:pStyle w:val="Body"/>
        <w:rPr>
          <w:b w:val="1"/>
          <w:bCs w:val="1"/>
        </w:rPr>
      </w:pPr>
      <w:r>
        <w:rPr>
          <w:b w:val="1"/>
          <w:bCs w:val="1"/>
          <w:rtl w:val="0"/>
          <w:lang w:val="fr-FR"/>
        </w:rPr>
        <w:t>References</w:t>
      </w:r>
    </w:p>
    <w:p>
      <w:pPr>
        <w:pStyle w:val="Body"/>
        <w:bidi w:val="0"/>
      </w:pPr>
    </w:p>
    <w:p>
      <w:pPr>
        <w:pStyle w:val="Body"/>
        <w:bidi w:val="0"/>
      </w:pPr>
      <w:r>
        <w:rPr>
          <w:rtl w:val="0"/>
        </w:rPr>
        <w:t xml:space="preserve">ABC7NY. (2023). </w:t>
      </w:r>
      <w:r>
        <w:rPr>
          <w:i w:val="1"/>
          <w:iCs w:val="1"/>
          <w:rtl w:val="0"/>
          <w:lang w:val="en-US"/>
        </w:rPr>
        <w:t>Attorney General</w:t>
      </w:r>
      <w:r>
        <w:rPr>
          <w:i w:val="1"/>
          <w:iCs w:val="1"/>
          <w:rtl w:val="1"/>
        </w:rPr>
        <w:t>’</w:t>
      </w:r>
      <w:r>
        <w:rPr>
          <w:i w:val="1"/>
          <w:iCs w:val="1"/>
          <w:rtl w:val="0"/>
          <w:lang w:val="en-US"/>
        </w:rPr>
        <w:t>s report finds racial disparities in home ownership in New York.</w:t>
      </w:r>
      <w:r>
        <w:rPr>
          <w:rtl w:val="0"/>
          <w:lang w:val="en-US"/>
        </w:rPr>
        <w:t xml:space="preserve"> Retrieved from </w:t>
      </w:r>
      <w:r>
        <w:rPr>
          <w:rStyle w:val="Hyperlink.0"/>
        </w:rPr>
        <w:fldChar w:fldCharType="begin" w:fldLock="0"/>
      </w:r>
      <w:r>
        <w:rPr>
          <w:rStyle w:val="Hyperlink.0"/>
        </w:rPr>
        <w:instrText xml:space="preserve"> HYPERLINK "https://abc7ny.com/home-ownership-white-black-asian/14003016/"</w:instrText>
      </w:r>
      <w:r>
        <w:rPr>
          <w:rStyle w:val="Hyperlink.0"/>
        </w:rPr>
        <w:fldChar w:fldCharType="separate" w:fldLock="0"/>
      </w:r>
      <w:r>
        <w:rPr>
          <w:rStyle w:val="Hyperlink.0"/>
          <w:rtl w:val="0"/>
          <w:lang w:val="en-US"/>
        </w:rPr>
        <w:t>https://abc7ny.com/home-ownership-white-black-asian/14003016/</w:t>
      </w:r>
      <w:r>
        <w:rPr/>
        <w:fldChar w:fldCharType="end" w:fldLock="0"/>
      </w:r>
    </w:p>
    <w:p>
      <w:pPr>
        <w:pStyle w:val="Body"/>
        <w:bidi w:val="0"/>
      </w:pPr>
    </w:p>
    <w:p>
      <w:pPr>
        <w:pStyle w:val="Body"/>
        <w:bidi w:val="0"/>
      </w:pPr>
      <w:r>
        <w:rPr>
          <w:rtl w:val="0"/>
          <w:lang w:val="en-US"/>
        </w:rPr>
        <w:t xml:space="preserve">Citizens Budget Commission. (2024). </w:t>
      </w:r>
      <w:r>
        <w:rPr>
          <w:i w:val="1"/>
          <w:iCs w:val="1"/>
          <w:rtl w:val="0"/>
          <w:lang w:val="en-US"/>
        </w:rPr>
        <w:t>4 fast FHEPS facts.</w:t>
      </w:r>
      <w:r>
        <w:rPr>
          <w:rtl w:val="0"/>
          <w:lang w:val="en-US"/>
        </w:rPr>
        <w:t xml:space="preserve"> Retrieved from </w:t>
      </w:r>
      <w:r>
        <w:rPr>
          <w:rStyle w:val="Hyperlink.0"/>
        </w:rPr>
        <w:fldChar w:fldCharType="begin" w:fldLock="0"/>
      </w:r>
      <w:r>
        <w:rPr>
          <w:rStyle w:val="Hyperlink.0"/>
        </w:rPr>
        <w:instrText xml:space="preserve"> HYPERLINK "https://cbcny.org/research/4-fast-fheps-facts"</w:instrText>
      </w:r>
      <w:r>
        <w:rPr>
          <w:rStyle w:val="Hyperlink.0"/>
        </w:rPr>
        <w:fldChar w:fldCharType="separate" w:fldLock="0"/>
      </w:r>
      <w:r>
        <w:rPr>
          <w:rStyle w:val="Hyperlink.0"/>
          <w:rtl w:val="0"/>
          <w:lang w:val="en-US"/>
        </w:rPr>
        <w:t>https://cbcny.org/research/4-fast-fheps-facts</w:t>
      </w:r>
      <w:r>
        <w:rPr/>
        <w:fldChar w:fldCharType="end" w:fldLock="0"/>
      </w:r>
    </w:p>
    <w:p>
      <w:pPr>
        <w:pStyle w:val="Body"/>
        <w:bidi w:val="0"/>
      </w:pPr>
    </w:p>
    <w:p>
      <w:pPr>
        <w:pStyle w:val="Body"/>
        <w:bidi w:val="0"/>
      </w:pPr>
      <w:r>
        <w:rPr>
          <w:rtl w:val="0"/>
          <w:lang w:val="en-US"/>
        </w:rPr>
        <w:t xml:space="preserve">Community Service Society of New York. (2023). </w:t>
      </w:r>
      <w:r>
        <w:rPr>
          <w:i w:val="1"/>
          <w:iCs w:val="1"/>
          <w:rtl w:val="0"/>
          <w:lang w:val="en-US"/>
        </w:rPr>
        <w:t>Our fast analysis of the 2021 New York City housing and vacancy survey.</w:t>
      </w:r>
      <w:r>
        <w:rPr>
          <w:rtl w:val="0"/>
          <w:lang w:val="en-US"/>
        </w:rPr>
        <w:t xml:space="preserve"> Retrieved from </w:t>
      </w:r>
      <w:r>
        <w:rPr>
          <w:rStyle w:val="Hyperlink.0"/>
        </w:rPr>
        <w:fldChar w:fldCharType="begin" w:fldLock="0"/>
      </w:r>
      <w:r>
        <w:rPr>
          <w:rStyle w:val="Hyperlink.0"/>
        </w:rPr>
        <w:instrText xml:space="preserve"> HYPERLINK "https://www.cssny.org/news/entry/our-fast-analysis-of-the-2021-new-york-city-housing-and-vacancy-survey"</w:instrText>
      </w:r>
      <w:r>
        <w:rPr>
          <w:rStyle w:val="Hyperlink.0"/>
        </w:rPr>
        <w:fldChar w:fldCharType="separate" w:fldLock="0"/>
      </w:r>
      <w:r>
        <w:rPr>
          <w:rStyle w:val="Hyperlink.0"/>
          <w:rtl w:val="0"/>
          <w:lang w:val="en-US"/>
        </w:rPr>
        <w:t>https://www.cssny.org/news/entry/our-fast-analysis-of-the-2021-new-york-city-housing-and-vacancy-survey</w:t>
      </w:r>
      <w:r>
        <w:rPr/>
        <w:fldChar w:fldCharType="end" w:fldLock="0"/>
      </w:r>
    </w:p>
    <w:p>
      <w:pPr>
        <w:pStyle w:val="Body"/>
        <w:bidi w:val="0"/>
      </w:pPr>
    </w:p>
    <w:p>
      <w:pPr>
        <w:pStyle w:val="Body"/>
        <w:bidi w:val="0"/>
      </w:pPr>
      <w:r>
        <w:rPr>
          <w:rtl w:val="0"/>
        </w:rPr>
        <w:t xml:space="preserve">Furman Center. (2023). </w:t>
      </w:r>
      <w:r>
        <w:rPr>
          <w:i w:val="1"/>
          <w:iCs w:val="1"/>
          <w:rtl w:val="0"/>
          <w:lang w:val="en-US"/>
        </w:rPr>
        <w:t>The use of Housing Choice Vouchers in New York City.</w:t>
      </w:r>
      <w:r>
        <w:rPr>
          <w:rtl w:val="0"/>
          <w:lang w:val="en-US"/>
        </w:rPr>
        <w:t xml:space="preserve"> Retrieved from </w:t>
      </w:r>
      <w:r>
        <w:rPr>
          <w:rStyle w:val="Hyperlink.0"/>
        </w:rPr>
        <w:fldChar w:fldCharType="begin" w:fldLock="0"/>
      </w:r>
      <w:r>
        <w:rPr>
          <w:rStyle w:val="Hyperlink.0"/>
        </w:rPr>
        <w:instrText xml:space="preserve"> HYPERLINK "https://furmancenter.org/stateofthecity/view/the-use-of-housing-choice-vouchers-in-new-york-city"</w:instrText>
      </w:r>
      <w:r>
        <w:rPr>
          <w:rStyle w:val="Hyperlink.0"/>
        </w:rPr>
        <w:fldChar w:fldCharType="separate" w:fldLock="0"/>
      </w:r>
      <w:r>
        <w:rPr>
          <w:rStyle w:val="Hyperlink.0"/>
          <w:rtl w:val="0"/>
          <w:lang w:val="en-US"/>
        </w:rPr>
        <w:t>https://furmancenter.org/stateofthecity/view/the-use-of-housing-choice-vouchers-in-new-york-city</w:t>
      </w:r>
      <w:r>
        <w:rPr/>
        <w:fldChar w:fldCharType="end" w:fldLock="0"/>
      </w:r>
    </w:p>
    <w:p>
      <w:pPr>
        <w:pStyle w:val="Body"/>
        <w:bidi w:val="0"/>
      </w:pPr>
    </w:p>
    <w:p>
      <w:pPr>
        <w:pStyle w:val="Body"/>
        <w:bidi w:val="0"/>
      </w:pPr>
      <w:r>
        <w:rPr>
          <w:rtl w:val="0"/>
          <w:lang w:val="en-US"/>
        </w:rPr>
        <w:t xml:space="preserve">New York State Attorney General. (2023). </w:t>
      </w:r>
      <w:r>
        <w:rPr>
          <w:i w:val="1"/>
          <w:iCs w:val="1"/>
          <w:rtl w:val="0"/>
          <w:lang w:val="en-US"/>
        </w:rPr>
        <w:t>Racial disparities in homeownership.</w:t>
      </w:r>
      <w:r>
        <w:rPr>
          <w:rtl w:val="0"/>
          <w:lang w:val="en-US"/>
        </w:rPr>
        <w:t xml:space="preserve"> Retrieved from </w:t>
      </w:r>
      <w:r>
        <w:rPr>
          <w:rStyle w:val="Hyperlink.0"/>
        </w:rPr>
        <w:fldChar w:fldCharType="begin" w:fldLock="0"/>
      </w:r>
      <w:r>
        <w:rPr>
          <w:rStyle w:val="Hyperlink.0"/>
        </w:rPr>
        <w:instrText xml:space="preserve"> HYPERLINK "https://ag.ny.gov/sites/default/files/reports/oag-report-racial-disparities-in-homeownership.pdf"</w:instrText>
      </w:r>
      <w:r>
        <w:rPr>
          <w:rStyle w:val="Hyperlink.0"/>
        </w:rPr>
        <w:fldChar w:fldCharType="separate" w:fldLock="0"/>
      </w:r>
      <w:r>
        <w:rPr>
          <w:rStyle w:val="Hyperlink.0"/>
          <w:rtl w:val="0"/>
          <w:lang w:val="en-US"/>
        </w:rPr>
        <w:t>https://ag.ny.gov/sites/default/files/reports/oag-report-racial-disparities-in-homeownership.pdf</w:t>
      </w:r>
      <w:r>
        <w:rPr/>
        <w:fldChar w:fldCharType="end" w:fldLock="0"/>
      </w:r>
    </w:p>
    <w:p>
      <w:pPr>
        <w:pStyle w:val="Body"/>
        <w:bidi w:val="0"/>
      </w:pPr>
    </w:p>
    <w:p>
      <w:pPr>
        <w:pStyle w:val="Body"/>
        <w:bidi w:val="0"/>
      </w:pPr>
      <w:r>
        <w:rPr>
          <w:rtl w:val="0"/>
          <w:lang w:val="en-US"/>
        </w:rPr>
        <w:t xml:space="preserve">Office of the New York State Comptroller. (2024). </w:t>
      </w:r>
      <w:r>
        <w:rPr>
          <w:i w:val="1"/>
          <w:iCs w:val="1"/>
          <w:rtl w:val="0"/>
          <w:lang w:val="en-US"/>
        </w:rPr>
        <w:t>The cost of living in New York City: Housing.</w:t>
      </w:r>
      <w:r>
        <w:rPr>
          <w:rtl w:val="0"/>
          <w:lang w:val="en-US"/>
        </w:rPr>
        <w:t xml:space="preserve"> Retrieved from </w:t>
      </w:r>
      <w:r>
        <w:rPr>
          <w:rStyle w:val="Hyperlink.0"/>
        </w:rPr>
        <w:fldChar w:fldCharType="begin" w:fldLock="0"/>
      </w:r>
      <w:r>
        <w:rPr>
          <w:rStyle w:val="Hyperlink.0"/>
        </w:rPr>
        <w:instrText xml:space="preserve"> HYPERLINK "https://www.osc.ny.gov/files/reports/osdc/pdf/report-17-2024.pdf"</w:instrText>
      </w:r>
      <w:r>
        <w:rPr>
          <w:rStyle w:val="Hyperlink.0"/>
        </w:rPr>
        <w:fldChar w:fldCharType="separate" w:fldLock="0"/>
      </w:r>
      <w:r>
        <w:rPr>
          <w:rStyle w:val="Hyperlink.0"/>
          <w:rtl w:val="0"/>
          <w:lang w:val="en-US"/>
        </w:rPr>
        <w:t>https://www.osc.ny.gov/files/reports/osdc/pdf/report-17-2024.pdf</w:t>
      </w:r>
      <w:r>
        <w:rPr/>
        <w:fldChar w:fldCharType="end" w:fldLock="0"/>
      </w:r>
    </w:p>
    <w:p>
      <w:pPr>
        <w:pStyle w:val="Body"/>
        <w:bidi w:val="0"/>
      </w:pPr>
    </w:p>
    <w:p>
      <w:pPr>
        <w:pStyle w:val="Body"/>
        <w:bidi w:val="0"/>
      </w:pPr>
      <w:r>
        <w:rPr>
          <w:rtl w:val="0"/>
          <w:lang w:val="en-US"/>
        </w:rPr>
        <w:t xml:space="preserve">This memorandum presents a </w:t>
      </w:r>
      <w:r>
        <w:rPr>
          <w:b w:val="1"/>
          <w:bCs w:val="1"/>
          <w:rtl w:val="0"/>
          <w:lang w:val="en-US"/>
        </w:rPr>
        <w:t>data-driven case</w:t>
      </w:r>
      <w:r>
        <w:rPr>
          <w:rtl w:val="0"/>
          <w:lang w:val="en-US"/>
        </w:rPr>
        <w:t xml:space="preserve"> for reforming NYC</w:t>
      </w:r>
      <w:r>
        <w:rPr>
          <w:rtl w:val="1"/>
        </w:rPr>
        <w:t>’</w:t>
      </w:r>
      <w:r>
        <w:rPr>
          <w:rtl w:val="0"/>
          <w:lang w:val="en-US"/>
        </w:rPr>
        <w:t>s housing subsidy system, prioritizing tenant homeownership as a long-term solution. Let me know if you need further refinements!</w:t>
      </w:r>
    </w:p>
    <w:sectPr>
      <w:headerReference w:type="default" r:id="rId4"/>
      <w:footerReference w:type="default" r:id="rId5"/>
      <w:pgSz w:w="12240" w:h="15840" w:orient="portrait"/>
      <w:pgMar w:top="1440" w:right="1440" w:bottom="1440" w:left="1440" w:header="720" w:footer="864"/>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de-DE"/>
      <w14:textOutline>
        <w14:noFill/>
      </w14:textOutline>
      <w14:textFill>
        <w14:solidFill>
          <w14:srgbClr w14:val="000000"/>
        </w14:solidFill>
      </w14:textFill>
    </w:rPr>
  </w:style>
  <w:style w:type="character" w:styleId="Hyperlink.0">
    <w:name w:val="Hyperlink.0"/>
    <w:basedOn w:val="Hyperlink"/>
    <w:next w:val="Hyperlink.0"/>
    <w:rPr>
      <w:u w:val="single"/>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