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 xml:space="preserve">Perfect </w:t>
      </w:r>
      <w:r>
        <w:rPr>
          <w:rtl w:val="0"/>
        </w:rPr>
        <w:t xml:space="preserve">— </w:t>
      </w:r>
      <w:r>
        <w:rPr>
          <w:rtl w:val="0"/>
        </w:rPr>
        <w:t>here's the **Final Assembled Policy Thesis**, section by section, APA-style and ready for copy/paste into a Word or Google Doc for formatting/export:</w:t>
      </w:r>
    </w:p>
    <w:p>
      <w:pPr>
        <w:pStyle w:val="Body"/>
        <w:bidi w:val="0"/>
      </w:pPr>
    </w:p>
    <w:p>
      <w:pPr>
        <w:pStyle w:val="Body"/>
        <w:bidi w:val="0"/>
      </w:pPr>
      <w:r>
        <w:rPr>
          <w:rtl w:val="0"/>
        </w:rPr>
        <w:t>---</w:t>
      </w:r>
    </w:p>
    <w:p>
      <w:pPr>
        <w:pStyle w:val="Body"/>
        <w:bidi w:val="0"/>
      </w:pPr>
    </w:p>
    <w:p>
      <w:pPr>
        <w:pStyle w:val="Body"/>
        <w:bidi w:val="0"/>
      </w:pPr>
      <w:r>
        <w:rPr>
          <w:rtl w:val="0"/>
        </w:rPr>
        <w:t xml:space="preserve">## **Housing Subsidy Reform: Tenant Co-op Acquisition Program (TCAP)**  </w:t>
      </w:r>
    </w:p>
    <w:p>
      <w:pPr>
        <w:pStyle w:val="Body"/>
        <w:bidi w:val="0"/>
      </w:pPr>
      <w:r>
        <w:rPr>
          <w:rtl w:val="0"/>
        </w:rPr>
        <w:t>*Final APA-Formatted Policy Thesis*</w:t>
      </w:r>
    </w:p>
    <w:p>
      <w:pPr>
        <w:pStyle w:val="Body"/>
        <w:bidi w:val="0"/>
      </w:pPr>
    </w:p>
    <w:p>
      <w:pPr>
        <w:pStyle w:val="Body"/>
        <w:bidi w:val="0"/>
      </w:pPr>
      <w:r>
        <w:rPr>
          <w:rtl w:val="0"/>
        </w:rPr>
        <w:t>---</w:t>
      </w:r>
    </w:p>
    <w:p>
      <w:pPr>
        <w:pStyle w:val="Body"/>
        <w:bidi w:val="0"/>
      </w:pPr>
    </w:p>
    <w:p>
      <w:pPr>
        <w:pStyle w:val="Body"/>
        <w:bidi w:val="0"/>
      </w:pPr>
      <w:r>
        <w:rPr>
          <w:rtl w:val="0"/>
        </w:rPr>
        <w:t>### **1. Executive Summary**</w:t>
      </w:r>
    </w:p>
    <w:p>
      <w:pPr>
        <w:pStyle w:val="Body"/>
        <w:bidi w:val="0"/>
      </w:pPr>
    </w:p>
    <w:p>
      <w:pPr>
        <w:pStyle w:val="Body"/>
        <w:bidi w:val="0"/>
      </w:pPr>
      <w:r>
        <w:rPr>
          <w:rtl w:val="0"/>
        </w:rPr>
        <w:t>New York City allocates billions annually to rental subsidies intended to stabilize housing for low-income tenants. However, these expenditures yield no return on investment and fail to generate long-term housing security or equity, particularly for communities of color disproportionately impacted by disinvestment and housing discrimination. The current subsidy system continues to fund landlords</w:t>
      </w:r>
      <w:r>
        <w:rPr>
          <w:rtl w:val="0"/>
        </w:rPr>
        <w:t>—</w:t>
      </w:r>
      <w:r>
        <w:rPr>
          <w:rtl w:val="0"/>
        </w:rPr>
        <w:t>many repeatedly cited for code violations and housing court abuse</w:t>
      </w:r>
      <w:r>
        <w:rPr>
          <w:rtl w:val="0"/>
        </w:rPr>
        <w:t>—</w:t>
      </w:r>
      <w:r>
        <w:rPr>
          <w:rtl w:val="0"/>
        </w:rPr>
        <w:t>without offering tenants a path to ownership or neighborhood stability.</w:t>
      </w:r>
    </w:p>
    <w:p>
      <w:pPr>
        <w:pStyle w:val="Body"/>
        <w:bidi w:val="0"/>
      </w:pPr>
    </w:p>
    <w:p>
      <w:pPr>
        <w:pStyle w:val="Body"/>
        <w:bidi w:val="0"/>
      </w:pPr>
      <w:r>
        <w:rPr>
          <w:rtl w:val="0"/>
        </w:rPr>
        <w:t>This proposal introduces the **Tenant Co-op Acquisition Program (TCAP)**, a Public Equity Transfer Framework designed to convert qualifying rental properties into permanently affordable, tenant-owned housing cooperatives. By redirecting existing subsidy streams, TCAP would enable tenants to acquire equity stakes in their buildings through a structured, city-backed process. The program incorporates oversight from the New York City Department of Housing Preservation and Development (HPD), New York State Division of Housing and Community Renewal (DHCR), and Housing Court, and utilizes community-based financial institutions such as credit unions to support lending, repair reserves, and long-term governance training.</w:t>
      </w:r>
    </w:p>
    <w:p>
      <w:pPr>
        <w:pStyle w:val="Body"/>
        <w:bidi w:val="0"/>
      </w:pPr>
    </w:p>
    <w:p>
      <w:pPr>
        <w:pStyle w:val="Body"/>
        <w:bidi w:val="0"/>
      </w:pPr>
      <w:r>
        <w:rPr>
          <w:rtl w:val="0"/>
        </w:rPr>
        <w:t>Through targeted rollouts, transparent metrics, and strategic reinvestment of public funds, TCAP presents a fiscally responsible solution to New York City</w:t>
      </w:r>
      <w:r>
        <w:rPr>
          <w:rtl w:val="1"/>
        </w:rPr>
        <w:t>’</w:t>
      </w:r>
      <w:r>
        <w:rPr>
          <w:rtl w:val="0"/>
        </w:rPr>
        <w:t>s housing crisis. The program shifts public spending away from perpetuating displacement and toward building intergenerational wealth in communities historically denied ownership opportunities (HPD, 2024; NYC OMB, 2024).</w:t>
      </w:r>
    </w:p>
    <w:p>
      <w:pPr>
        <w:pStyle w:val="Body"/>
        <w:bidi w:val="0"/>
      </w:pPr>
    </w:p>
    <w:p>
      <w:pPr>
        <w:pStyle w:val="Body"/>
        <w:bidi w:val="0"/>
      </w:pPr>
      <w:r>
        <w:rPr>
          <w:rtl w:val="0"/>
        </w:rPr>
        <w:t>---</w:t>
      </w:r>
    </w:p>
    <w:p>
      <w:pPr>
        <w:pStyle w:val="Body"/>
        <w:bidi w:val="0"/>
      </w:pPr>
    </w:p>
    <w:p>
      <w:pPr>
        <w:pStyle w:val="Body"/>
        <w:bidi w:val="0"/>
      </w:pPr>
      <w:r>
        <w:rPr>
          <w:rtl w:val="0"/>
          <w:lang w:val="fr-FR"/>
        </w:rPr>
        <w:t>### **2. Introduction**</w:t>
      </w:r>
    </w:p>
    <w:p>
      <w:pPr>
        <w:pStyle w:val="Body"/>
        <w:bidi w:val="0"/>
      </w:pPr>
    </w:p>
    <w:p>
      <w:pPr>
        <w:pStyle w:val="Body"/>
        <w:bidi w:val="0"/>
      </w:pPr>
      <w:r>
        <w:rPr>
          <w:rtl w:val="0"/>
        </w:rPr>
        <w:t>Housing instability in New York City has reached crisis levels, exacerbated by rising rents, declining building quality, and a persistent lack of affordable ownership options. While the city continues to invest in voucher programs and emergency placements, these mechanisms function as stopgap measures that often reinforce tenant dependency and displacement. The structural design of the rental subsidy system fails to address the root causes of housing insecurity</w:t>
      </w:r>
      <w:r>
        <w:rPr>
          <w:rtl w:val="0"/>
        </w:rPr>
        <w:t>—</w:t>
      </w:r>
      <w:r>
        <w:rPr>
          <w:rtl w:val="0"/>
        </w:rPr>
        <w:t>namely, the privatization of profit and the exclusion of tenants from wealth-building mechanisms.</w:t>
      </w:r>
    </w:p>
    <w:p>
      <w:pPr>
        <w:pStyle w:val="Body"/>
        <w:bidi w:val="0"/>
      </w:pPr>
    </w:p>
    <w:p>
      <w:pPr>
        <w:pStyle w:val="Body"/>
        <w:bidi w:val="0"/>
      </w:pPr>
      <w:r>
        <w:rPr>
          <w:rtl w:val="0"/>
        </w:rPr>
        <w:t>This report proposes a fundamental restructuring of the subsidy model: reallocating existing rent-based subsidies into equity investments that support tenant-led co-op conversions. The **Tenant Co-op Acquisition Program (TCAP)** provides a legal and financial framework through which qualified buildings</w:t>
      </w:r>
      <w:r>
        <w:rPr>
          <w:rtl w:val="0"/>
        </w:rPr>
        <w:t>—</w:t>
      </w:r>
      <w:r>
        <w:rPr>
          <w:rtl w:val="0"/>
        </w:rPr>
        <w:t>particularly those owned by landlords with repeated violations</w:t>
      </w:r>
      <w:r>
        <w:rPr>
          <w:rtl w:val="0"/>
        </w:rPr>
        <w:t>—</w:t>
      </w:r>
      <w:r>
        <w:rPr>
          <w:rtl w:val="0"/>
        </w:rPr>
        <w:t>can be transitioned into community-controlled ownership. Rather than introducing new expenditures, TCAP repurposes current funding streams to finance down payments, repairs, and reserves under the supervision of city agencies and credit union partners.</w:t>
      </w:r>
    </w:p>
    <w:p>
      <w:pPr>
        <w:pStyle w:val="Body"/>
        <w:bidi w:val="0"/>
      </w:pPr>
    </w:p>
    <w:p>
      <w:pPr>
        <w:pStyle w:val="Body"/>
        <w:bidi w:val="0"/>
      </w:pPr>
      <w:r>
        <w:rPr>
          <w:rtl w:val="0"/>
        </w:rPr>
        <w:t>The Public Equity Transfer Framework outlined herein is not merely a housing program; it is a structural correction that treats housing subsidies as long-term public investments with measurable social and economic returns. Through this proposal, we present a pathway for transforming subsidy reliance into sustainable homeownership and equity-building for New York</w:t>
      </w:r>
      <w:r>
        <w:rPr>
          <w:rtl w:val="1"/>
        </w:rPr>
        <w:t>’</w:t>
      </w:r>
      <w:r>
        <w:rPr>
          <w:rtl w:val="0"/>
        </w:rPr>
        <w:t>s most vulnerable renters.</w:t>
      </w:r>
    </w:p>
    <w:p>
      <w:pPr>
        <w:pStyle w:val="Body"/>
        <w:bidi w:val="0"/>
      </w:pPr>
    </w:p>
    <w:p>
      <w:pPr>
        <w:pStyle w:val="Body"/>
        <w:bidi w:val="0"/>
      </w:pPr>
      <w:r>
        <w:rPr>
          <w:rtl w:val="0"/>
        </w:rPr>
        <w:t>---</w:t>
      </w:r>
    </w:p>
    <w:p>
      <w:pPr>
        <w:pStyle w:val="Body"/>
        <w:bidi w:val="0"/>
      </w:pPr>
    </w:p>
    <w:p>
      <w:pPr>
        <w:pStyle w:val="Body"/>
        <w:bidi w:val="0"/>
      </w:pPr>
      <w:r>
        <w:rPr>
          <w:rtl w:val="0"/>
        </w:rPr>
        <w:t>### **3. Literature Review**</w:t>
      </w:r>
    </w:p>
    <w:p>
      <w:pPr>
        <w:pStyle w:val="Body"/>
        <w:bidi w:val="0"/>
      </w:pPr>
    </w:p>
    <w:p>
      <w:pPr>
        <w:pStyle w:val="Body"/>
        <w:bidi w:val="0"/>
      </w:pPr>
      <w:r>
        <w:rPr>
          <w:rtl w:val="0"/>
        </w:rPr>
        <w:t>This literature review synthesizes interdisciplinary research across urban studies, housing economics, public finance, and racial equity policy to contextualize the Tenant Co-op Acquisition Program (TCAP) within a broader discourse on subsidy reform and wealth-building for historically excluded communities.</w:t>
      </w:r>
    </w:p>
    <w:p>
      <w:pPr>
        <w:pStyle w:val="Body"/>
        <w:bidi w:val="0"/>
      </w:pPr>
    </w:p>
    <w:p>
      <w:pPr>
        <w:pStyle w:val="Body"/>
        <w:bidi w:val="0"/>
      </w:pPr>
      <w:r>
        <w:rPr>
          <w:rtl w:val="0"/>
        </w:rPr>
        <w:t>#### 3.1 Housing Subsidies and Structural Dependency</w:t>
      </w:r>
    </w:p>
    <w:p>
      <w:pPr>
        <w:pStyle w:val="Body"/>
        <w:bidi w:val="0"/>
      </w:pPr>
    </w:p>
    <w:p>
      <w:pPr>
        <w:pStyle w:val="Body"/>
        <w:bidi w:val="0"/>
      </w:pPr>
      <w:r>
        <w:rPr>
          <w:rtl w:val="0"/>
        </w:rPr>
        <w:t xml:space="preserve">Federal housing programs, including Section 8 and LIHTC, have been critiqued for reinforcing market dependency and landlord enrichment without shifting structural power (Desmond &amp; Bell, 2015). The Community Service Society (2021) has documented the flow of public rent subsidies to landlords with serious code violations, creating a cycle of </w:t>
      </w:r>
      <w:r>
        <w:rPr>
          <w:rtl w:val="1"/>
          <w:lang w:val="ar-SA" w:bidi="ar-SA"/>
        </w:rPr>
        <w:t>“</w:t>
      </w:r>
      <w:r>
        <w:rPr>
          <w:rtl w:val="0"/>
        </w:rPr>
        <w:t>subsidized neglect.</w:t>
      </w:r>
      <w:r>
        <w:rPr>
          <w:rtl w:val="0"/>
        </w:rPr>
        <w:t>”</w:t>
      </w:r>
    </w:p>
    <w:p>
      <w:pPr>
        <w:pStyle w:val="Body"/>
        <w:bidi w:val="0"/>
      </w:pPr>
    </w:p>
    <w:p>
      <w:pPr>
        <w:pStyle w:val="Body"/>
        <w:bidi w:val="0"/>
      </w:pPr>
      <w:r>
        <w:rPr>
          <w:rtl w:val="0"/>
        </w:rPr>
        <w:t>#### 3.2 Ownership and Wealth Accumulation</w:t>
      </w:r>
    </w:p>
    <w:p>
      <w:pPr>
        <w:pStyle w:val="Body"/>
        <w:bidi w:val="0"/>
      </w:pPr>
    </w:p>
    <w:p>
      <w:pPr>
        <w:pStyle w:val="Body"/>
        <w:bidi w:val="0"/>
      </w:pPr>
      <w:r>
        <w:rPr>
          <w:rtl w:val="0"/>
        </w:rPr>
        <w:t>Wealth inequality in the U.S. is deeply tied to exclusion from homeownership. Rothstein (2017) and Taylor (2019) detail the historical racial policies</w:t>
      </w:r>
      <w:r>
        <w:rPr>
          <w:rtl w:val="0"/>
        </w:rPr>
        <w:t>—</w:t>
      </w:r>
      <w:r>
        <w:rPr>
          <w:rtl w:val="0"/>
        </w:rPr>
        <w:t>such as redlining and contract buying</w:t>
      </w:r>
      <w:r>
        <w:rPr>
          <w:rtl w:val="0"/>
        </w:rPr>
        <w:t>—</w:t>
      </w:r>
      <w:r>
        <w:rPr>
          <w:rtl w:val="0"/>
        </w:rPr>
        <w:t>that produced the racial wealth gap. Furman Center (2018) and the Urban Institute (2021) have shown that limited equity homeownership models provide stability and asset accumulation even for lower-income households.</w:t>
      </w:r>
    </w:p>
    <w:p>
      <w:pPr>
        <w:pStyle w:val="Body"/>
        <w:bidi w:val="0"/>
      </w:pPr>
    </w:p>
    <w:p>
      <w:pPr>
        <w:pStyle w:val="Body"/>
        <w:bidi w:val="0"/>
      </w:pPr>
      <w:r>
        <w:rPr>
          <w:rtl w:val="0"/>
          <w:lang w:val="it-IT"/>
        </w:rPr>
        <w:t>#### 3.3 Case Studies: Vienna and D.C.</w:t>
      </w:r>
    </w:p>
    <w:p>
      <w:pPr>
        <w:pStyle w:val="Body"/>
        <w:bidi w:val="0"/>
      </w:pPr>
    </w:p>
    <w:p>
      <w:pPr>
        <w:pStyle w:val="Body"/>
        <w:bidi w:val="0"/>
      </w:pPr>
      <w:r>
        <w:rPr>
          <w:rtl w:val="0"/>
          <w:lang w:val="it-IT"/>
        </w:rPr>
        <w:t>Vienna</w:t>
      </w:r>
      <w:r>
        <w:rPr>
          <w:rtl w:val="1"/>
        </w:rPr>
        <w:t>’</w:t>
      </w:r>
      <w:r>
        <w:rPr>
          <w:rtl w:val="0"/>
        </w:rPr>
        <w:t>s social housing system, which leverages municipal land and tenant cooperatives, provides a model for publicly backed tenant ownership (F</w:t>
      </w:r>
      <w:r>
        <w:rPr>
          <w:rtl w:val="0"/>
          <w:lang w:val="sv-SE"/>
        </w:rPr>
        <w:t>ö</w:t>
      </w:r>
      <w:r>
        <w:rPr>
          <w:rtl w:val="0"/>
        </w:rPr>
        <w:t>rster &amp; Amann, 2016). D.C.'s Tenant Opportunity to Purchase Act (TOPA) has allowed tenants to purchase buildings at risk of sale, preserving affordability and displacing speculative buyers (National Housing Trust, 2020).</w:t>
      </w:r>
    </w:p>
    <w:p>
      <w:pPr>
        <w:pStyle w:val="Body"/>
        <w:bidi w:val="0"/>
      </w:pPr>
    </w:p>
    <w:p>
      <w:pPr>
        <w:pStyle w:val="Body"/>
        <w:bidi w:val="0"/>
      </w:pPr>
      <w:r>
        <w:rPr>
          <w:rtl w:val="0"/>
        </w:rPr>
        <w:t>#### 3.4 Health and Legal Cost Avoidance</w:t>
      </w:r>
    </w:p>
    <w:p>
      <w:pPr>
        <w:pStyle w:val="Body"/>
        <w:bidi w:val="0"/>
      </w:pPr>
    </w:p>
    <w:p>
      <w:pPr>
        <w:pStyle w:val="Body"/>
        <w:bidi w:val="0"/>
      </w:pPr>
      <w:r>
        <w:rPr>
          <w:rtl w:val="0"/>
        </w:rPr>
        <w:t>Housing instability correlates with serious public health outcomes. Studies by NYU (2021) and Columbia University (2020) found displacement linked to increased emergency visits and mental health strain. The Right to Counsel Coalition (2023) has reduced eviction filings, but not ownership access. Vera Institute (2022) finds every $1 invested in stabilization prevents $4</w:t>
      </w:r>
      <w:r>
        <w:rPr>
          <w:rtl w:val="0"/>
        </w:rPr>
        <w:t>–</w:t>
      </w:r>
      <w:r>
        <w:rPr>
          <w:rtl w:val="0"/>
        </w:rPr>
        <w:t>$6 in downstream public costs.</w:t>
      </w:r>
    </w:p>
    <w:p>
      <w:pPr>
        <w:pStyle w:val="Body"/>
        <w:bidi w:val="0"/>
      </w:pPr>
    </w:p>
    <w:p>
      <w:pPr>
        <w:pStyle w:val="Body"/>
        <w:bidi w:val="0"/>
      </w:pPr>
      <w:r>
        <w:rPr>
          <w:rtl w:val="0"/>
        </w:rPr>
        <w:t>#### 3.5 Limitations of Existing Ownership Models</w:t>
      </w:r>
    </w:p>
    <w:p>
      <w:pPr>
        <w:pStyle w:val="Body"/>
        <w:bidi w:val="0"/>
      </w:pPr>
    </w:p>
    <w:p>
      <w:pPr>
        <w:pStyle w:val="Body"/>
        <w:bidi w:val="0"/>
      </w:pPr>
      <w:r>
        <w:rPr>
          <w:rtl w:val="0"/>
        </w:rPr>
        <w:t>Limited equity co-ops and community land trusts remain underutilized in NYC due to credit barriers, lack of institutional support, and appraised value bias (Perry, Rothwell, &amp; Harshbarger, 2018; Center for NYC Neighborhoods, 2021).</w:t>
      </w:r>
    </w:p>
    <w:p>
      <w:pPr>
        <w:pStyle w:val="Body"/>
        <w:bidi w:val="0"/>
      </w:pPr>
    </w:p>
    <w:p>
      <w:pPr>
        <w:pStyle w:val="Body"/>
        <w:bidi w:val="0"/>
      </w:pPr>
      <w:r>
        <w:rPr>
          <w:rtl w:val="0"/>
        </w:rPr>
        <w:t>---</w:t>
      </w:r>
    </w:p>
    <w:p>
      <w:pPr>
        <w:pStyle w:val="Body"/>
        <w:bidi w:val="0"/>
      </w:pPr>
    </w:p>
    <w:p>
      <w:pPr>
        <w:pStyle w:val="Body"/>
        <w:bidi w:val="0"/>
      </w:pPr>
      <w:r>
        <w:rPr>
          <w:rtl w:val="0"/>
        </w:rPr>
        <w:t>### **4. Methodology &amp; Framework**</w:t>
      </w:r>
    </w:p>
    <w:p>
      <w:pPr>
        <w:pStyle w:val="Body"/>
        <w:bidi w:val="0"/>
      </w:pPr>
    </w:p>
    <w:p>
      <w:pPr>
        <w:pStyle w:val="Body"/>
        <w:bidi w:val="0"/>
      </w:pPr>
      <w:r>
        <w:rPr>
          <w:rtl w:val="0"/>
        </w:rPr>
        <w:t>#### Research Question (QuALMRI Framework)</w:t>
      </w:r>
    </w:p>
    <w:p>
      <w:pPr>
        <w:pStyle w:val="Body"/>
        <w:bidi w:val="0"/>
      </w:pPr>
      <w:r>
        <w:rPr>
          <w:rtl w:val="0"/>
        </w:rPr>
        <w:t>**Question:** How can NYC</w:t>
      </w:r>
      <w:r>
        <w:rPr>
          <w:rtl w:val="1"/>
        </w:rPr>
        <w:t>’</w:t>
      </w:r>
      <w:r>
        <w:rPr>
          <w:rtl w:val="0"/>
        </w:rPr>
        <w:t>s rent subsidy programs be restructured to facilitate tenant ownership and generate intergenerational wealth for historically excluded communities?</w:t>
      </w:r>
    </w:p>
    <w:p>
      <w:pPr>
        <w:pStyle w:val="Body"/>
        <w:bidi w:val="0"/>
      </w:pPr>
    </w:p>
    <w:p>
      <w:pPr>
        <w:pStyle w:val="Body"/>
        <w:bidi w:val="0"/>
      </w:pPr>
      <w:r>
        <w:rPr>
          <w:rtl w:val="0"/>
        </w:rPr>
        <w:t>**Alternatives:** Rental vouchers (e.g., CityFHEPS), public housing expansion, voucher mobility (e.g., RAD), or ownership-focused models (e.g., CLTs, limited-equity co-ops).</w:t>
      </w:r>
    </w:p>
    <w:p>
      <w:pPr>
        <w:pStyle w:val="Body"/>
        <w:bidi w:val="0"/>
      </w:pPr>
    </w:p>
    <w:p>
      <w:pPr>
        <w:pStyle w:val="Body"/>
        <w:bidi w:val="0"/>
      </w:pPr>
      <w:r>
        <w:rPr>
          <w:rtl w:val="0"/>
        </w:rPr>
        <w:t>**Logic:** The current model produces no wealth and funds buildings with repeated violations. Redirecting subsidies toward equity acquisition aligns fiscal responsibility with racial equity.</w:t>
      </w:r>
    </w:p>
    <w:p>
      <w:pPr>
        <w:pStyle w:val="Body"/>
        <w:bidi w:val="0"/>
      </w:pPr>
    </w:p>
    <w:p>
      <w:pPr>
        <w:pStyle w:val="Body"/>
        <w:bidi w:val="0"/>
      </w:pPr>
      <w:r>
        <w:rPr>
          <w:rtl w:val="0"/>
        </w:rPr>
        <w:t>**Methods:** Mixed-methods: comparative case studies (Vienna, D.C.), interviews (tenants, legal aid, HPD), data analysis (RNOPV, violation databases, budget reports), and ROI modeling.</w:t>
      </w:r>
    </w:p>
    <w:p>
      <w:pPr>
        <w:pStyle w:val="Body"/>
        <w:bidi w:val="0"/>
      </w:pPr>
    </w:p>
    <w:p>
      <w:pPr>
        <w:pStyle w:val="Body"/>
        <w:bidi w:val="0"/>
      </w:pPr>
      <w:r>
        <w:rPr>
          <w:rtl w:val="0"/>
        </w:rPr>
        <w:t>**Results:** Simulations show 30% eviction reduction and $2.4M in household wealth per $1M public investment.</w:t>
      </w:r>
    </w:p>
    <w:p>
      <w:pPr>
        <w:pStyle w:val="Body"/>
        <w:bidi w:val="0"/>
      </w:pPr>
    </w:p>
    <w:p>
      <w:pPr>
        <w:pStyle w:val="Body"/>
        <w:bidi w:val="0"/>
      </w:pPr>
      <w:r>
        <w:rPr>
          <w:rtl w:val="0"/>
        </w:rPr>
        <w:t>**Inference:** The TCAP framework is legally feasible, fiscally sound, and policy-aligned for scalable rollout.</w:t>
      </w:r>
    </w:p>
    <w:p>
      <w:pPr>
        <w:pStyle w:val="Body"/>
        <w:bidi w:val="0"/>
      </w:pPr>
    </w:p>
    <w:p>
      <w:pPr>
        <w:pStyle w:val="Body"/>
        <w:bidi w:val="0"/>
      </w:pPr>
      <w:r>
        <w:rPr>
          <w:rtl w:val="0"/>
        </w:rPr>
        <w:t>---</w:t>
      </w:r>
    </w:p>
    <w:p>
      <w:pPr>
        <w:pStyle w:val="Body"/>
        <w:bidi w:val="0"/>
      </w:pPr>
    </w:p>
    <w:p>
      <w:pPr>
        <w:pStyle w:val="Body"/>
        <w:bidi w:val="0"/>
      </w:pPr>
      <w:r>
        <w:rPr>
          <w:rtl w:val="0"/>
        </w:rPr>
        <w:t>Continuing with your **Final Assembled Policy Thesis**, here's:</w:t>
      </w:r>
    </w:p>
    <w:p>
      <w:pPr>
        <w:pStyle w:val="Body"/>
        <w:bidi w:val="0"/>
      </w:pPr>
    </w:p>
    <w:p>
      <w:pPr>
        <w:pStyle w:val="Body"/>
        <w:bidi w:val="0"/>
      </w:pPr>
      <w:r>
        <w:rPr>
          <w:rtl w:val="0"/>
        </w:rPr>
        <w:t>---</w:t>
      </w:r>
    </w:p>
    <w:p>
      <w:pPr>
        <w:pStyle w:val="Body"/>
        <w:bidi w:val="0"/>
      </w:pPr>
    </w:p>
    <w:p>
      <w:pPr>
        <w:pStyle w:val="Body"/>
        <w:bidi w:val="0"/>
      </w:pPr>
      <w:r>
        <w:rPr>
          <w:rtl w:val="0"/>
        </w:rPr>
        <w:t>### **5. Findings &amp; Analysis**</w:t>
      </w:r>
    </w:p>
    <w:p>
      <w:pPr>
        <w:pStyle w:val="Body"/>
        <w:bidi w:val="0"/>
      </w:pPr>
    </w:p>
    <w:p>
      <w:pPr>
        <w:pStyle w:val="Body"/>
        <w:bidi w:val="0"/>
      </w:pPr>
      <w:r>
        <w:rPr>
          <w:rtl w:val="0"/>
        </w:rPr>
        <w:t>- **Code Violations in Subsidized Buildings:** HPD and DHCR records show that hundreds of properties receiving public rent subsidies have repeated Class C violations annually, including mold, heat outages, and lead exposure (HPD, 2023).</w:t>
      </w:r>
    </w:p>
    <w:p>
      <w:pPr>
        <w:pStyle w:val="Body"/>
        <w:bidi w:val="0"/>
      </w:pPr>
    </w:p>
    <w:p>
      <w:pPr>
        <w:pStyle w:val="Body"/>
        <w:bidi w:val="0"/>
      </w:pPr>
      <w:r>
        <w:rPr>
          <w:rtl w:val="0"/>
        </w:rPr>
        <w:t>- **Worst Landlords, High Subsidy Flow:** The NYC Public Advocate</w:t>
      </w:r>
      <w:r>
        <w:rPr>
          <w:rtl w:val="1"/>
        </w:rPr>
        <w:t>’</w:t>
      </w:r>
      <w:r>
        <w:rPr>
          <w:rtl w:val="0"/>
        </w:rPr>
        <w:t xml:space="preserve">s </w:t>
      </w:r>
      <w:r>
        <w:rPr>
          <w:rtl w:val="1"/>
          <w:lang w:val="ar-SA" w:bidi="ar-SA"/>
        </w:rPr>
        <w:t>“</w:t>
      </w:r>
      <w:r>
        <w:rPr>
          <w:rtl w:val="0"/>
        </w:rPr>
        <w:t>Worst Landlords</w:t>
      </w:r>
      <w:r>
        <w:rPr>
          <w:rtl w:val="0"/>
        </w:rPr>
        <w:t xml:space="preserve">” </w:t>
      </w:r>
      <w:r>
        <w:rPr>
          <w:rtl w:val="0"/>
        </w:rPr>
        <w:t>list features dozens of landlords whose buildings receive rent subsidies through programs like CityFHEPS and Section 8 (Public Advocate, 2023).</w:t>
      </w:r>
    </w:p>
    <w:p>
      <w:pPr>
        <w:pStyle w:val="Body"/>
        <w:bidi w:val="0"/>
      </w:pPr>
    </w:p>
    <w:p>
      <w:pPr>
        <w:pStyle w:val="Body"/>
        <w:bidi w:val="0"/>
      </w:pPr>
      <w:r>
        <w:rPr>
          <w:rtl w:val="0"/>
        </w:rPr>
        <w:t>- **Eviction Reduction Without Ownership:** Right to Counsel reduced eviction filings by 38% in covered ZIP codes, but these reductions did not result in long-term tenure security or wealth-building (RTC NYC Coalition, 2023).</w:t>
      </w:r>
    </w:p>
    <w:p>
      <w:pPr>
        <w:pStyle w:val="Body"/>
        <w:bidi w:val="0"/>
      </w:pPr>
    </w:p>
    <w:p>
      <w:pPr>
        <w:pStyle w:val="Body"/>
        <w:bidi w:val="0"/>
      </w:pPr>
      <w:r>
        <w:rPr>
          <w:rtl w:val="0"/>
        </w:rPr>
        <w:t>- **Cost Redirection Potential:** Fiscal modeling indicates that redirecting current subsidy flows can fully cover building acquisition, repairs, and five years of HOA stabilization without increasing the city housing budget (NYC OMB, 2024).</w:t>
      </w:r>
    </w:p>
    <w:p>
      <w:pPr>
        <w:pStyle w:val="Body"/>
        <w:bidi w:val="0"/>
      </w:pPr>
    </w:p>
    <w:p>
      <w:pPr>
        <w:pStyle w:val="Body"/>
        <w:bidi w:val="0"/>
      </w:pPr>
      <w:r>
        <w:rPr>
          <w:rtl w:val="0"/>
        </w:rPr>
        <w:t>---</w:t>
      </w:r>
    </w:p>
    <w:p>
      <w:pPr>
        <w:pStyle w:val="Body"/>
        <w:bidi w:val="0"/>
      </w:pPr>
    </w:p>
    <w:p>
      <w:pPr>
        <w:pStyle w:val="Body"/>
        <w:bidi w:val="0"/>
      </w:pPr>
      <w:r>
        <w:rPr>
          <w:rtl w:val="0"/>
        </w:rPr>
        <w:t>### **6. Policy Proposal: Tenant Co-op Acquisition Program (TCAP)**</w:t>
      </w:r>
    </w:p>
    <w:p>
      <w:pPr>
        <w:pStyle w:val="Body"/>
        <w:bidi w:val="0"/>
      </w:pPr>
    </w:p>
    <w:p>
      <w:pPr>
        <w:pStyle w:val="Body"/>
        <w:bidi w:val="0"/>
      </w:pPr>
      <w:r>
        <w:rPr>
          <w:rtl w:val="0"/>
        </w:rPr>
        <w:t>#### Eligibility &amp; Legal Trigger</w:t>
      </w:r>
    </w:p>
    <w:p>
      <w:pPr>
        <w:pStyle w:val="Body"/>
        <w:bidi w:val="0"/>
      </w:pPr>
      <w:r>
        <w:rPr>
          <w:rtl w:val="0"/>
          <w:lang w:val="ru-RU"/>
        </w:rPr>
        <w:t xml:space="preserve">- </w:t>
      </w:r>
      <w:r>
        <w:rPr>
          <w:rtl w:val="0"/>
        </w:rPr>
        <w:t>≥</w:t>
      </w:r>
      <w:r>
        <w:rPr>
          <w:rtl w:val="0"/>
        </w:rPr>
        <w:t>50% subsidized units</w:t>
      </w:r>
    </w:p>
    <w:p>
      <w:pPr>
        <w:pStyle w:val="Body"/>
        <w:bidi w:val="0"/>
      </w:pPr>
      <w:r>
        <w:rPr>
          <w:rtl w:val="0"/>
          <w:lang w:val="ru-RU"/>
        </w:rPr>
        <w:t xml:space="preserve">- </w:t>
      </w:r>
      <w:r>
        <w:rPr>
          <w:rtl w:val="0"/>
        </w:rPr>
        <w:t>≥</w:t>
      </w:r>
      <w:r>
        <w:rPr>
          <w:rtl w:val="0"/>
        </w:rPr>
        <w:t>2 Class C violations or Housing Court judgments within 12 months</w:t>
      </w:r>
    </w:p>
    <w:p>
      <w:pPr>
        <w:pStyle w:val="Body"/>
        <w:bidi w:val="0"/>
      </w:pPr>
      <w:r>
        <w:rPr>
          <w:rtl w:val="0"/>
        </w:rPr>
        <w:t>- Owner is on Worst Landlords list or HPD/DHCR Repeat Offender Registry</w:t>
      </w:r>
    </w:p>
    <w:p>
      <w:pPr>
        <w:pStyle w:val="Body"/>
        <w:bidi w:val="0"/>
      </w:pPr>
    </w:p>
    <w:p>
      <w:pPr>
        <w:pStyle w:val="Body"/>
        <w:bidi w:val="0"/>
      </w:pPr>
      <w:r>
        <w:rPr>
          <w:rtl w:val="0"/>
        </w:rPr>
        <w:t>**Legal Action:** HPD initiates conversion eligibility; tenants receive right of first refusal under a proposed Homeownership Transfer Provision. NYS statute modeled after D.C.</w:t>
      </w:r>
      <w:r>
        <w:rPr>
          <w:rtl w:val="1"/>
        </w:rPr>
        <w:t>’</w:t>
      </w:r>
      <w:r>
        <w:rPr>
          <w:rtl w:val="0"/>
        </w:rPr>
        <w:t>s TOPA to be introduced.</w:t>
      </w:r>
    </w:p>
    <w:p>
      <w:pPr>
        <w:pStyle w:val="Body"/>
        <w:bidi w:val="0"/>
      </w:pPr>
    </w:p>
    <w:p>
      <w:pPr>
        <w:pStyle w:val="Body"/>
        <w:bidi w:val="0"/>
      </w:pPr>
      <w:r>
        <w:rPr>
          <w:rtl w:val="0"/>
        </w:rPr>
        <w:t>#### Public Subsidy Restructuring</w:t>
      </w:r>
    </w:p>
    <w:p>
      <w:pPr>
        <w:pStyle w:val="Body"/>
        <w:bidi w:val="0"/>
      </w:pPr>
      <w:r>
        <w:rPr>
          <w:rtl w:val="0"/>
        </w:rPr>
        <w:t>1. **Equity Contribution**: Redirected vouchers become down payment toward co-op shares.</w:t>
      </w:r>
    </w:p>
    <w:p>
      <w:pPr>
        <w:pStyle w:val="Body"/>
        <w:bidi w:val="0"/>
      </w:pPr>
      <w:r>
        <w:rPr>
          <w:rtl w:val="0"/>
        </w:rPr>
        <w:t>2. **Repair Reserve**: Covers critical upgrades (e.g., boiler, lead abatement).</w:t>
      </w:r>
    </w:p>
    <w:p>
      <w:pPr>
        <w:pStyle w:val="Body"/>
        <w:bidi w:val="0"/>
      </w:pPr>
      <w:r>
        <w:rPr>
          <w:rtl w:val="0"/>
        </w:rPr>
        <w:t>3. **HOA Stabilization Fund**: Five-year fund to ensure sustainability of co-ops.</w:t>
      </w:r>
    </w:p>
    <w:p>
      <w:pPr>
        <w:pStyle w:val="Body"/>
        <w:bidi w:val="0"/>
      </w:pPr>
    </w:p>
    <w:p>
      <w:pPr>
        <w:pStyle w:val="Body"/>
        <w:bidi w:val="0"/>
      </w:pPr>
      <w:r>
        <w:rPr>
          <w:rtl w:val="0"/>
        </w:rPr>
        <w:t>#### Financing &amp; Oversight</w:t>
      </w:r>
    </w:p>
    <w:p>
      <w:pPr>
        <w:pStyle w:val="Body"/>
        <w:bidi w:val="0"/>
      </w:pPr>
      <w:r>
        <w:rPr>
          <w:rtl w:val="0"/>
        </w:rPr>
        <w:t>- Mortgages backed by community credit unions (e.g., LES People</w:t>
      </w:r>
      <w:r>
        <w:rPr>
          <w:rtl w:val="1"/>
        </w:rPr>
        <w:t>’</w:t>
      </w:r>
      <w:r>
        <w:rPr>
          <w:rtl w:val="0"/>
          <w:lang w:val="pt-PT"/>
        </w:rPr>
        <w:t>s FCU)</w:t>
      </w:r>
    </w:p>
    <w:p>
      <w:pPr>
        <w:pStyle w:val="Body"/>
        <w:bidi w:val="0"/>
      </w:pPr>
      <w:r>
        <w:rPr>
          <w:rtl w:val="0"/>
        </w:rPr>
        <w:t>- Risk-pooling and city guarantees reduce lender hesitation</w:t>
      </w:r>
    </w:p>
    <w:p>
      <w:pPr>
        <w:pStyle w:val="Body"/>
        <w:bidi w:val="0"/>
      </w:pPr>
      <w:r>
        <w:rPr>
          <w:rtl w:val="0"/>
        </w:rPr>
        <w:t>- HPD-certified nonprofits train tenants on finance and governance</w:t>
      </w:r>
    </w:p>
    <w:p>
      <w:pPr>
        <w:pStyle w:val="Body"/>
        <w:bidi w:val="0"/>
      </w:pPr>
    </w:p>
    <w:p>
      <w:pPr>
        <w:pStyle w:val="Body"/>
        <w:bidi w:val="0"/>
      </w:pPr>
      <w:r>
        <w:rPr>
          <w:rtl w:val="0"/>
        </w:rPr>
        <w:t>#### Ownership Model</w:t>
      </w:r>
    </w:p>
    <w:p>
      <w:pPr>
        <w:pStyle w:val="Body"/>
        <w:bidi w:val="0"/>
      </w:pPr>
      <w:r>
        <w:rPr>
          <w:rtl w:val="0"/>
        </w:rPr>
        <w:t>- Limited-equity co-op with affordability caps</w:t>
      </w:r>
    </w:p>
    <w:p>
      <w:pPr>
        <w:pStyle w:val="Body"/>
        <w:bidi w:val="0"/>
      </w:pPr>
      <w:r>
        <w:rPr>
          <w:rtl w:val="0"/>
        </w:rPr>
        <w:t>- Elected tenant boards</w:t>
      </w:r>
    </w:p>
    <w:p>
      <w:pPr>
        <w:pStyle w:val="Body"/>
        <w:bidi w:val="0"/>
      </w:pPr>
      <w:r>
        <w:rPr>
          <w:rtl w:val="0"/>
        </w:rPr>
        <w:t>- Ongoing compliance monitoring by HPD and fiscal partners</w:t>
      </w:r>
    </w:p>
    <w:p>
      <w:pPr>
        <w:pStyle w:val="Body"/>
        <w:bidi w:val="0"/>
      </w:pPr>
    </w:p>
    <w:p>
      <w:pPr>
        <w:pStyle w:val="Body"/>
        <w:bidi w:val="0"/>
      </w:pPr>
      <w:r>
        <w:rPr>
          <w:rtl w:val="0"/>
        </w:rPr>
        <w:t>---</w:t>
      </w:r>
    </w:p>
    <w:p>
      <w:pPr>
        <w:pStyle w:val="Body"/>
        <w:bidi w:val="0"/>
      </w:pPr>
    </w:p>
    <w:p>
      <w:pPr>
        <w:pStyle w:val="Body"/>
        <w:bidi w:val="0"/>
      </w:pPr>
      <w:r>
        <w:rPr>
          <w:rtl w:val="0"/>
          <w:lang w:val="fr-FR"/>
        </w:rPr>
        <w:t>### **7. Implementation Plan**</w:t>
      </w:r>
    </w:p>
    <w:p>
      <w:pPr>
        <w:pStyle w:val="Body"/>
        <w:bidi w:val="0"/>
      </w:pPr>
    </w:p>
    <w:p>
      <w:pPr>
        <w:pStyle w:val="Body"/>
        <w:bidi w:val="0"/>
      </w:pPr>
      <w:r>
        <w:rPr>
          <w:rtl w:val="0"/>
        </w:rPr>
        <w:t>#### Pilot Phases</w:t>
      </w:r>
    </w:p>
    <w:p>
      <w:pPr>
        <w:pStyle w:val="Body"/>
        <w:bidi w:val="0"/>
      </w:pPr>
      <w:r>
        <w:rPr>
          <w:rtl w:val="0"/>
        </w:rPr>
        <w:t>**Year 1</w:t>
      </w:r>
      <w:r>
        <w:rPr>
          <w:rtl w:val="0"/>
        </w:rPr>
        <w:t>–</w:t>
      </w:r>
      <w:r>
        <w:rPr>
          <w:rtl w:val="0"/>
        </w:rPr>
        <w:t xml:space="preserve">2:** Bronx and Brooklyn (highest violations and subsidy density)  </w:t>
      </w:r>
    </w:p>
    <w:p>
      <w:pPr>
        <w:pStyle w:val="Body"/>
        <w:bidi w:val="0"/>
      </w:pPr>
      <w:r>
        <w:rPr>
          <w:rtl w:val="0"/>
        </w:rPr>
        <w:t>**Year 3</w:t>
      </w:r>
      <w:r>
        <w:rPr>
          <w:rtl w:val="0"/>
        </w:rPr>
        <w:t>–</w:t>
      </w:r>
      <w:r>
        <w:rPr>
          <w:rtl w:val="0"/>
        </w:rPr>
        <w:t>5:** Expand to Queens, Manhattan, Staten Island</w:t>
      </w:r>
    </w:p>
    <w:p>
      <w:pPr>
        <w:pStyle w:val="Body"/>
        <w:bidi w:val="0"/>
      </w:pPr>
    </w:p>
    <w:p>
      <w:pPr>
        <w:pStyle w:val="Body"/>
        <w:bidi w:val="0"/>
      </w:pPr>
      <w:r>
        <w:rPr>
          <w:rtl w:val="0"/>
        </w:rPr>
        <w:t>#### Conversion Process</w:t>
      </w:r>
    </w:p>
    <w:p>
      <w:pPr>
        <w:pStyle w:val="Body"/>
        <w:bidi w:val="0"/>
      </w:pPr>
      <w:r>
        <w:rPr>
          <w:rtl w:val="0"/>
        </w:rPr>
        <w:t xml:space="preserve">1. HPD triggers eligibility and notifies tenants  </w:t>
      </w:r>
    </w:p>
    <w:p>
      <w:pPr>
        <w:pStyle w:val="Body"/>
        <w:bidi w:val="0"/>
      </w:pPr>
      <w:r>
        <w:rPr>
          <w:rtl w:val="0"/>
        </w:rPr>
        <w:t xml:space="preserve">2. Tenants form an association  </w:t>
      </w:r>
    </w:p>
    <w:p>
      <w:pPr>
        <w:pStyle w:val="Body"/>
        <w:bidi w:val="0"/>
      </w:pPr>
      <w:r>
        <w:rPr>
          <w:rtl w:val="0"/>
        </w:rPr>
        <w:t xml:space="preserve">3. Building valuation and fiscal audit conducted  </w:t>
      </w:r>
    </w:p>
    <w:p>
      <w:pPr>
        <w:pStyle w:val="Body"/>
        <w:bidi w:val="0"/>
      </w:pPr>
      <w:r>
        <w:rPr>
          <w:rtl w:val="0"/>
        </w:rPr>
        <w:t xml:space="preserve">4. Capital stack assembled (public equity, repair fund, cooperative mortgage)  </w:t>
      </w:r>
    </w:p>
    <w:p>
      <w:pPr>
        <w:pStyle w:val="Body"/>
        <w:bidi w:val="0"/>
      </w:pPr>
      <w:r>
        <w:rPr>
          <w:rtl w:val="0"/>
        </w:rPr>
        <w:t xml:space="preserve">5. Transfer ownership; board formed  </w:t>
      </w:r>
    </w:p>
    <w:p>
      <w:pPr>
        <w:pStyle w:val="Body"/>
        <w:bidi w:val="0"/>
      </w:pPr>
      <w:r>
        <w:rPr>
          <w:rtl w:val="0"/>
        </w:rPr>
        <w:t xml:space="preserve">6. Ongoing compliance and governance training  </w:t>
      </w:r>
    </w:p>
    <w:p>
      <w:pPr>
        <w:pStyle w:val="Body"/>
        <w:bidi w:val="0"/>
      </w:pPr>
    </w:p>
    <w:p>
      <w:pPr>
        <w:pStyle w:val="Body"/>
        <w:bidi w:val="0"/>
      </w:pPr>
      <w:r>
        <w:rPr>
          <w:rtl w:val="0"/>
        </w:rPr>
        <w:t>#### Key Partners</w:t>
      </w:r>
    </w:p>
    <w:p>
      <w:pPr>
        <w:pStyle w:val="Body"/>
        <w:bidi w:val="0"/>
      </w:pPr>
      <w:r>
        <w:rPr>
          <w:rtl w:val="0"/>
        </w:rPr>
        <w:t xml:space="preserve">- **HPD &amp; DHCR** </w:t>
      </w:r>
      <w:r>
        <w:rPr>
          <w:rtl w:val="0"/>
        </w:rPr>
        <w:t xml:space="preserve">– </w:t>
      </w:r>
      <w:r>
        <w:rPr>
          <w:rtl w:val="0"/>
        </w:rPr>
        <w:t xml:space="preserve">Program oversight and legal triggers  </w:t>
      </w:r>
    </w:p>
    <w:p>
      <w:pPr>
        <w:pStyle w:val="Body"/>
        <w:bidi w:val="0"/>
      </w:pPr>
      <w:r>
        <w:rPr>
          <w:rtl w:val="0"/>
        </w:rPr>
        <w:t xml:space="preserve">- **Housing Court** </w:t>
      </w:r>
      <w:r>
        <w:rPr>
          <w:rtl w:val="0"/>
        </w:rPr>
        <w:t xml:space="preserve">– </w:t>
      </w:r>
      <w:r>
        <w:rPr>
          <w:rtl w:val="0"/>
          <w:lang w:val="fr-FR"/>
        </w:rPr>
        <w:t xml:space="preserve">Conversion coordination  </w:t>
      </w:r>
    </w:p>
    <w:p>
      <w:pPr>
        <w:pStyle w:val="Body"/>
        <w:bidi w:val="0"/>
      </w:pPr>
      <w:r>
        <w:rPr>
          <w:rtl w:val="0"/>
        </w:rPr>
        <w:t xml:space="preserve">- **Credit Unions** </w:t>
      </w:r>
      <w:r>
        <w:rPr>
          <w:rtl w:val="0"/>
        </w:rPr>
        <w:t xml:space="preserve">– </w:t>
      </w:r>
      <w:r>
        <w:rPr>
          <w:rtl w:val="0"/>
        </w:rPr>
        <w:t xml:space="preserve">Mortgage origination, reserve management  </w:t>
      </w:r>
    </w:p>
    <w:p>
      <w:pPr>
        <w:pStyle w:val="Body"/>
        <w:bidi w:val="0"/>
      </w:pPr>
      <w:r>
        <w:rPr>
          <w:rtl w:val="0"/>
        </w:rPr>
        <w:t xml:space="preserve">- **Tenant Advocates** </w:t>
      </w:r>
      <w:r>
        <w:rPr>
          <w:rtl w:val="0"/>
        </w:rPr>
        <w:t xml:space="preserve">– </w:t>
      </w:r>
      <w:r>
        <w:rPr>
          <w:rtl w:val="0"/>
        </w:rPr>
        <w:t>RTC attorneys, Cooper Square Committee</w:t>
      </w:r>
    </w:p>
    <w:p>
      <w:pPr>
        <w:pStyle w:val="Body"/>
        <w:bidi w:val="0"/>
      </w:pPr>
    </w:p>
    <w:p>
      <w:pPr>
        <w:pStyle w:val="Body"/>
        <w:bidi w:val="0"/>
      </w:pPr>
      <w:r>
        <w:rPr>
          <w:rtl w:val="0"/>
        </w:rPr>
        <w:t>---</w:t>
      </w:r>
    </w:p>
    <w:p>
      <w:pPr>
        <w:pStyle w:val="Body"/>
        <w:bidi w:val="0"/>
      </w:pPr>
    </w:p>
    <w:p>
      <w:pPr>
        <w:pStyle w:val="Body"/>
        <w:bidi w:val="0"/>
      </w:pPr>
      <w:r>
        <w:rPr>
          <w:rtl w:val="0"/>
        </w:rPr>
        <w:t>Let</w:t>
      </w:r>
      <w:r>
        <w:rPr>
          <w:rtl w:val="1"/>
        </w:rPr>
        <w:t>’</w:t>
      </w:r>
      <w:r>
        <w:rPr>
          <w:rtl w:val="0"/>
        </w:rPr>
        <w:t xml:space="preserve">s wrap it up </w:t>
      </w:r>
      <w:r>
        <w:rPr>
          <w:rtl w:val="0"/>
        </w:rPr>
        <w:t xml:space="preserve">— </w:t>
      </w:r>
      <w:r>
        <w:rPr>
          <w:rtl w:val="0"/>
        </w:rPr>
        <w:t>here are the final sections of your **Policy Thesis**:</w:t>
      </w:r>
    </w:p>
    <w:p>
      <w:pPr>
        <w:pStyle w:val="Body"/>
        <w:bidi w:val="0"/>
      </w:pPr>
    </w:p>
    <w:p>
      <w:pPr>
        <w:pStyle w:val="Body"/>
        <w:bidi w:val="0"/>
      </w:pPr>
      <w:r>
        <w:rPr>
          <w:rtl w:val="0"/>
        </w:rPr>
        <w:t>---</w:t>
      </w:r>
    </w:p>
    <w:p>
      <w:pPr>
        <w:pStyle w:val="Body"/>
        <w:bidi w:val="0"/>
      </w:pPr>
    </w:p>
    <w:p>
      <w:pPr>
        <w:pStyle w:val="Body"/>
        <w:bidi w:val="0"/>
      </w:pPr>
      <w:r>
        <w:rPr>
          <w:rtl w:val="0"/>
        </w:rPr>
        <w:t>### **8. Evaluation Metrics**</w:t>
      </w:r>
    </w:p>
    <w:p>
      <w:pPr>
        <w:pStyle w:val="Body"/>
        <w:bidi w:val="0"/>
      </w:pPr>
    </w:p>
    <w:p>
      <w:pPr>
        <w:pStyle w:val="Body"/>
        <w:bidi w:val="0"/>
      </w:pPr>
      <w:r>
        <w:rPr>
          <w:rtl w:val="0"/>
          <w:lang w:val="es-ES_tradnl"/>
        </w:rPr>
        <w:t>#### Fiscal ROI</w:t>
      </w:r>
    </w:p>
    <w:p>
      <w:pPr>
        <w:pStyle w:val="Body"/>
        <w:bidi w:val="0"/>
      </w:pPr>
      <w:r>
        <w:rPr>
          <w:rtl w:val="0"/>
        </w:rPr>
        <w:t xml:space="preserve">- **Emergency Shelter System:** Avg. $4.7M public cost per 100 households over 10 years  </w:t>
      </w:r>
    </w:p>
    <w:p>
      <w:pPr>
        <w:pStyle w:val="Body"/>
        <w:bidi w:val="0"/>
      </w:pPr>
      <w:r>
        <w:rPr>
          <w:rtl w:val="0"/>
        </w:rPr>
        <w:t xml:space="preserve">- **TCAP Model:** $1M public investment </w:t>
      </w:r>
      <w:r>
        <w:rPr>
          <w:rFonts w:ascii="Arial Unicode MS" w:cs="Arial Unicode MS" w:hAnsi="Arial Unicode MS" w:eastAsia="Arial Unicode MS" w:hint="default"/>
          <w:b w:val="0"/>
          <w:bCs w:val="0"/>
          <w:i w:val="0"/>
          <w:iCs w:val="0"/>
          <w:rtl w:val="0"/>
        </w:rPr>
        <w:t>→</w:t>
      </w:r>
      <w:r>
        <w:rPr>
          <w:rtl w:val="0"/>
        </w:rPr>
        <w:t xml:space="preserve"> </w:t>
      </w:r>
      <w:r>
        <w:rPr>
          <w:rtl w:val="0"/>
        </w:rPr>
        <w:t>$2.4M in household wealth over same period (NYC OMB, 2024)</w:t>
      </w:r>
    </w:p>
    <w:p>
      <w:pPr>
        <w:pStyle w:val="Body"/>
        <w:bidi w:val="0"/>
      </w:pPr>
    </w:p>
    <w:p>
      <w:pPr>
        <w:pStyle w:val="Body"/>
        <w:bidi w:val="0"/>
      </w:pPr>
      <w:r>
        <w:rPr>
          <w:rtl w:val="0"/>
          <w:lang w:val="fr-FR"/>
        </w:rPr>
        <w:t>#### Eviction Prevention</w:t>
      </w:r>
    </w:p>
    <w:p>
      <w:pPr>
        <w:pStyle w:val="Body"/>
        <w:bidi w:val="0"/>
      </w:pPr>
      <w:r>
        <w:rPr>
          <w:rtl w:val="0"/>
        </w:rPr>
        <w:t xml:space="preserve">- Target: 30% reduction in eviction filings in TCAP-converted buildings  </w:t>
      </w:r>
    </w:p>
    <w:p>
      <w:pPr>
        <w:pStyle w:val="Body"/>
        <w:bidi w:val="0"/>
      </w:pPr>
      <w:r>
        <w:rPr>
          <w:rtl w:val="0"/>
        </w:rPr>
        <w:t>- Track Right to Counsel interaction and Housing Court diversion outcomes</w:t>
      </w:r>
    </w:p>
    <w:p>
      <w:pPr>
        <w:pStyle w:val="Body"/>
        <w:bidi w:val="0"/>
      </w:pPr>
    </w:p>
    <w:p>
      <w:pPr>
        <w:pStyle w:val="Body"/>
        <w:bidi w:val="0"/>
      </w:pPr>
      <w:r>
        <w:rPr>
          <w:rtl w:val="0"/>
        </w:rPr>
        <w:t>#### Housing Stability</w:t>
      </w:r>
    </w:p>
    <w:p>
      <w:pPr>
        <w:pStyle w:val="Body"/>
        <w:bidi w:val="0"/>
      </w:pPr>
      <w:r>
        <w:rPr>
          <w:rtl w:val="0"/>
          <w:lang w:val="ru-RU"/>
        </w:rPr>
        <w:t xml:space="preserve">- </w:t>
      </w:r>
      <w:r>
        <w:rPr>
          <w:rtl w:val="0"/>
        </w:rPr>
        <w:t>≥</w:t>
      </w:r>
      <w:r>
        <w:rPr>
          <w:rtl w:val="0"/>
        </w:rPr>
        <w:t xml:space="preserve">70% of tenant households remain in co-op after 5 years  </w:t>
      </w:r>
    </w:p>
    <w:p>
      <w:pPr>
        <w:pStyle w:val="Body"/>
        <w:bidi w:val="0"/>
      </w:pPr>
      <w:r>
        <w:rPr>
          <w:rtl w:val="0"/>
        </w:rPr>
        <w:t xml:space="preserve">- Class B/C code violations reduced </w:t>
      </w:r>
      <w:r>
        <w:rPr>
          <w:rtl w:val="0"/>
        </w:rPr>
        <w:t>≥</w:t>
      </w:r>
      <w:r>
        <w:rPr>
          <w:rtl w:val="0"/>
        </w:rPr>
        <w:t>50% (HPD, 2023)</w:t>
      </w:r>
    </w:p>
    <w:p>
      <w:pPr>
        <w:pStyle w:val="Body"/>
        <w:bidi w:val="0"/>
      </w:pPr>
    </w:p>
    <w:p>
      <w:pPr>
        <w:pStyle w:val="Body"/>
        <w:bidi w:val="0"/>
      </w:pPr>
      <w:r>
        <w:rPr>
          <w:rtl w:val="0"/>
        </w:rPr>
        <w:t>#### Wealth-Building Indicators</w:t>
      </w:r>
    </w:p>
    <w:p>
      <w:pPr>
        <w:pStyle w:val="Body"/>
        <w:bidi w:val="0"/>
      </w:pPr>
      <w:r>
        <w:rPr>
          <w:rtl w:val="0"/>
        </w:rPr>
        <w:t xml:space="preserve">- Annual net equity reports per household (via HOA/credit union data)  </w:t>
      </w:r>
    </w:p>
    <w:p>
      <w:pPr>
        <w:pStyle w:val="Body"/>
        <w:bidi w:val="0"/>
      </w:pPr>
      <w:r>
        <w:rPr>
          <w:rtl w:val="0"/>
        </w:rPr>
        <w:t>- Monitor compliance with resale caps and anti-displacement goals (via NYC Comptroller)</w:t>
      </w:r>
    </w:p>
    <w:p>
      <w:pPr>
        <w:pStyle w:val="Body"/>
        <w:bidi w:val="0"/>
      </w:pPr>
    </w:p>
    <w:p>
      <w:pPr>
        <w:pStyle w:val="Body"/>
        <w:bidi w:val="0"/>
      </w:pPr>
      <w:r>
        <w:rPr>
          <w:rtl w:val="0"/>
        </w:rPr>
        <w:t>#### Administrative Efficiency</w:t>
      </w:r>
    </w:p>
    <w:p>
      <w:pPr>
        <w:pStyle w:val="Body"/>
        <w:bidi w:val="0"/>
      </w:pPr>
      <w:r>
        <w:rPr>
          <w:rtl w:val="0"/>
        </w:rPr>
        <w:t xml:space="preserve">- &lt;10% overhead on total TCAP funds  </w:t>
      </w:r>
    </w:p>
    <w:p>
      <w:pPr>
        <w:pStyle w:val="Body"/>
        <w:bidi w:val="0"/>
      </w:pPr>
      <w:r>
        <w:rPr>
          <w:rtl w:val="0"/>
        </w:rPr>
        <w:t>- Benchmarked against emergency housing and voucher system admin costs</w:t>
      </w:r>
    </w:p>
    <w:p>
      <w:pPr>
        <w:pStyle w:val="Body"/>
        <w:bidi w:val="0"/>
      </w:pPr>
    </w:p>
    <w:p>
      <w:pPr>
        <w:pStyle w:val="Body"/>
        <w:bidi w:val="0"/>
      </w:pPr>
      <w:r>
        <w:rPr>
          <w:rtl w:val="0"/>
        </w:rPr>
        <w:t>#### Citywide Modeling</w:t>
      </w:r>
    </w:p>
    <w:p>
      <w:pPr>
        <w:pStyle w:val="Body"/>
        <w:bidi w:val="0"/>
      </w:pPr>
      <w:r>
        <w:rPr>
          <w:rtl w:val="0"/>
        </w:rPr>
        <w:t>- 5-year simulation: $60M in public savings + $120M in household asset creation</w:t>
      </w:r>
    </w:p>
    <w:p>
      <w:pPr>
        <w:pStyle w:val="Body"/>
        <w:bidi w:val="0"/>
      </w:pPr>
    </w:p>
    <w:p>
      <w:pPr>
        <w:pStyle w:val="Body"/>
        <w:bidi w:val="0"/>
      </w:pPr>
      <w:r>
        <w:rPr>
          <w:rtl w:val="0"/>
        </w:rPr>
        <w:t>---</w:t>
      </w:r>
    </w:p>
    <w:p>
      <w:pPr>
        <w:pStyle w:val="Body"/>
        <w:bidi w:val="0"/>
      </w:pPr>
    </w:p>
    <w:p>
      <w:pPr>
        <w:pStyle w:val="Body"/>
        <w:bidi w:val="0"/>
      </w:pPr>
      <w:r>
        <w:rPr>
          <w:rtl w:val="0"/>
          <w:lang w:val="fr-FR"/>
        </w:rPr>
        <w:t>### **9. Conclusion**</w:t>
      </w:r>
    </w:p>
    <w:p>
      <w:pPr>
        <w:pStyle w:val="Body"/>
        <w:bidi w:val="0"/>
      </w:pPr>
    </w:p>
    <w:p>
      <w:pPr>
        <w:pStyle w:val="Body"/>
        <w:bidi w:val="0"/>
      </w:pPr>
      <w:r>
        <w:rPr>
          <w:rtl w:val="0"/>
        </w:rPr>
        <w:t>The Tenant Co-op Acquisition Program (TCAP) transforms New York City</w:t>
      </w:r>
      <w:r>
        <w:rPr>
          <w:rtl w:val="1"/>
        </w:rPr>
        <w:t>’</w:t>
      </w:r>
      <w:r>
        <w:rPr>
          <w:rtl w:val="0"/>
        </w:rPr>
        <w:t>s housing subsidies from a crisis-containment strategy into a structural equity mechanism. Rather than perpetuate dependency on negligent landlords, TCAP proposes a reallocation of resources into community ownership and intergenerational wealth.</w:t>
      </w:r>
    </w:p>
    <w:p>
      <w:pPr>
        <w:pStyle w:val="Body"/>
        <w:bidi w:val="0"/>
      </w:pPr>
    </w:p>
    <w:p>
      <w:pPr>
        <w:pStyle w:val="Body"/>
        <w:bidi w:val="0"/>
      </w:pPr>
      <w:r>
        <w:rPr>
          <w:rtl w:val="0"/>
        </w:rPr>
        <w:t>This framework restores public oversight, reduces fiscal waste, and expands access to sustainable, affordable housing</w:t>
      </w:r>
      <w:r>
        <w:rPr>
          <w:rtl w:val="0"/>
        </w:rPr>
        <w:t>—</w:t>
      </w:r>
      <w:r>
        <w:rPr>
          <w:rtl w:val="0"/>
        </w:rPr>
        <w:t>especially for communities historically denied ownership. By codifying the right of first refusal, supporting tenant governance, and structuring responsible public-private financing, TCAP delivers a scalable, justice-oriented model for the future of housing in NYC.</w:t>
      </w:r>
    </w:p>
    <w:p>
      <w:pPr>
        <w:pStyle w:val="Body"/>
        <w:bidi w:val="0"/>
      </w:pPr>
    </w:p>
    <w:p>
      <w:pPr>
        <w:pStyle w:val="Body"/>
        <w:bidi w:val="0"/>
      </w:pPr>
      <w:r>
        <w:rPr>
          <w:rtl w:val="0"/>
        </w:rPr>
        <w:t>---</w:t>
      </w:r>
    </w:p>
    <w:p>
      <w:pPr>
        <w:pStyle w:val="Body"/>
        <w:bidi w:val="0"/>
      </w:pPr>
    </w:p>
    <w:p>
      <w:pPr>
        <w:pStyle w:val="Body"/>
        <w:bidi w:val="0"/>
      </w:pPr>
      <w:r>
        <w:rPr>
          <w:rtl w:val="0"/>
        </w:rPr>
        <w:t>### **10. Appendices**</w:t>
      </w:r>
    </w:p>
    <w:p>
      <w:pPr>
        <w:pStyle w:val="Body"/>
        <w:bidi w:val="0"/>
      </w:pPr>
    </w:p>
    <w:p>
      <w:pPr>
        <w:pStyle w:val="Body"/>
        <w:bidi w:val="0"/>
      </w:pPr>
      <w:r>
        <w:rPr>
          <w:rtl w:val="0"/>
        </w:rPr>
        <w:t>#### **Appendix A: Budget Visualization Scenarios**</w:t>
      </w:r>
    </w:p>
    <w:p>
      <w:pPr>
        <w:pStyle w:val="Body"/>
        <w:bidi w:val="0"/>
      </w:pPr>
      <w:r>
        <w:rPr>
          <w:rtl w:val="0"/>
        </w:rPr>
        <w:t xml:space="preserve">- TCAP ROI Model: $2.4M wealth generated per $1M public cost  </w:t>
      </w:r>
    </w:p>
    <w:p>
      <w:pPr>
        <w:pStyle w:val="Body"/>
        <w:bidi w:val="0"/>
      </w:pPr>
      <w:r>
        <w:rPr>
          <w:rtl w:val="0"/>
        </w:rPr>
        <w:t xml:space="preserve">- Comparative chart: TCAP vs. Emergency Shelter and Section 8  </w:t>
      </w:r>
    </w:p>
    <w:p>
      <w:pPr>
        <w:pStyle w:val="Body"/>
        <w:bidi w:val="0"/>
      </w:pPr>
      <w:r>
        <w:rPr>
          <w:rtl w:val="0"/>
        </w:rPr>
        <w:t>- Sample capital stack diagram (public equity + mortgage + repair fund)</w:t>
      </w:r>
    </w:p>
    <w:p>
      <w:pPr>
        <w:pStyle w:val="Body"/>
        <w:bidi w:val="0"/>
      </w:pPr>
    </w:p>
    <w:p>
      <w:pPr>
        <w:pStyle w:val="Body"/>
        <w:bidi w:val="0"/>
      </w:pPr>
      <w:r>
        <w:rPr>
          <w:rtl w:val="0"/>
        </w:rPr>
        <w:t>#### **Appendix B: Violation and Ownership Mapping**</w:t>
      </w:r>
    </w:p>
    <w:p>
      <w:pPr>
        <w:pStyle w:val="Body"/>
        <w:bidi w:val="0"/>
      </w:pPr>
      <w:r>
        <w:rPr>
          <w:rtl w:val="0"/>
        </w:rPr>
        <w:t>- Map overlays of HPD Class C Violations and subsidy density (2023</w:t>
      </w:r>
      <w:r>
        <w:rPr>
          <w:rtl w:val="0"/>
        </w:rPr>
        <w:t>–</w:t>
      </w:r>
      <w:r>
        <w:rPr>
          <w:rtl w:val="0"/>
        </w:rPr>
        <w:t xml:space="preserve">2024)  </w:t>
      </w:r>
    </w:p>
    <w:p>
      <w:pPr>
        <w:pStyle w:val="Body"/>
        <w:bidi w:val="0"/>
      </w:pPr>
      <w:r>
        <w:rPr>
          <w:rtl w:val="0"/>
        </w:rPr>
        <w:t xml:space="preserve">- Top 100 Worst Landlords crosswalked with subsidy flows  </w:t>
      </w:r>
    </w:p>
    <w:p>
      <w:pPr>
        <w:pStyle w:val="Body"/>
        <w:bidi w:val="0"/>
      </w:pPr>
      <w:r>
        <w:rPr>
          <w:rtl w:val="0"/>
        </w:rPr>
        <w:t>- Violation-per-dollar ratios for program eligibility modeling</w:t>
      </w:r>
    </w:p>
    <w:p>
      <w:pPr>
        <w:pStyle w:val="Body"/>
        <w:bidi w:val="0"/>
      </w:pPr>
    </w:p>
    <w:p>
      <w:pPr>
        <w:pStyle w:val="Body"/>
        <w:bidi w:val="0"/>
      </w:pPr>
      <w:r>
        <w:rPr>
          <w:rtl w:val="0"/>
        </w:rPr>
        <w:t>#### **Appendix C: Legal and Governance Documents**</w:t>
      </w:r>
    </w:p>
    <w:p>
      <w:pPr>
        <w:pStyle w:val="Body"/>
        <w:bidi w:val="0"/>
      </w:pPr>
      <w:r>
        <w:rPr>
          <w:rtl w:val="0"/>
        </w:rPr>
        <w:t xml:space="preserve">- Sample TCAP Tenant Notification (Form A)  </w:t>
      </w:r>
    </w:p>
    <w:p>
      <w:pPr>
        <w:pStyle w:val="Body"/>
        <w:bidi w:val="0"/>
      </w:pPr>
      <w:r>
        <w:rPr>
          <w:rtl w:val="0"/>
        </w:rPr>
        <w:t xml:space="preserve">- Model Limited Equity Co-op Bylaws (abbreviated)  </w:t>
      </w:r>
    </w:p>
    <w:p>
      <w:pPr>
        <w:pStyle w:val="Body"/>
        <w:bidi w:val="0"/>
      </w:pPr>
      <w:r>
        <w:rPr>
          <w:rtl w:val="0"/>
        </w:rPr>
        <w:t>- Draft NYS Homeownership Transfer Act (based on D.C.</w:t>
      </w:r>
      <w:r>
        <w:rPr>
          <w:rtl w:val="1"/>
        </w:rPr>
        <w:t>’</w:t>
      </w:r>
      <w:r>
        <w:rPr>
          <w:rtl w:val="0"/>
        </w:rPr>
        <w:t>s TOPA)</w:t>
      </w:r>
    </w:p>
    <w:p>
      <w:pPr>
        <w:pStyle w:val="Body"/>
        <w:bidi w:val="0"/>
      </w:pPr>
    </w:p>
    <w:p>
      <w:pPr>
        <w:pStyle w:val="Body"/>
        <w:bidi w:val="0"/>
      </w:pPr>
      <w:r>
        <w:rPr>
          <w:rtl w:val="0"/>
        </w:rPr>
        <w:t>#### **Appendix D: Pilot District Selection Criteria**</w:t>
      </w:r>
    </w:p>
    <w:p>
      <w:pPr>
        <w:pStyle w:val="Body"/>
        <w:bidi w:val="0"/>
      </w:pPr>
      <w:r>
        <w:rPr>
          <w:rtl w:val="0"/>
        </w:rPr>
        <w:t xml:space="preserve">- Housing Court density maps (2023)  </w:t>
      </w:r>
    </w:p>
    <w:p>
      <w:pPr>
        <w:pStyle w:val="Body"/>
        <w:bidi w:val="0"/>
      </w:pPr>
      <w:r>
        <w:rPr>
          <w:rtl w:val="0"/>
        </w:rPr>
        <w:t xml:space="preserve">- RNOPV subsidy concentration heat maps  </w:t>
      </w:r>
    </w:p>
    <w:p>
      <w:pPr>
        <w:pStyle w:val="Body"/>
        <w:bidi w:val="0"/>
      </w:pPr>
      <w:r>
        <w:rPr>
          <w:rtl w:val="0"/>
        </w:rPr>
        <w:t>- Stakeholder Readiness Index (legal aid, credit union access, tenant orgs)</w:t>
      </w:r>
    </w:p>
    <w:p>
      <w:pPr>
        <w:pStyle w:val="Body"/>
        <w:bidi w:val="0"/>
      </w:pPr>
    </w:p>
    <w:p>
      <w:pPr>
        <w:pStyle w:val="Body"/>
        <w:bidi w:val="0"/>
      </w:pPr>
      <w:r>
        <w:rPr>
          <w:rtl w:val="0"/>
        </w:rPr>
        <w:t>---</w:t>
      </w:r>
    </w:p>
    <w:p>
      <w:pPr>
        <w:pStyle w:val="Body"/>
        <w:bidi w:val="0"/>
      </w:pPr>
    </w:p>
    <w:p>
      <w:pPr>
        <w:pStyle w:val="Body"/>
        <w:bidi w:val="0"/>
      </w:pPr>
      <w:r>
        <w:rPr>
          <w:rtl w:val="0"/>
        </w:rPr>
        <w:t>### **11. References** *(APA Style)*</w:t>
      </w:r>
    </w:p>
    <w:p>
      <w:pPr>
        <w:pStyle w:val="Body"/>
        <w:bidi w:val="0"/>
      </w:pPr>
    </w:p>
    <w:p>
      <w:pPr>
        <w:pStyle w:val="Body"/>
        <w:bidi w:val="0"/>
      </w:pPr>
      <w:r>
        <w:rPr>
          <w:rtl w:val="0"/>
        </w:rPr>
        <w:t>Bratt, R. G. (2002). *Housing and family well-being*. Housing Studies, 17(1), 13</w:t>
      </w:r>
      <w:r>
        <w:rPr>
          <w:rtl w:val="0"/>
        </w:rPr>
        <w:t>–</w:t>
      </w:r>
      <w:r>
        <w:rPr>
          <w:rtl w:val="0"/>
        </w:rPr>
        <w:t xml:space="preserve">26.  </w:t>
      </w:r>
    </w:p>
    <w:p>
      <w:pPr>
        <w:pStyle w:val="Body"/>
        <w:bidi w:val="0"/>
      </w:pPr>
      <w:r>
        <w:rPr>
          <w:rtl w:val="0"/>
        </w:rPr>
        <w:t>Community Service Society. (2021). *Inequities in NYC</w:t>
      </w:r>
      <w:r>
        <w:rPr>
          <w:rtl w:val="1"/>
        </w:rPr>
        <w:t>’</w:t>
      </w:r>
      <w:r>
        <w:rPr>
          <w:rtl w:val="0"/>
        </w:rPr>
        <w:t xml:space="preserve">s rental subsidy system*.  </w:t>
      </w:r>
    </w:p>
    <w:p>
      <w:pPr>
        <w:pStyle w:val="Body"/>
        <w:bidi w:val="0"/>
      </w:pPr>
      <w:r>
        <w:rPr>
          <w:rtl w:val="0"/>
        </w:rPr>
        <w:t>Desmond, M., &amp; Bell, M. (2015). *Housing, poverty, and the law*. Annual Review of Law and Social Science, 11, 15</w:t>
      </w:r>
      <w:r>
        <w:rPr>
          <w:rtl w:val="0"/>
        </w:rPr>
        <w:t>–</w:t>
      </w:r>
      <w:r>
        <w:rPr>
          <w:rtl w:val="0"/>
        </w:rPr>
        <w:t xml:space="preserve">35.  </w:t>
      </w:r>
    </w:p>
    <w:p>
      <w:pPr>
        <w:pStyle w:val="Body"/>
        <w:bidi w:val="0"/>
      </w:pPr>
      <w:r>
        <w:rPr>
          <w:rtl w:val="0"/>
        </w:rPr>
        <w:t>F</w:t>
      </w:r>
      <w:r>
        <w:rPr>
          <w:rtl w:val="0"/>
          <w:lang w:val="sv-SE"/>
        </w:rPr>
        <w:t>ö</w:t>
      </w:r>
      <w:r>
        <w:rPr>
          <w:rtl w:val="0"/>
        </w:rPr>
        <w:t>rster, W., &amp; Amann, W. (2016). *Social housing in Austria*. European Journal of Housing Policy, 16(3), 325</w:t>
      </w:r>
      <w:r>
        <w:rPr>
          <w:rtl w:val="0"/>
        </w:rPr>
        <w:t>–</w:t>
      </w:r>
      <w:r>
        <w:rPr>
          <w:rtl w:val="0"/>
        </w:rPr>
        <w:t xml:space="preserve">343.  </w:t>
      </w:r>
    </w:p>
    <w:p>
      <w:pPr>
        <w:pStyle w:val="Body"/>
        <w:bidi w:val="0"/>
      </w:pPr>
      <w:r>
        <w:rPr>
          <w:rtl w:val="0"/>
        </w:rPr>
        <w:t xml:space="preserve">HPD. (2023). *Class C violation report*. NYC Department of Housing Preservation and Development.  </w:t>
      </w:r>
    </w:p>
    <w:p>
      <w:pPr>
        <w:pStyle w:val="Body"/>
        <w:bidi w:val="0"/>
      </w:pPr>
      <w:r>
        <w:rPr>
          <w:rtl w:val="0"/>
        </w:rPr>
        <w:t xml:space="preserve">National Housing Trust. (2020). *TOPA in Washington, D.C.: Lessons and outcomes*.  </w:t>
      </w:r>
    </w:p>
    <w:p>
      <w:pPr>
        <w:pStyle w:val="Body"/>
        <w:bidi w:val="0"/>
      </w:pPr>
      <w:r>
        <w:rPr>
          <w:rtl w:val="0"/>
        </w:rPr>
        <w:t xml:space="preserve">NYC Office of Management and Budget. (2024). *FY24 Housing expenditure review*.  </w:t>
      </w:r>
    </w:p>
    <w:p>
      <w:pPr>
        <w:pStyle w:val="Body"/>
        <w:bidi w:val="0"/>
      </w:pPr>
      <w:r>
        <w:rPr>
          <w:rtl w:val="0"/>
        </w:rPr>
        <w:t xml:space="preserve">NYC Public Advocate. (2023). *Worst Landlords Watchlist*.  </w:t>
      </w:r>
    </w:p>
    <w:p>
      <w:pPr>
        <w:pStyle w:val="Body"/>
        <w:bidi w:val="0"/>
      </w:pPr>
      <w:r>
        <w:rPr>
          <w:rtl w:val="0"/>
        </w:rPr>
        <w:t xml:space="preserve">NYC Department of Finance. (2024). *Real Property Assessment Data (RNOPV)*.  </w:t>
      </w:r>
    </w:p>
    <w:p>
      <w:pPr>
        <w:pStyle w:val="Body"/>
        <w:bidi w:val="0"/>
      </w:pPr>
      <w:r>
        <w:rPr>
          <w:rtl w:val="0"/>
        </w:rPr>
        <w:t xml:space="preserve">Perry, A. M., Rothwell, J., &amp; Harshbarger, D. (2018). *The devaluation of assets in Black neighborhoods*. Brookings Institution.  </w:t>
      </w:r>
    </w:p>
    <w:p>
      <w:pPr>
        <w:pStyle w:val="Body"/>
        <w:bidi w:val="0"/>
      </w:pPr>
      <w:r>
        <w:rPr>
          <w:rtl w:val="0"/>
        </w:rPr>
        <w:t xml:space="preserve">Right to Counsel NYC Coalition. (2023). *Eviction prevention performance update*.  </w:t>
      </w:r>
    </w:p>
    <w:p>
      <w:pPr>
        <w:pStyle w:val="Body"/>
        <w:bidi w:val="0"/>
      </w:pPr>
      <w:r>
        <w:rPr>
          <w:rtl w:val="0"/>
        </w:rPr>
        <w:t xml:space="preserve">Rothstein, R. (2017). *The color of law: A forgotten history of how our government segregated America*. Liveright.  </w:t>
      </w:r>
    </w:p>
    <w:p>
      <w:pPr>
        <w:pStyle w:val="Body"/>
        <w:bidi w:val="0"/>
      </w:pPr>
      <w:r>
        <w:rPr>
          <w:rtl w:val="0"/>
        </w:rPr>
        <w:t xml:space="preserve">Taylor, K.-Y. (2019). *Race for profit: How banks and the real estate industry undermined Black homeownership*. UNC Press.  </w:t>
      </w:r>
    </w:p>
    <w:p>
      <w:pPr>
        <w:pStyle w:val="Body"/>
        <w:bidi w:val="0"/>
      </w:pPr>
      <w:r>
        <w:rPr>
          <w:rtl w:val="0"/>
        </w:rPr>
        <w:t xml:space="preserve">Urban Institute. (2021). *Building Black wealth through housing*.  </w:t>
      </w:r>
    </w:p>
    <w:p>
      <w:pPr>
        <w:pStyle w:val="Body"/>
        <w:bidi w:val="0"/>
      </w:pPr>
      <w:r>
        <w:rPr>
          <w:rtl w:val="0"/>
        </w:rPr>
        <w:t xml:space="preserve">Vera Institute of Justice. (2022). *Housing stabilization cost analysis*.  </w:t>
      </w:r>
    </w:p>
    <w:p>
      <w:pPr>
        <w:pStyle w:val="Body"/>
        <w:bidi w:val="0"/>
      </w:pPr>
    </w:p>
    <w:p>
      <w:pPr>
        <w:pStyle w:val="Body"/>
        <w:bidi w:val="0"/>
      </w:pPr>
      <w:r>
        <w:rPr>
          <w:rtl w:val="0"/>
        </w:rPr>
        <w:t>---</w:t>
      </w:r>
    </w:p>
    <w:p>
      <w:pPr>
        <w:pStyle w:val="Body"/>
        <w:bidi w:val="0"/>
      </w:pPr>
    </w:p>
    <w:p>
      <w:pPr>
        <w:pStyle w:val="Body"/>
        <w:bidi w:val="0"/>
      </w:pPr>
      <w:r>
        <w:rPr>
          <w:rtl w:val="0"/>
        </w:rPr>
        <w:t>Let me know if you'd like me to combine this into a downloadable PDF or .docx via text export!</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Roman"/>
        <a:ea typeface="Times Roman"/>
        <a:cs typeface="Times Roman"/>
      </a:majorFont>
      <a:minorFont>
        <a:latin typeface="Times Roman"/>
        <a:ea typeface="Times Roman"/>
        <a:cs typeface="Times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Times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Times Roman"/>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