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Fiscal and Budget Impact Summary</w:t>
      </w:r>
    </w:p>
    <w:p>
      <w:r>
        <w:br/>
        <w:t>Proposal: Tenant Opportunity to Purchase and Equity Transfer Act (TOPETA)</w:t>
        <w:br/>
        <w:br/>
        <w:t>Key Budgetary Impacts:</w:t>
        <w:br/>
        <w:br/>
        <w:t>1. Cost Avoidance from Emergency Housing:</w:t>
        <w:br/>
        <w:t xml:space="preserve">   - NYC shelter system costs an average of $138/day per household</w:t>
        <w:br/>
        <w:t xml:space="preserve">   - Estimated savings from stabilized households: ~$32,500/year/unit</w:t>
        <w:br/>
        <w:br/>
        <w:t>2. Repurposed Subsidies:</w:t>
        <w:br/>
        <w:t xml:space="preserve">   - Existing rental vouchers (CityFHEPS, Section 8) are redirected without increasing city outlays</w:t>
        <w:br/>
        <w:t xml:space="preserve">   - Redirection covers equity stake, repair funds, and HOA reserves</w:t>
        <w:br/>
        <w:br/>
        <w:t>3. Wealth Accumulation:</w:t>
        <w:br/>
        <w:t xml:space="preserve">   - Average household net equity after 10 years: $82,000</w:t>
        <w:br/>
        <w:t xml:space="preserve">   - Savings reduce reliance on housing court, Right to Counsel, emergency services</w:t>
        <w:br/>
        <w:br/>
        <w:t>4. Capital Leveraging:</w:t>
        <w:br/>
        <w:t xml:space="preserve">   - For every $1 of redirected subsidy, up to $4 in credit union financing is mobilized</w:t>
        <w:br/>
        <w:t xml:space="preserve">   - Additional public savings from code enforcement and legal relief</w:t>
        <w:br/>
        <w:br/>
        <w:t>Sources:</w:t>
        <w:br/>
        <w:t>- NYC Independent Budget Office</w:t>
        <w:br/>
        <w:t>- Community Service Society (CSSNY), 2023</w:t>
        <w:br/>
        <w:t>- HUD Homeownership Subsidy Design Manual (2022)</w:t>
        <w:br/>
        <w:br/>
        <w:t>Overall Fiscal Note:</w:t>
        <w:br/>
        <w:t>This bill is expected to be cost-neutral in implementation and net-positive in both short- and long-term housing budget outcomes. Annual cost savings for a 100-unit pilot is estimated at $3.2M.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