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Agency Implementation Templates – PETF/TCAP</w:t>
      </w:r>
    </w:p>
    <w:p>
      <w:pPr>
        <w:pStyle w:val="Heading2"/>
      </w:pPr>
      <w:r>
        <w:t>HPD Implementation Guide</w:t>
      </w:r>
    </w:p>
    <w:p>
      <w:pPr>
        <w:pStyle w:val="ListBullet"/>
      </w:pPr>
      <w:r>
        <w:t>- Review co-op readiness under PETF criteria</w:t>
      </w:r>
    </w:p>
    <w:p>
      <w:pPr>
        <w:pStyle w:val="ListBullet"/>
      </w:pPr>
      <w:r>
        <w:t>- Approve tenant vote certification and MOU</w:t>
      </w:r>
    </w:p>
    <w:p>
      <w:pPr>
        <w:pStyle w:val="ListBullet"/>
      </w:pPr>
      <w:r>
        <w:t>- Annual reporting to City Council</w:t>
      </w:r>
    </w:p>
    <w:p>
      <w:pPr>
        <w:pStyle w:val="Heading2"/>
      </w:pPr>
      <w:r>
        <w:t>HRA Caseworker Memo</w:t>
      </w:r>
    </w:p>
    <w:p>
      <w:pPr>
        <w:pStyle w:val="ListBullet"/>
      </w:pPr>
      <w:r>
        <w:t>- Reclassify vouchers as Equity Transfer Vouchers (ETVs)</w:t>
      </w:r>
    </w:p>
    <w:p>
      <w:pPr>
        <w:pStyle w:val="ListBullet"/>
      </w:pPr>
      <w:r>
        <w:t>- Tenant intake and subsidy tracking</w:t>
      </w:r>
    </w:p>
    <w:p>
      <w:pPr>
        <w:pStyle w:val="ListBullet"/>
      </w:pPr>
      <w:r>
        <w:t>- Support during rent-to-own phase</w:t>
      </w:r>
    </w:p>
    <w:p>
      <w:pPr>
        <w:pStyle w:val="Heading2"/>
      </w:pPr>
      <w:r>
        <w:t>DHCR Regulatory Coordination</w:t>
      </w:r>
    </w:p>
    <w:p>
      <w:pPr>
        <w:pStyle w:val="ListBullet"/>
      </w:pPr>
      <w:r>
        <w:t>- Martin Act compliance for co-ops</w:t>
      </w:r>
    </w:p>
    <w:p>
      <w:pPr>
        <w:pStyle w:val="ListBullet"/>
      </w:pPr>
      <w:r>
        <w:t>- Financial disclosure and board filings</w:t>
      </w:r>
    </w:p>
    <w:p>
      <w:pPr>
        <w:pStyle w:val="ListBullet"/>
      </w:pPr>
      <w:r>
        <w:t>- Phased rent-stabilized to equity shift</w:t>
      </w:r>
    </w:p>
    <w:p>
      <w:pPr>
        <w:pStyle w:val="Heading2"/>
      </w:pPr>
      <w:r>
        <w:t>Interagency Oversight Charter</w:t>
      </w:r>
    </w:p>
    <w:p>
      <w:pPr>
        <w:pStyle w:val="ListBullet"/>
      </w:pPr>
      <w:r>
        <w:t>- Membership: HPD, HRA, DHCR, NYCHA, Comptroller</w:t>
      </w:r>
    </w:p>
    <w:p>
      <w:pPr>
        <w:pStyle w:val="ListBullet"/>
      </w:pPr>
      <w:r>
        <w:t>- Public hearings and audits</w:t>
      </w:r>
    </w:p>
    <w:p>
      <w:pPr>
        <w:pStyle w:val="ListBullet"/>
      </w:pPr>
      <w:r>
        <w:t>- Track building eligibility and equity balances</w:t>
      </w:r>
    </w:p>
    <w:p>
      <w:pPr>
        <w:pStyle w:val="Heading2"/>
      </w:pPr>
      <w:r>
        <w:t>Sample MOU – Credit Union Partner</w:t>
      </w:r>
    </w:p>
    <w:p>
      <w:pPr>
        <w:pStyle w:val="ListBullet"/>
      </w:pPr>
      <w:r>
        <w:t>- Agreement to hold TCAP-funded loans</w:t>
      </w:r>
    </w:p>
    <w:p>
      <w:pPr>
        <w:pStyle w:val="ListBullet"/>
      </w:pPr>
      <w:r>
        <w:t>- PETF capital reserve protections</w:t>
      </w:r>
    </w:p>
    <w:p>
      <w:pPr>
        <w:pStyle w:val="ListBullet"/>
      </w:pPr>
      <w:r>
        <w:t>- Foreclosure mitigation terms</w:t>
      </w:r>
    </w:p>
    <w:p>
      <w:pPr>
        <w:pStyle w:val="Heading2"/>
      </w:pPr>
      <w:r>
        <w:t>PETF Eligibility Checklist</w:t>
      </w:r>
    </w:p>
    <w:p>
      <w:pPr>
        <w:pStyle w:val="ListBullet"/>
      </w:pPr>
      <w:r>
        <w:t>- Is the building tenant-occupied?</w:t>
      </w:r>
    </w:p>
    <w:p>
      <w:pPr>
        <w:pStyle w:val="ListBullet"/>
      </w:pPr>
      <w:r>
        <w:t>- Is the landlord on the Top 100 Worst Landlord List?</w:t>
      </w:r>
    </w:p>
    <w:p>
      <w:pPr>
        <w:pStyle w:val="ListBullet"/>
      </w:pPr>
      <w:r>
        <w:t>- Are 60% of tenants supportive?</w:t>
      </w:r>
    </w:p>
    <w:p>
      <w:pPr>
        <w:pStyle w:val="ListBullet"/>
      </w:pPr>
      <w:r>
        <w:t>- Are code violations being addressed?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