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– Housing Policy Messaging Opportunity</w:t>
      </w:r>
    </w:p>
    <w:p>
      <w:r>
        <w:t>TO: Brad Hoylman-Sigal Campaign Leadership</w:t>
      </w:r>
    </w:p>
    <w:p>
      <w:r>
        <w:t>FROM: Seth Foss</w:t>
      </w:r>
    </w:p>
    <w:p>
      <w:r>
        <w:t>DATE: [Today’s Date]</w:t>
      </w:r>
    </w:p>
    <w:p>
      <w:r>
        <w:t>SUBJECT: Opportunity to Regain Trust and Lead with Housing Equity</w:t>
      </w:r>
    </w:p>
    <w:p>
      <w:pPr>
        <w:pStyle w:val="Heading2"/>
      </w:pPr>
      <w:r>
        <w:t>Context</w:t>
      </w:r>
    </w:p>
    <w:p>
      <w:r>
        <w:t>The recent reporting on violations at a Maryland property with family investment ties has understandably raised skepticism from tenant voters. While Senator Hoylman-Sigal’s track record on housing rights is strong, the public narrative has shifted. This moment calls not for a defensive posture, but for a substantive, values-driven policy response.</w:t>
      </w:r>
    </w:p>
    <w:p>
      <w:pPr>
        <w:pStyle w:val="Heading2"/>
      </w:pPr>
      <w:r>
        <w:t>Proposal</w:t>
      </w:r>
    </w:p>
    <w:p>
      <w:r>
        <w:t>Introduce a public-facing Housing Equity Commitment in advance of the June 25 primary. Frame it as a pivot—not from previous values, but toward structural solutions that meet the scale of the crisis.</w:t>
        <w:br/>
        <w:br/>
        <w:t>I propose adapting my Tenant Co-op Acquisition Program (TCAP) framework as part of this strategy. This policy proposes converting rental subsidies into cooperative equity and targeting buildings with known landlord violations.</w:t>
      </w:r>
    </w:p>
    <w:p>
      <w:pPr>
        <w:pStyle w:val="Heading2"/>
      </w:pPr>
      <w:r>
        <w:t>My Role</w:t>
      </w:r>
    </w:p>
    <w:p>
      <w:r>
        <w:t>If brought on, I can assist with:</w:t>
        <w:br/>
        <w:t>- Policy refinement and integration with existing Hoylman-Sigal housing goals</w:t>
        <w:br/>
        <w:t>- Messaging development to realign with tenant communities</w:t>
        <w:br/>
        <w:t>- Direct outreach to housing orgs and affected buildings to rebuild trust</w:t>
        <w:br/>
        <w:t>- Field training aligned with this messaging shift (GOTV + issue-based persuasion)</w:t>
      </w:r>
    </w:p>
    <w:p>
      <w:pPr>
        <w:pStyle w:val="Heading2"/>
      </w:pPr>
      <w:r>
        <w:t>Why Now</w:t>
      </w:r>
    </w:p>
    <w:p>
      <w:r>
        <w:t>This platform won’t just neutralize controversy—it will shift the terrain. Voters remember who offered them a plan, not just a statement.</w:t>
        <w:br/>
        <w:br/>
        <w:t>Let me help this campaign lead with both purpose and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