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6C438" w14:textId="77777777" w:rsidR="001C54EE" w:rsidRPr="0039175E" w:rsidRDefault="00000000">
      <w:pPr>
        <w:pStyle w:val="Heading"/>
        <w:rPr>
          <w:rFonts w:cs="Times New Roman"/>
        </w:rPr>
      </w:pPr>
      <w:r w:rsidRPr="0039175E">
        <w:rPr>
          <w:rFonts w:cs="Times New Roman"/>
        </w:rPr>
        <w:t>HOUSING SUBSIDY REFORM</w:t>
      </w:r>
    </w:p>
    <w:p w14:paraId="4C027208" w14:textId="77777777" w:rsidR="001C54EE" w:rsidRPr="0039175E" w:rsidRDefault="00000000">
      <w:pPr>
        <w:pStyle w:val="Heading"/>
        <w:rPr>
          <w:rFonts w:cs="Times New Roman"/>
        </w:rPr>
      </w:pPr>
      <w:r w:rsidRPr="0039175E">
        <w:rPr>
          <w:rFonts w:cs="Times New Roman"/>
        </w:rPr>
        <w:t>POLICY PROPOSAL</w:t>
      </w:r>
    </w:p>
    <w:p w14:paraId="14DD8702" w14:textId="77777777" w:rsidR="001C54EE" w:rsidRPr="0039175E" w:rsidRDefault="00000000">
      <w:pPr>
        <w:pStyle w:val="Heading"/>
        <w:rPr>
          <w:rFonts w:cs="Times New Roman"/>
        </w:rPr>
      </w:pPr>
      <w:r w:rsidRPr="0039175E">
        <w:rPr>
          <w:rFonts w:cs="Times New Roman"/>
          <w:lang w:val="pt-PT"/>
        </w:rPr>
        <w:t xml:space="preserve">(TCAP) </w:t>
      </w:r>
    </w:p>
    <w:p w14:paraId="119112FF" w14:textId="77777777" w:rsidR="001C54EE" w:rsidRPr="0039175E" w:rsidRDefault="00000000">
      <w:pPr>
        <w:pStyle w:val="Heading3"/>
        <w:rPr>
          <w:rFonts w:cs="Times New Roman"/>
        </w:rPr>
      </w:pPr>
      <w:r w:rsidRPr="0039175E">
        <w:rPr>
          <w:rFonts w:cs="Times New Roman"/>
        </w:rPr>
        <w:t>PART I — RESEARCH FOUNDATIONS</w:t>
      </w:r>
    </w:p>
    <w:p w14:paraId="05928E1E" w14:textId="77777777" w:rsidR="001C54EE" w:rsidRPr="0039175E" w:rsidRDefault="00000000">
      <w:pPr>
        <w:pStyle w:val="Heading"/>
        <w:rPr>
          <w:rFonts w:cs="Times New Roman"/>
        </w:rPr>
      </w:pPr>
      <w:r w:rsidRPr="0039175E">
        <w:rPr>
          <w:rFonts w:cs="Times New Roman"/>
        </w:rPr>
        <w:t xml:space="preserve">Executive Summary                                                                                                                                                                                                                                                                                                                                                                                       </w:t>
      </w:r>
    </w:p>
    <w:p w14:paraId="6262C154" w14:textId="77777777" w:rsidR="001C54EE" w:rsidRPr="0039175E" w:rsidRDefault="00000000">
      <w:pPr>
        <w:pStyle w:val="Body"/>
        <w:jc w:val="center"/>
        <w:rPr>
          <w:rFonts w:cs="Times New Roman"/>
        </w:rPr>
      </w:pPr>
      <w:r w:rsidRPr="0039175E">
        <w:rPr>
          <w:rStyle w:val="Italic"/>
          <w:rFonts w:cs="Times New Roman"/>
        </w:rPr>
        <w:t>How might New York City reconceptualize and structurally redesign its housing subsidy infrastructure to facilitate not only affordability but actual tenant ownership, thereby enabling sustainable intergenerational wealth accumulation within historically disenfranchised and racially marginalized communities?</w:t>
      </w:r>
      <w:r w:rsidRPr="0039175E">
        <w:rPr>
          <w:rFonts w:cs="Times New Roman"/>
        </w:rPr>
        <w:t xml:space="preserve"> </w:t>
      </w:r>
    </w:p>
    <w:p w14:paraId="019FA8B5" w14:textId="77777777" w:rsidR="001C54EE" w:rsidRPr="0039175E" w:rsidRDefault="00000000">
      <w:pPr>
        <w:pStyle w:val="Heading2"/>
        <w:rPr>
          <w:rFonts w:cs="Times New Roman"/>
        </w:rPr>
      </w:pPr>
      <w:r w:rsidRPr="0039175E">
        <w:rPr>
          <w:rFonts w:cs="Times New Roman"/>
        </w:rPr>
        <w:t>Policy Framework</w:t>
      </w:r>
    </w:p>
    <w:p w14:paraId="6517DE86" w14:textId="77777777" w:rsidR="001C54EE" w:rsidRPr="0039175E" w:rsidRDefault="00000000">
      <w:pPr>
        <w:pStyle w:val="Body"/>
        <w:rPr>
          <w:rFonts w:cs="Times New Roman"/>
        </w:rPr>
      </w:pPr>
      <w:r w:rsidRPr="0039175E">
        <w:rPr>
          <w:rFonts w:cs="Times New Roman"/>
        </w:rPr>
        <w:tab/>
        <w:t xml:space="preserve">By reframing the purpose of subsidy programs to address both wealth and stability, this policy endeavors to convert long-standing tools of subsistence into mechanisms of empowerment and systemic transformation. This proposal introduces the </w:t>
      </w:r>
      <w:r w:rsidRPr="0039175E">
        <w:rPr>
          <w:rFonts w:cs="Times New Roman"/>
          <w:b/>
          <w:bCs/>
        </w:rPr>
        <w:t>Tenant Co-op Acquisition Program (TCAP)</w:t>
      </w:r>
      <w:r w:rsidRPr="0039175E">
        <w:rPr>
          <w:rFonts w:cs="Times New Roman"/>
        </w:rPr>
        <w:t xml:space="preserve"> as a policy vehicle to transition NYC's housing subsidy architecture from a rent-centered paradigm toward one rooted in collective tenant ownership and wealth equity. TCAP repurposes public subsidies, such as Section 8 Housing Choice Vouchers (HCV), </w:t>
      </w:r>
      <w:proofErr w:type="spellStart"/>
      <w:r w:rsidRPr="0039175E">
        <w:rPr>
          <w:rFonts w:cs="Times New Roman"/>
        </w:rPr>
        <w:t>CityFHEPS</w:t>
      </w:r>
      <w:proofErr w:type="spellEnd"/>
      <w:r w:rsidRPr="0039175E">
        <w:rPr>
          <w:rFonts w:cs="Times New Roman"/>
        </w:rPr>
        <w:t>, and HASA, from rent payments to instruments that directly facilitate the acquisition and cooperative conversion of multifamily rental buildings. These conversions would take the form of limited-equity housing cooperatives, specifically designed to serve low- and moderate-income tenants. Properties will be targeted based on distress levels, repeat code violations, and appearance on the NYC Public Advocate's Worst Landlords List, with preference given to those in neighborhoods facing acute gentrification pressure or with existing tenant organizing infrastructure.</w:t>
      </w:r>
    </w:p>
    <w:p w14:paraId="5FC0B26A" w14:textId="77777777" w:rsidR="001C54EE" w:rsidRPr="0039175E" w:rsidRDefault="00000000">
      <w:pPr>
        <w:pStyle w:val="Heading2"/>
        <w:rPr>
          <w:rFonts w:cs="Times New Roman"/>
        </w:rPr>
      </w:pPr>
      <w:r w:rsidRPr="0039175E">
        <w:rPr>
          <w:rFonts w:cs="Times New Roman"/>
        </w:rPr>
        <w:t>Strategic Approach</w:t>
      </w:r>
    </w:p>
    <w:p w14:paraId="7E897BD9" w14:textId="77777777" w:rsidR="001C54EE" w:rsidRPr="0039175E" w:rsidRDefault="00000000">
      <w:pPr>
        <w:pStyle w:val="Body"/>
        <w:rPr>
          <w:rFonts w:cs="Times New Roman"/>
        </w:rPr>
      </w:pPr>
      <w:r w:rsidRPr="0039175E">
        <w:rPr>
          <w:rFonts w:cs="Times New Roman"/>
        </w:rPr>
        <w:tab/>
      </w:r>
      <w:r w:rsidRPr="0039175E">
        <w:rPr>
          <w:rFonts w:cs="Times New Roman"/>
          <w:lang w:val="de-DE"/>
        </w:rPr>
        <w:t xml:space="preserve">Under </w:t>
      </w:r>
      <w:proofErr w:type="gramStart"/>
      <w:r w:rsidRPr="0039175E">
        <w:rPr>
          <w:rFonts w:cs="Times New Roman"/>
          <w:lang w:val="de-DE"/>
        </w:rPr>
        <w:t>TCAP</w:t>
      </w:r>
      <w:r w:rsidRPr="0039175E">
        <w:rPr>
          <w:rFonts w:cs="Times New Roman"/>
          <w:rtl/>
        </w:rPr>
        <w:t>’</w:t>
      </w:r>
      <w:r w:rsidRPr="0039175E">
        <w:rPr>
          <w:rFonts w:cs="Times New Roman"/>
        </w:rPr>
        <w:t>s</w:t>
      </w:r>
      <w:proofErr w:type="gramEnd"/>
      <w:r w:rsidRPr="0039175E">
        <w:rPr>
          <w:rFonts w:cs="Times New Roman"/>
        </w:rPr>
        <w:t xml:space="preserve"> operational structure, subsidies will initially maintain their rent-support function, then transition in phases to support equity acquisition, cooperative reserve contributions, and long-term capital </w:t>
      </w:r>
      <w:r w:rsidRPr="0039175E">
        <w:rPr>
          <w:rFonts w:cs="Times New Roman"/>
        </w:rPr>
        <w:lastRenderedPageBreak/>
        <w:t>improvements. Administrative oversight and programmatic implementation will be housed within HPD, working in formal partnership with NYS Homes and Community Renewal (HCR), community development financial institutions (CDFIs), credit unions, legal service providers, and established tenant advocacy coalitions. These entities will coordinate under an interagency governance model designed to ensure regulatory compliance, financial transparency, and tenant capacity-building. The strategy emphasizes technical assistance, legal empowerment, and flexible funding mechanisms to mitigate displacement risk during the transition process.</w:t>
      </w:r>
    </w:p>
    <w:p w14:paraId="7B6130E2" w14:textId="77777777" w:rsidR="001C54EE" w:rsidRPr="0039175E" w:rsidRDefault="00000000">
      <w:pPr>
        <w:pStyle w:val="Heading2"/>
        <w:rPr>
          <w:rFonts w:cs="Times New Roman"/>
        </w:rPr>
      </w:pPr>
      <w:r w:rsidRPr="0039175E">
        <w:rPr>
          <w:rFonts w:cs="Times New Roman"/>
        </w:rPr>
        <w:t>Theoretical Rationale</w:t>
      </w:r>
    </w:p>
    <w:p w14:paraId="5A9D5472" w14:textId="77777777" w:rsidR="001C54EE" w:rsidRPr="0039175E" w:rsidRDefault="00000000">
      <w:pPr>
        <w:pStyle w:val="Body"/>
        <w:rPr>
          <w:rFonts w:cs="Times New Roman"/>
        </w:rPr>
      </w:pPr>
      <w:r w:rsidRPr="0039175E">
        <w:rPr>
          <w:rFonts w:cs="Times New Roman"/>
        </w:rPr>
        <w:tab/>
        <w:t xml:space="preserve">Extensive literature in urban sociology, political economy, and housing justice consistently demonstrates that homeownership remains one of the most robust predictors of long-term wealth generation, civic engagement, and neighborhood stabilization (Oliver &amp; Shapiro, 1995; Elmelech, 2004; Logan &amp; </w:t>
      </w:r>
      <w:proofErr w:type="spellStart"/>
      <w:r w:rsidRPr="0039175E">
        <w:rPr>
          <w:rFonts w:cs="Times New Roman"/>
        </w:rPr>
        <w:t>Molotch</w:t>
      </w:r>
      <w:proofErr w:type="spellEnd"/>
      <w:r w:rsidRPr="0039175E">
        <w:rPr>
          <w:rFonts w:cs="Times New Roman"/>
        </w:rPr>
        <w:t>, 1987). Yet, the current subsidy infrastructure in NYC channels billions annually into rent payments that do not translate into equity for tenants. This landlord-centric model effectively acts as a wealth transfer mechanism that reinforces generational racial disparities in asset accumulation. TCAP proposes a paradigmatic shift: from a subsidy regime that secures housing tenure for tenants while enriching landlords, to one that redistributes opportunity and economic agency through collective ownership. This aligns with emerging models of community land trusts, permanently affordable housing, and cooperative governance, which have gained traction as mechanisms to redress systemic exclusion and speculative displacement.</w:t>
      </w:r>
    </w:p>
    <w:p w14:paraId="60BD8D7A" w14:textId="77777777" w:rsidR="001C54EE" w:rsidRPr="0039175E" w:rsidRDefault="00000000">
      <w:pPr>
        <w:pStyle w:val="Heading2"/>
        <w:rPr>
          <w:rFonts w:cs="Times New Roman"/>
        </w:rPr>
      </w:pPr>
      <w:r w:rsidRPr="0039175E">
        <w:rPr>
          <w:rFonts w:cs="Times New Roman"/>
        </w:rPr>
        <w:t>Anticipated Outcomes</w:t>
      </w:r>
    </w:p>
    <w:p w14:paraId="62E96905" w14:textId="77777777" w:rsidR="001C54EE" w:rsidRPr="0039175E" w:rsidRDefault="00000000">
      <w:pPr>
        <w:pStyle w:val="Bullet"/>
        <w:numPr>
          <w:ilvl w:val="0"/>
          <w:numId w:val="2"/>
        </w:numPr>
        <w:rPr>
          <w:rFonts w:cs="Times New Roman"/>
        </w:rPr>
      </w:pPr>
      <w:r w:rsidRPr="0039175E">
        <w:rPr>
          <w:rFonts w:cs="Times New Roman"/>
        </w:rPr>
        <w:t>A fundamental reconfiguration of public housing subsidies as equity-generating mechanisms</w:t>
      </w:r>
    </w:p>
    <w:p w14:paraId="2F6ECDA4" w14:textId="77777777" w:rsidR="001C54EE" w:rsidRPr="0039175E" w:rsidRDefault="00000000">
      <w:pPr>
        <w:pStyle w:val="Bullet"/>
        <w:numPr>
          <w:ilvl w:val="0"/>
          <w:numId w:val="2"/>
        </w:numPr>
        <w:rPr>
          <w:rFonts w:cs="Times New Roman"/>
        </w:rPr>
      </w:pPr>
      <w:r w:rsidRPr="0039175E">
        <w:rPr>
          <w:rFonts w:cs="Times New Roman"/>
        </w:rPr>
        <w:t>A measurable reduction in eviction rates, shelter utilization, housing court caseloads, and litigation expenditures</w:t>
      </w:r>
    </w:p>
    <w:p w14:paraId="48D3EAD6" w14:textId="77777777" w:rsidR="001C54EE" w:rsidRPr="0039175E" w:rsidRDefault="00000000">
      <w:pPr>
        <w:pStyle w:val="Bullet"/>
        <w:numPr>
          <w:ilvl w:val="0"/>
          <w:numId w:val="2"/>
        </w:numPr>
        <w:rPr>
          <w:rFonts w:cs="Times New Roman"/>
        </w:rPr>
      </w:pPr>
      <w:r w:rsidRPr="0039175E">
        <w:rPr>
          <w:rFonts w:cs="Times New Roman"/>
        </w:rPr>
        <w:t>Decreased financial incentives for exploitative landlord practices and serial code violations</w:t>
      </w:r>
    </w:p>
    <w:p w14:paraId="04E500EB" w14:textId="77777777" w:rsidR="001C54EE" w:rsidRPr="0039175E" w:rsidRDefault="00000000">
      <w:pPr>
        <w:pStyle w:val="Bullet"/>
        <w:numPr>
          <w:ilvl w:val="0"/>
          <w:numId w:val="2"/>
        </w:numPr>
        <w:rPr>
          <w:rFonts w:cs="Times New Roman"/>
        </w:rPr>
      </w:pPr>
      <w:r w:rsidRPr="0039175E">
        <w:rPr>
          <w:rFonts w:cs="Times New Roman"/>
        </w:rPr>
        <w:lastRenderedPageBreak/>
        <w:t>Expansion of access to limited-equity homeownership for low- and moderate-income households</w:t>
      </w:r>
    </w:p>
    <w:p w14:paraId="6060DD6F" w14:textId="77777777" w:rsidR="001C54EE" w:rsidRPr="0039175E" w:rsidRDefault="00000000">
      <w:pPr>
        <w:pStyle w:val="Bullet"/>
        <w:numPr>
          <w:ilvl w:val="0"/>
          <w:numId w:val="2"/>
        </w:numPr>
        <w:rPr>
          <w:rFonts w:cs="Times New Roman"/>
        </w:rPr>
      </w:pPr>
      <w:r w:rsidRPr="0039175E">
        <w:rPr>
          <w:rFonts w:cs="Times New Roman"/>
        </w:rPr>
        <w:t>Institutionalization of cooperative governance models that embed democratic tenant control</w:t>
      </w:r>
    </w:p>
    <w:p w14:paraId="7F1BCFA6" w14:textId="77777777" w:rsidR="001C54EE" w:rsidRPr="0039175E" w:rsidRDefault="00000000">
      <w:pPr>
        <w:pStyle w:val="Bullet"/>
        <w:numPr>
          <w:ilvl w:val="0"/>
          <w:numId w:val="2"/>
        </w:numPr>
        <w:rPr>
          <w:rFonts w:cs="Times New Roman"/>
        </w:rPr>
      </w:pPr>
      <w:r w:rsidRPr="0039175E">
        <w:rPr>
          <w:rFonts w:cs="Times New Roman"/>
        </w:rPr>
        <w:t>Strengthened neighborhood resilience and reduced residential turnover in vulnerable districts</w:t>
      </w:r>
    </w:p>
    <w:p w14:paraId="68FA1BD2" w14:textId="77777777" w:rsidR="001C54EE" w:rsidRPr="0039175E" w:rsidRDefault="00000000">
      <w:pPr>
        <w:pStyle w:val="Heading2"/>
        <w:rPr>
          <w:rFonts w:cs="Times New Roman"/>
        </w:rPr>
      </w:pPr>
      <w:r w:rsidRPr="0039175E">
        <w:rPr>
          <w:rFonts w:cs="Times New Roman"/>
        </w:rPr>
        <w:t>Legislative and Administrative Instruments</w:t>
      </w:r>
    </w:p>
    <w:p w14:paraId="5E0A458B"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sz w:val="24"/>
          <w:szCs w:val="24"/>
        </w:rPr>
        <w:t>The TCAP policy architecture is underpinned by a legal framework designed to facilitate the redirection of subsidies into ownership pathways. Key instruments include:</w:t>
      </w:r>
    </w:p>
    <w:p w14:paraId="4B1AC1CF"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Enactment of a Public Equity Transfer Framework (PETF), codifying the legal right to convert subsidy vouchers into cooperative shares</w:t>
      </w:r>
    </w:p>
    <w:p w14:paraId="5C89F3A5"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Amendments to NYS Real Property Law permitting subsidy-backed co-op formation and transfer</w:t>
      </w:r>
    </w:p>
    <w:p w14:paraId="3354EBCA"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Strengthened tenant rights under Right of First Refusal (ROFR) legislation</w:t>
      </w:r>
    </w:p>
    <w:p w14:paraId="5BE67EF8"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Expansion of Community Opportunity to Purchase Act (COPA) provisions</w:t>
      </w:r>
    </w:p>
    <w:p w14:paraId="34A1E116"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HUD administrative waivers enabling flexibility in HCV deployment for equity conversion pilots</w:t>
      </w:r>
    </w:p>
    <w:p w14:paraId="4144DF89" w14:textId="77777777" w:rsidR="001C54EE" w:rsidRPr="0039175E" w:rsidRDefault="00000000">
      <w:pPr>
        <w:pStyle w:val="Body"/>
        <w:rPr>
          <w:rFonts w:cs="Times New Roman"/>
        </w:rPr>
      </w:pPr>
      <w:r w:rsidRPr="0039175E">
        <w:rPr>
          <w:rFonts w:cs="Times New Roman"/>
        </w:rPr>
        <w:t>Oversight functions will be distributed among HPD, HCR, the NYS Attorney General</w:t>
      </w:r>
      <w:r w:rsidRPr="0039175E">
        <w:rPr>
          <w:rFonts w:cs="Times New Roman"/>
          <w:rtl/>
        </w:rPr>
        <w:t>’</w:t>
      </w:r>
      <w:r w:rsidRPr="0039175E">
        <w:rPr>
          <w:rFonts w:cs="Times New Roman"/>
        </w:rPr>
        <w:t>s Office, and community-based accountability boards composed of tenant representatives and nonprofit housing experts.</w:t>
      </w:r>
    </w:p>
    <w:p w14:paraId="0A405CBF" w14:textId="77777777" w:rsidR="001C54EE" w:rsidRPr="0039175E" w:rsidRDefault="00000000">
      <w:pPr>
        <w:pStyle w:val="Default"/>
        <w:suppressAutoHyphens/>
        <w:spacing w:before="0" w:after="281" w:line="240" w:lineRule="auto"/>
        <w:rPr>
          <w:rFonts w:eastAsia="Times Roman" w:cs="Times New Roman"/>
          <w:b/>
          <w:bCs/>
          <w:sz w:val="28"/>
          <w:szCs w:val="28"/>
        </w:rPr>
      </w:pPr>
      <w:r w:rsidRPr="0039175E">
        <w:rPr>
          <w:rFonts w:cs="Times New Roman"/>
          <w:b/>
          <w:bCs/>
          <w:sz w:val="28"/>
          <w:szCs w:val="28"/>
        </w:rPr>
        <w:t>Implementation Framework</w:t>
      </w:r>
    </w:p>
    <w:p w14:paraId="6232B3EC"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sz w:val="24"/>
          <w:szCs w:val="24"/>
        </w:rPr>
        <w:t>The implementation phase will begin with the selection of five high-priority pilot buildings located in districts with concentrated housing code violations, organized tenant bases, and high risk of speculative turnover. These sites will serve as proof-of-concept environments for refining TCAP operations. An internal TCAP Task Force within HPD will coordinate program launch, in collaboration with key legal and financial stakeholders. Each site will receive individualized technical assistance, legal education workshops for tenants, and compliance support to navigate co-op governance regulations. The pilots will be used to establish a replicable policy and operational blueprint for citywide expansion. A full five-year implementation timeline, including interim evaluation benchmarks and real-time process monitoring protocols, is included in Appendix A.</w:t>
      </w:r>
    </w:p>
    <w:p w14:paraId="4E2D48D7" w14:textId="77777777" w:rsidR="001C54EE" w:rsidRPr="0039175E" w:rsidRDefault="00000000">
      <w:pPr>
        <w:pStyle w:val="Default"/>
        <w:suppressAutoHyphens/>
        <w:spacing w:before="0" w:after="281" w:line="240" w:lineRule="auto"/>
        <w:rPr>
          <w:rFonts w:eastAsia="Times Roman" w:cs="Times New Roman"/>
          <w:b/>
          <w:bCs/>
          <w:sz w:val="28"/>
          <w:szCs w:val="28"/>
        </w:rPr>
      </w:pPr>
      <w:r w:rsidRPr="0039175E">
        <w:rPr>
          <w:rFonts w:cs="Times New Roman"/>
          <w:b/>
          <w:bCs/>
          <w:sz w:val="28"/>
          <w:szCs w:val="28"/>
        </w:rPr>
        <w:t>Fiscal and Economic Viability</w:t>
      </w:r>
    </w:p>
    <w:p w14:paraId="3A502D5B"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sz w:val="24"/>
          <w:szCs w:val="24"/>
        </w:rPr>
        <w:t>TCAP is explicitly designed to be fiscally self-sustaining over a five-year implementation horizon. Initial capital expenditures for acquisition and stabilization will be offset by substantial reductions in emergency housing assistance, litigation costs, and long-term shelter dependency. The program will leverage existing federal and state subsidy flows while introducing revolving loan structures secured through city-backed guarantees. Credit unions and CDFIs will serve as originators of cooperative acquisition financing, supported by low-interest bridge loans and philanthropic capital infusions. Appendix B outlines comparative cost savings relative to the status quo subsidy framework, demonstrating that TCAP yields greater return on public investment while materially improving tenant outcomes.</w:t>
      </w:r>
    </w:p>
    <w:p w14:paraId="30E8E050" w14:textId="77777777" w:rsidR="001C54EE" w:rsidRPr="0039175E" w:rsidRDefault="00000000">
      <w:pPr>
        <w:pStyle w:val="Default"/>
        <w:suppressAutoHyphens/>
        <w:spacing w:before="0" w:after="281" w:line="240" w:lineRule="auto"/>
        <w:rPr>
          <w:rFonts w:eastAsia="Times Roman" w:cs="Times New Roman"/>
          <w:b/>
          <w:bCs/>
          <w:sz w:val="28"/>
          <w:szCs w:val="28"/>
        </w:rPr>
      </w:pPr>
      <w:r w:rsidRPr="0039175E">
        <w:rPr>
          <w:rFonts w:cs="Times New Roman"/>
          <w:b/>
          <w:bCs/>
          <w:sz w:val="28"/>
          <w:szCs w:val="28"/>
        </w:rPr>
        <w:lastRenderedPageBreak/>
        <w:t>Empirical Foundation</w:t>
      </w:r>
    </w:p>
    <w:p w14:paraId="70F2383F"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sz w:val="24"/>
          <w:szCs w:val="24"/>
        </w:rPr>
        <w:t>A robust empirical base supports the conceptual and operational premises of TCAP. Elmelech (2004) provides a foundational analysis of homeownership disparities in NYC, linking racialized immigration histories and structural exclusions from mortgage markets to current inequities. HUD</w:t>
      </w:r>
      <w:r w:rsidRPr="0039175E">
        <w:rPr>
          <w:rFonts w:cs="Times New Roman"/>
          <w:sz w:val="24"/>
          <w:szCs w:val="24"/>
          <w:rtl/>
        </w:rPr>
        <w:t>’</w:t>
      </w:r>
      <w:r w:rsidRPr="0039175E">
        <w:rPr>
          <w:rFonts w:cs="Times New Roman"/>
          <w:sz w:val="24"/>
          <w:szCs w:val="24"/>
        </w:rPr>
        <w:t>s Community Choice Demonstration (Lubell et al., 2025) illustrates how enhanced tenant mobility and support services improve access to opportunity-rich neighborhoods, while simultaneously reinforcing the need for long-term housing stability strategies. Chernick, Reschovsky, and Newman (2021) empirically tie housing instability to municipal revenue loss and service strain, arguing for proactive fiscal tools such as cooperative acquisition. Dubb (2020), writing for the Nonprofit Quarterly, documents the emergence of non-market ownership models—including faith-based land partnerships and community wealth cooperatives—that successfully reclaim agency from speculative landlords and reinvest in marginalized communities.</w:t>
      </w:r>
    </w:p>
    <w:p w14:paraId="1764CB44" w14:textId="77777777" w:rsidR="001C54EE" w:rsidRPr="0039175E" w:rsidRDefault="00000000">
      <w:pPr>
        <w:pStyle w:val="Default"/>
        <w:suppressAutoHyphens/>
        <w:spacing w:before="0" w:after="281" w:line="240" w:lineRule="auto"/>
        <w:rPr>
          <w:rFonts w:eastAsia="Times Roman" w:cs="Times New Roman"/>
          <w:b/>
          <w:bCs/>
          <w:sz w:val="28"/>
          <w:szCs w:val="28"/>
        </w:rPr>
      </w:pPr>
      <w:r w:rsidRPr="0039175E">
        <w:rPr>
          <w:rFonts w:cs="Times New Roman"/>
          <w:b/>
          <w:bCs/>
          <w:sz w:val="28"/>
          <w:szCs w:val="28"/>
        </w:rPr>
        <w:t>Next Steps</w:t>
      </w:r>
    </w:p>
    <w:p w14:paraId="10D6A548"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sz w:val="24"/>
          <w:szCs w:val="24"/>
        </w:rPr>
        <w:t>To operationalize TCAP, a set of immediate procedural and legal steps must be prioritized:</w:t>
      </w:r>
    </w:p>
    <w:p w14:paraId="158F69C4" w14:textId="77777777" w:rsidR="001C54EE" w:rsidRPr="0039175E" w:rsidRDefault="00000000">
      <w:pPr>
        <w:pStyle w:val="Default"/>
        <w:numPr>
          <w:ilvl w:val="0"/>
          <w:numId w:val="5"/>
        </w:numPr>
        <w:suppressAutoHyphens/>
        <w:spacing w:before="0" w:after="240" w:line="240" w:lineRule="auto"/>
        <w:rPr>
          <w:rFonts w:cs="Times New Roman"/>
          <w:sz w:val="24"/>
          <w:szCs w:val="24"/>
        </w:rPr>
      </w:pPr>
      <w:r w:rsidRPr="0039175E">
        <w:rPr>
          <w:rFonts w:cs="Times New Roman"/>
          <w:sz w:val="24"/>
          <w:szCs w:val="24"/>
        </w:rPr>
        <w:t>Draft and formally adopt standardized legal templates for cooperative formation, governance structures, and subsidy-to-equity conversion.</w:t>
      </w:r>
    </w:p>
    <w:p w14:paraId="39D936EE" w14:textId="77777777" w:rsidR="001C54EE" w:rsidRPr="0039175E" w:rsidRDefault="00000000">
      <w:pPr>
        <w:pStyle w:val="Default"/>
        <w:numPr>
          <w:ilvl w:val="0"/>
          <w:numId w:val="5"/>
        </w:numPr>
        <w:suppressAutoHyphens/>
        <w:spacing w:before="0" w:after="240" w:line="240" w:lineRule="auto"/>
        <w:rPr>
          <w:rFonts w:cs="Times New Roman"/>
          <w:sz w:val="24"/>
          <w:szCs w:val="24"/>
        </w:rPr>
      </w:pPr>
      <w:r w:rsidRPr="0039175E">
        <w:rPr>
          <w:rFonts w:cs="Times New Roman"/>
          <w:sz w:val="24"/>
          <w:szCs w:val="24"/>
        </w:rPr>
        <w:t>Execute memoranda of understanding (MOUs) among HPD, NYCHA, HCR, and legal aid partners for coordinated service delivery.</w:t>
      </w:r>
    </w:p>
    <w:p w14:paraId="5D1D212D" w14:textId="77777777" w:rsidR="001C54EE" w:rsidRPr="0039175E" w:rsidRDefault="00000000">
      <w:pPr>
        <w:pStyle w:val="Default"/>
        <w:numPr>
          <w:ilvl w:val="0"/>
          <w:numId w:val="5"/>
        </w:numPr>
        <w:suppressAutoHyphens/>
        <w:spacing w:before="0" w:after="240" w:line="240" w:lineRule="auto"/>
        <w:rPr>
          <w:rFonts w:cs="Times New Roman"/>
          <w:sz w:val="24"/>
          <w:szCs w:val="24"/>
        </w:rPr>
      </w:pPr>
      <w:r w:rsidRPr="0039175E">
        <w:rPr>
          <w:rFonts w:cs="Times New Roman"/>
          <w:sz w:val="24"/>
          <w:szCs w:val="24"/>
        </w:rPr>
        <w:t>Develop and submit a comprehensive waiver request to HUD for use of HCVs in cooperative equity acquisition under PETF provisions.</w:t>
      </w:r>
    </w:p>
    <w:p w14:paraId="418E9796" w14:textId="77777777" w:rsidR="001C54EE" w:rsidRPr="0039175E" w:rsidRDefault="00000000">
      <w:pPr>
        <w:pStyle w:val="Default"/>
        <w:numPr>
          <w:ilvl w:val="0"/>
          <w:numId w:val="5"/>
        </w:numPr>
        <w:suppressAutoHyphens/>
        <w:spacing w:before="0" w:after="240" w:line="240" w:lineRule="auto"/>
        <w:rPr>
          <w:rFonts w:cs="Times New Roman"/>
          <w:sz w:val="24"/>
          <w:szCs w:val="24"/>
        </w:rPr>
      </w:pPr>
      <w:r w:rsidRPr="0039175E">
        <w:rPr>
          <w:rFonts w:cs="Times New Roman"/>
          <w:sz w:val="24"/>
          <w:szCs w:val="24"/>
        </w:rPr>
        <w:t>Identify and secure five initial pilot properties with readiness assessments, funding approvals, and tenant participation benchmarks.</w:t>
      </w:r>
    </w:p>
    <w:p w14:paraId="165A1FF9" w14:textId="77777777" w:rsidR="001C54EE" w:rsidRPr="0039175E" w:rsidRDefault="00000000">
      <w:pPr>
        <w:pStyle w:val="Default"/>
        <w:numPr>
          <w:ilvl w:val="0"/>
          <w:numId w:val="5"/>
        </w:numPr>
        <w:suppressAutoHyphens/>
        <w:spacing w:before="0" w:after="240" w:line="240" w:lineRule="auto"/>
        <w:rPr>
          <w:rFonts w:cs="Times New Roman"/>
          <w:sz w:val="24"/>
          <w:szCs w:val="24"/>
        </w:rPr>
      </w:pPr>
      <w:r w:rsidRPr="0039175E">
        <w:rPr>
          <w:rFonts w:cs="Times New Roman"/>
          <w:sz w:val="24"/>
          <w:szCs w:val="24"/>
        </w:rPr>
        <w:t>Initiate a citywide communications campaign and stakeholder briefings to build public awareness and institutional alignment.</w:t>
      </w:r>
    </w:p>
    <w:p w14:paraId="1A895C11"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sz w:val="24"/>
          <w:szCs w:val="24"/>
        </w:rPr>
        <w:t>The TCAP Task Force will monitor implementation against a matrix of evaluative indicators—housing stability, ownership conversion rate, subsidy efficiency, and neighborhood-level outcomes—informing policy refinement and eventual institutionalization.</w:t>
      </w:r>
    </w:p>
    <w:p w14:paraId="229DAC07" w14:textId="77777777" w:rsidR="001C54EE" w:rsidRPr="0039175E" w:rsidRDefault="001C54EE">
      <w:pPr>
        <w:pStyle w:val="Default"/>
        <w:suppressAutoHyphens/>
        <w:spacing w:before="0" w:line="240" w:lineRule="auto"/>
        <w:rPr>
          <w:rFonts w:eastAsia="Times Roman" w:cs="Times New Roman"/>
          <w:color w:val="808080"/>
          <w:sz w:val="24"/>
          <w:szCs w:val="24"/>
        </w:rPr>
      </w:pPr>
    </w:p>
    <w:p w14:paraId="15DD56B2" w14:textId="77777777" w:rsidR="001C54EE" w:rsidRPr="0039175E" w:rsidRDefault="001C54EE">
      <w:pPr>
        <w:pStyle w:val="Body"/>
        <w:rPr>
          <w:rFonts w:cs="Times New Roman"/>
        </w:rPr>
      </w:pPr>
    </w:p>
    <w:p w14:paraId="6753AF72" w14:textId="77777777" w:rsidR="001C54EE" w:rsidRPr="0039175E" w:rsidRDefault="00000000">
      <w:pPr>
        <w:pStyle w:val="Default"/>
        <w:suppressAutoHyphens/>
        <w:spacing w:before="0" w:after="299" w:line="240" w:lineRule="auto"/>
        <w:rPr>
          <w:rFonts w:eastAsia="Times Roman" w:cs="Times New Roman"/>
          <w:b/>
          <w:bCs/>
          <w:sz w:val="36"/>
          <w:szCs w:val="36"/>
        </w:rPr>
      </w:pPr>
      <w:r w:rsidRPr="0039175E">
        <w:rPr>
          <w:rFonts w:cs="Times New Roman"/>
          <w:b/>
          <w:bCs/>
          <w:sz w:val="36"/>
          <w:szCs w:val="36"/>
        </w:rPr>
        <w:t>Policy Question &amp; Significance</w:t>
      </w:r>
    </w:p>
    <w:p w14:paraId="107E9EE1" w14:textId="77777777" w:rsidR="001C54EE" w:rsidRPr="0039175E" w:rsidRDefault="00000000">
      <w:pPr>
        <w:pStyle w:val="Default"/>
        <w:suppressAutoHyphens/>
        <w:spacing w:before="0" w:after="281" w:line="240" w:lineRule="auto"/>
        <w:rPr>
          <w:rFonts w:eastAsia="Times Roman" w:cs="Times New Roman"/>
          <w:b/>
          <w:bCs/>
          <w:sz w:val="28"/>
          <w:szCs w:val="28"/>
        </w:rPr>
      </w:pPr>
      <w:r w:rsidRPr="0039175E">
        <w:rPr>
          <w:rFonts w:cs="Times New Roman"/>
          <w:b/>
          <w:bCs/>
          <w:sz w:val="28"/>
          <w:szCs w:val="28"/>
        </w:rPr>
        <w:t>Framing the Core Inquiry</w:t>
      </w:r>
    </w:p>
    <w:p w14:paraId="64A1D7E1"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sz w:val="24"/>
          <w:szCs w:val="24"/>
        </w:rPr>
        <w:t>At the heart of this proposal lies a fundamental inquiry into the design, purpose, and justice implications of New York City</w:t>
      </w:r>
      <w:r w:rsidRPr="0039175E">
        <w:rPr>
          <w:rFonts w:cs="Times New Roman"/>
          <w:sz w:val="24"/>
          <w:szCs w:val="24"/>
          <w:rtl/>
        </w:rPr>
        <w:t>’</w:t>
      </w:r>
      <w:r w:rsidRPr="0039175E">
        <w:rPr>
          <w:rFonts w:cs="Times New Roman"/>
          <w:sz w:val="24"/>
          <w:szCs w:val="24"/>
        </w:rPr>
        <w:t xml:space="preserve">s housing subsidy infrastructure: </w:t>
      </w:r>
      <w:r w:rsidRPr="0039175E">
        <w:rPr>
          <w:rFonts w:cs="Times New Roman"/>
          <w:b/>
          <w:bCs/>
          <w:sz w:val="24"/>
          <w:szCs w:val="24"/>
        </w:rPr>
        <w:t>How can the city</w:t>
      </w:r>
      <w:r w:rsidRPr="0039175E">
        <w:rPr>
          <w:rFonts w:cs="Times New Roman"/>
          <w:b/>
          <w:bCs/>
          <w:sz w:val="24"/>
          <w:szCs w:val="24"/>
          <w:rtl/>
        </w:rPr>
        <w:t>’</w:t>
      </w:r>
      <w:r w:rsidRPr="0039175E">
        <w:rPr>
          <w:rFonts w:cs="Times New Roman"/>
          <w:b/>
          <w:bCs/>
          <w:sz w:val="24"/>
          <w:szCs w:val="24"/>
        </w:rPr>
        <w:t>s rental subsidy programs be structurally reconfigured to facilitate tenant ownership and foster intergenerational wealth-building, particularly within communities historically denied access to asset formation?</w:t>
      </w:r>
      <w:r w:rsidRPr="0039175E">
        <w:rPr>
          <w:rFonts w:cs="Times New Roman"/>
          <w:sz w:val="24"/>
          <w:szCs w:val="24"/>
        </w:rPr>
        <w:t xml:space="preserve"> This question seeks not merely to improve existing administrative efficiency or expand access to rent assistance, but to confront the core political </w:t>
      </w:r>
      <w:r w:rsidRPr="0039175E">
        <w:rPr>
          <w:rFonts w:cs="Times New Roman"/>
          <w:sz w:val="24"/>
          <w:szCs w:val="24"/>
        </w:rPr>
        <w:lastRenderedPageBreak/>
        <w:t>economy of housing subsidies and the interlocking systems of racialized exclusion they perpetuate. It is not a technocratic question—it is an ontological one: What should public housing subsidies accomplish in a society ostensibly committed to equity?</w:t>
      </w:r>
    </w:p>
    <w:p w14:paraId="2FE3D125" w14:textId="77777777" w:rsidR="001C54EE" w:rsidRPr="0039175E" w:rsidRDefault="00000000">
      <w:pPr>
        <w:pStyle w:val="Default"/>
        <w:suppressAutoHyphens/>
        <w:spacing w:before="0" w:after="281" w:line="240" w:lineRule="auto"/>
        <w:rPr>
          <w:rFonts w:eastAsia="Times Roman" w:cs="Times New Roman"/>
          <w:b/>
          <w:bCs/>
          <w:sz w:val="28"/>
          <w:szCs w:val="28"/>
        </w:rPr>
      </w:pPr>
      <w:r w:rsidRPr="0039175E">
        <w:rPr>
          <w:rFonts w:cs="Times New Roman"/>
          <w:b/>
          <w:bCs/>
          <w:sz w:val="28"/>
          <w:szCs w:val="28"/>
        </w:rPr>
        <w:t>Significance in the Context of Structural Inequality</w:t>
      </w:r>
    </w:p>
    <w:p w14:paraId="51DB3C53"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sz w:val="24"/>
          <w:szCs w:val="24"/>
        </w:rPr>
        <w:t xml:space="preserve">New York City continues to allocate more than $5 billion annually across federal, state, and local subsidy programs, with </w:t>
      </w:r>
      <w:proofErr w:type="gramStart"/>
      <w:r w:rsidRPr="0039175E">
        <w:rPr>
          <w:rFonts w:cs="Times New Roman"/>
          <w:sz w:val="24"/>
          <w:szCs w:val="24"/>
        </w:rPr>
        <w:t>the vast majority of</w:t>
      </w:r>
      <w:proofErr w:type="gramEnd"/>
      <w:r w:rsidRPr="0039175E">
        <w:rPr>
          <w:rFonts w:cs="Times New Roman"/>
          <w:sz w:val="24"/>
          <w:szCs w:val="24"/>
        </w:rPr>
        <w:t xml:space="preserve"> these funds routed directly to landlords (Chernick et al., 2021). These subsidies have successfully reduced short-term homelessness and rent burden, but they have failed to disrupt structural inequities in wealth accumulation. Notably, the racial homeownership gap in NYC remains stark: only 27% of Black and 17% of Latino households own their homes, compared to 44% of white households (Elmelech, 2004; NYU Furman Center, 2022). This disparity persists even when controlling for income and education, underscoring that market access alone cannot account for differential housing outcomes. Historical redlining, predatory lending, and exclusion from mortgage instruments have created generational hurdles that rental subsidies, as currently structured, do not address.</w:t>
      </w:r>
    </w:p>
    <w:p w14:paraId="62A62BB8" w14:textId="77777777" w:rsidR="001C54EE" w:rsidRPr="0039175E" w:rsidRDefault="00000000">
      <w:pPr>
        <w:pStyle w:val="Default"/>
        <w:suppressAutoHyphens/>
        <w:spacing w:before="0" w:after="281" w:line="240" w:lineRule="auto"/>
        <w:rPr>
          <w:rFonts w:eastAsia="Times Roman" w:cs="Times New Roman"/>
          <w:b/>
          <w:bCs/>
          <w:sz w:val="28"/>
          <w:szCs w:val="28"/>
        </w:rPr>
      </w:pPr>
      <w:r w:rsidRPr="0039175E">
        <w:rPr>
          <w:rFonts w:cs="Times New Roman"/>
          <w:b/>
          <w:bCs/>
          <w:sz w:val="28"/>
          <w:szCs w:val="28"/>
        </w:rPr>
        <w:t>Convergence of Fiscal, Legal, and Racial Imperatives</w:t>
      </w:r>
    </w:p>
    <w:p w14:paraId="1BE81D71"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sz w:val="24"/>
          <w:szCs w:val="24"/>
        </w:rPr>
        <w:t xml:space="preserve">Converging crises magnify the proposal's urgency: increasing displacement in working-class neighborhoods, mounting public expenditures on eviction prevention and shelter services, and a growing recognition that tenant protections—even when well-resourced—do not constitute asset security. Even landmark programs such as Right to Counsel, </w:t>
      </w:r>
      <w:proofErr w:type="spellStart"/>
      <w:r w:rsidRPr="0039175E">
        <w:rPr>
          <w:rFonts w:cs="Times New Roman"/>
          <w:sz w:val="24"/>
          <w:szCs w:val="24"/>
        </w:rPr>
        <w:t>CityFHEPS</w:t>
      </w:r>
      <w:proofErr w:type="spellEnd"/>
      <w:r w:rsidRPr="0039175E">
        <w:rPr>
          <w:rFonts w:cs="Times New Roman"/>
          <w:sz w:val="24"/>
          <w:szCs w:val="24"/>
        </w:rPr>
        <w:t xml:space="preserve"> expansion, and local rent law reforms have left the core structure of ownership accumulation untouched. Tenants remain rent payers indefinitely; landlords remain asset holders and recipients of public subsidy. This dichotomy reveals a profound asymmetry in the social contract and an untenable division of fiscal responsibility and private gain.</w:t>
      </w:r>
    </w:p>
    <w:p w14:paraId="32BE4B99"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sz w:val="24"/>
          <w:szCs w:val="24"/>
        </w:rPr>
        <w:t>Moreover, the fiscal logic for reform is clear: every dollar invested in rent stabilization that fails to produce equity yields only temporary relief. In contrast, converting these streams into cooperative equity investment—when paired with legal infrastructure and technical assistance—establishes a permanent subsidy outcome: collective ownership. This is not only more just, but also more durable.</w:t>
      </w:r>
    </w:p>
    <w:p w14:paraId="4966F45D" w14:textId="77777777" w:rsidR="001C54EE" w:rsidRPr="0039175E" w:rsidRDefault="00000000">
      <w:pPr>
        <w:pStyle w:val="Default"/>
        <w:suppressAutoHyphens/>
        <w:spacing w:before="0" w:after="281" w:line="240" w:lineRule="auto"/>
        <w:rPr>
          <w:rFonts w:eastAsia="Times Roman" w:cs="Times New Roman"/>
          <w:b/>
          <w:bCs/>
          <w:sz w:val="28"/>
          <w:szCs w:val="28"/>
        </w:rPr>
      </w:pPr>
      <w:r w:rsidRPr="0039175E">
        <w:rPr>
          <w:rFonts w:cs="Times New Roman"/>
          <w:b/>
          <w:bCs/>
          <w:sz w:val="28"/>
          <w:szCs w:val="28"/>
        </w:rPr>
        <w:t>Public Purpose and Political Imagination</w:t>
      </w:r>
    </w:p>
    <w:p w14:paraId="0DB96E14"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sz w:val="24"/>
          <w:szCs w:val="24"/>
        </w:rPr>
        <w:t xml:space="preserve">A policy environment that restricts itself to short-term shelter affordability is one that abdicates its responsibility to address historical harm and systemic exclusion. The TCAP model rejects this narrow horizon. Instead, it draws upon decades of critical housing literature, community organizing, and real-world cooperative practice to imagine a subsidy structure capable of producing not only shelter, but </w:t>
      </w:r>
      <w:proofErr w:type="gramStart"/>
      <w:r w:rsidRPr="0039175E">
        <w:rPr>
          <w:rFonts w:cs="Times New Roman"/>
          <w:sz w:val="24"/>
          <w:szCs w:val="24"/>
        </w:rPr>
        <w:t>stewardship;</w:t>
      </w:r>
      <w:proofErr w:type="gramEnd"/>
      <w:r w:rsidRPr="0039175E">
        <w:rPr>
          <w:rFonts w:cs="Times New Roman"/>
          <w:sz w:val="24"/>
          <w:szCs w:val="24"/>
        </w:rPr>
        <w:t xml:space="preserve"> not only occupancy, but equity. In doing so, it aligns public funding with long-term public good and offers a framework for redress and redistribution that is long overdue.</w:t>
      </w:r>
    </w:p>
    <w:p w14:paraId="1DC0A406"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sz w:val="24"/>
          <w:szCs w:val="24"/>
        </w:rPr>
        <w:t>In this light, the policy question is not simply about improving housing access. It is about reconfiguring the moral and financial infrastructure of housing policy to function as a vehicle for economic justice. TCAP embodies this reconfiguration.</w:t>
      </w:r>
    </w:p>
    <w:p w14:paraId="02613AD9" w14:textId="77777777" w:rsidR="001C54EE" w:rsidRPr="0039175E" w:rsidRDefault="00000000">
      <w:pPr>
        <w:pStyle w:val="Default"/>
        <w:suppressAutoHyphens/>
        <w:spacing w:before="0" w:after="299" w:line="240" w:lineRule="auto"/>
        <w:rPr>
          <w:rFonts w:eastAsia="Times Roman" w:cs="Times New Roman"/>
          <w:b/>
          <w:bCs/>
          <w:sz w:val="36"/>
          <w:szCs w:val="36"/>
        </w:rPr>
      </w:pPr>
      <w:r w:rsidRPr="0039175E">
        <w:rPr>
          <w:rFonts w:cs="Times New Roman"/>
          <w:b/>
          <w:bCs/>
          <w:sz w:val="36"/>
          <w:szCs w:val="36"/>
        </w:rPr>
        <w:t xml:space="preserve">Research Basis &amp; Context </w:t>
      </w:r>
      <w:r w:rsidRPr="0039175E">
        <w:rPr>
          <w:rFonts w:cs="Times New Roman"/>
          <w:b/>
          <w:bCs/>
          <w:i/>
          <w:iCs/>
          <w:sz w:val="36"/>
          <w:szCs w:val="36"/>
        </w:rPr>
        <w:t xml:space="preserve">(formerly </w:t>
      </w:r>
      <w:r w:rsidRPr="0039175E">
        <w:rPr>
          <w:rFonts w:cs="Times New Roman"/>
          <w:b/>
          <w:bCs/>
          <w:i/>
          <w:iCs/>
          <w:sz w:val="36"/>
          <w:szCs w:val="36"/>
          <w:rtl/>
          <w:lang w:val="ar-SA"/>
        </w:rPr>
        <w:t>“</w:t>
      </w:r>
      <w:r w:rsidRPr="0039175E">
        <w:rPr>
          <w:rFonts w:cs="Times New Roman"/>
          <w:b/>
          <w:bCs/>
          <w:i/>
          <w:iCs/>
          <w:sz w:val="36"/>
          <w:szCs w:val="36"/>
        </w:rPr>
        <w:t>Literature Review”)</w:t>
      </w:r>
    </w:p>
    <w:p w14:paraId="671B40F1" w14:textId="77777777" w:rsidR="001C54EE" w:rsidRPr="0039175E" w:rsidRDefault="00000000">
      <w:pPr>
        <w:pStyle w:val="Default"/>
        <w:suppressAutoHyphens/>
        <w:spacing w:before="0" w:after="281" w:line="240" w:lineRule="auto"/>
        <w:rPr>
          <w:rFonts w:eastAsia="Times Roman" w:cs="Times New Roman"/>
          <w:b/>
          <w:bCs/>
          <w:sz w:val="28"/>
          <w:szCs w:val="28"/>
        </w:rPr>
      </w:pPr>
      <w:r w:rsidRPr="0039175E">
        <w:rPr>
          <w:rFonts w:cs="Times New Roman"/>
          <w:b/>
          <w:bCs/>
          <w:sz w:val="28"/>
          <w:szCs w:val="28"/>
        </w:rPr>
        <w:t>Positioning the Literature within Policy Transformation</w:t>
      </w:r>
    </w:p>
    <w:p w14:paraId="1B973A8B"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sz w:val="24"/>
          <w:szCs w:val="24"/>
        </w:rPr>
        <w:lastRenderedPageBreak/>
        <w:t>The policy framework proposed by TCAP is deeply grounded in an interdisciplinary body of literature spanning sociology, urban studies, public finance, legal theory, and housing justice. This section synthesizes critical findings from empirical research, policy analyses, and community-based scholarship that collectively argue for the transformation of rental subsidies into instruments of ownership and wealth-building.</w:t>
      </w:r>
    </w:p>
    <w:p w14:paraId="13AD9A93" w14:textId="77777777" w:rsidR="001C54EE" w:rsidRPr="0039175E" w:rsidRDefault="00000000">
      <w:pPr>
        <w:pStyle w:val="Default"/>
        <w:suppressAutoHyphens/>
        <w:spacing w:before="0" w:after="281" w:line="240" w:lineRule="auto"/>
        <w:rPr>
          <w:rFonts w:eastAsia="Times Roman" w:cs="Times New Roman"/>
          <w:b/>
          <w:bCs/>
          <w:sz w:val="28"/>
          <w:szCs w:val="28"/>
        </w:rPr>
      </w:pPr>
      <w:r w:rsidRPr="0039175E">
        <w:rPr>
          <w:rFonts w:cs="Times New Roman"/>
          <w:b/>
          <w:bCs/>
          <w:sz w:val="28"/>
          <w:szCs w:val="28"/>
        </w:rPr>
        <w:t>Structural Barriers to Homeownership</w:t>
      </w:r>
    </w:p>
    <w:p w14:paraId="060FB619"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sz w:val="24"/>
          <w:szCs w:val="24"/>
        </w:rPr>
        <w:t>Yuval Elmelech</w:t>
      </w:r>
      <w:r w:rsidRPr="0039175E">
        <w:rPr>
          <w:rFonts w:cs="Times New Roman"/>
          <w:sz w:val="24"/>
          <w:szCs w:val="24"/>
          <w:rtl/>
        </w:rPr>
        <w:t>’</w:t>
      </w:r>
      <w:r w:rsidRPr="0039175E">
        <w:rPr>
          <w:rFonts w:cs="Times New Roman"/>
          <w:sz w:val="24"/>
          <w:szCs w:val="24"/>
        </w:rPr>
        <w:t xml:space="preserve">s foundational study (2004) highlights that racial disparities in homeownership in New York City are not adequately explained by income or education alone. His multivariate analysis of 1990 Census data reveals that time of immigration, language proficiency, and residential segregation play critical roles in shaping housing tenure outcomes. Immigrant populations, particularly Dominicans, Puerto Ricans, and Black households, faced compounded disadvantages in accessing mortgage markets and affordable ownership opportunities. These disparities persisted even after controlling for individual attributes, indicating a broader </w:t>
      </w:r>
      <w:proofErr w:type="spellStart"/>
      <w:r w:rsidRPr="0039175E">
        <w:rPr>
          <w:rFonts w:cs="Times New Roman"/>
          <w:sz w:val="24"/>
          <w:szCs w:val="24"/>
        </w:rPr>
        <w:t>hsystemic</w:t>
      </w:r>
      <w:proofErr w:type="spellEnd"/>
      <w:r w:rsidRPr="0039175E">
        <w:rPr>
          <w:rFonts w:cs="Times New Roman"/>
          <w:sz w:val="24"/>
          <w:szCs w:val="24"/>
        </w:rPr>
        <w:t xml:space="preserve"> barrier that public subsidies failed to address.</w:t>
      </w:r>
    </w:p>
    <w:p w14:paraId="23C99581" w14:textId="77777777" w:rsidR="001C54EE" w:rsidRPr="0039175E" w:rsidRDefault="00000000">
      <w:pPr>
        <w:pStyle w:val="Default"/>
        <w:suppressAutoHyphens/>
        <w:spacing w:before="0" w:after="281" w:line="240" w:lineRule="auto"/>
        <w:rPr>
          <w:rFonts w:eastAsia="Times Roman" w:cs="Times New Roman"/>
          <w:b/>
          <w:bCs/>
          <w:sz w:val="28"/>
          <w:szCs w:val="28"/>
        </w:rPr>
      </w:pPr>
      <w:r w:rsidRPr="0039175E">
        <w:rPr>
          <w:rFonts w:cs="Times New Roman"/>
          <w:b/>
          <w:bCs/>
          <w:sz w:val="28"/>
          <w:szCs w:val="28"/>
        </w:rPr>
        <w:t>The Fiscal Cost of Housing Instability</w:t>
      </w:r>
    </w:p>
    <w:p w14:paraId="07794717"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sz w:val="24"/>
          <w:szCs w:val="24"/>
        </w:rPr>
        <w:t xml:space="preserve">Chernick, Reschovsky, and Newman (2021) link housing instability to significant erosion of municipal tax bases and the ballooning of reactive social service expenditures. Their findings show that property tax revenue declines and emergency housing assistance </w:t>
      </w:r>
      <w:proofErr w:type="gramStart"/>
      <w:r w:rsidRPr="0039175E">
        <w:rPr>
          <w:rFonts w:cs="Times New Roman"/>
          <w:sz w:val="24"/>
          <w:szCs w:val="24"/>
        </w:rPr>
        <w:t>demands</w:t>
      </w:r>
      <w:proofErr w:type="gramEnd"/>
      <w:r w:rsidRPr="0039175E">
        <w:rPr>
          <w:rFonts w:cs="Times New Roman"/>
          <w:sz w:val="24"/>
          <w:szCs w:val="24"/>
        </w:rPr>
        <w:t xml:space="preserve"> rise in direct correlation with eviction rates and housing precarity. These fiscal impacts lend strong support to proactive interventions that can stabilize tenure and reduce turnover. TCAP responds to this fiscal imperative by channeling subsidy flows into permanent ownership structures that generate both housing stability and long-term economic return.</w:t>
      </w:r>
    </w:p>
    <w:p w14:paraId="52A8ECEF" w14:textId="77777777" w:rsidR="001C54EE" w:rsidRPr="0039175E" w:rsidRDefault="00000000">
      <w:pPr>
        <w:pStyle w:val="Default"/>
        <w:suppressAutoHyphens/>
        <w:spacing w:before="0" w:after="281" w:line="240" w:lineRule="auto"/>
        <w:rPr>
          <w:rFonts w:eastAsia="Times Roman" w:cs="Times New Roman"/>
          <w:b/>
          <w:bCs/>
          <w:sz w:val="28"/>
          <w:szCs w:val="28"/>
        </w:rPr>
      </w:pPr>
      <w:r w:rsidRPr="0039175E">
        <w:rPr>
          <w:rFonts w:cs="Times New Roman"/>
          <w:b/>
          <w:bCs/>
          <w:sz w:val="28"/>
          <w:szCs w:val="28"/>
        </w:rPr>
        <w:t>Evidence from Federal Demonstration Projects</w:t>
      </w:r>
    </w:p>
    <w:p w14:paraId="359673C7"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sz w:val="24"/>
          <w:szCs w:val="24"/>
        </w:rPr>
        <w:t>HUD</w:t>
      </w:r>
      <w:r w:rsidRPr="0039175E">
        <w:rPr>
          <w:rFonts w:cs="Times New Roman"/>
          <w:sz w:val="24"/>
          <w:szCs w:val="24"/>
          <w:rtl/>
        </w:rPr>
        <w:t>’</w:t>
      </w:r>
      <w:r w:rsidRPr="0039175E">
        <w:rPr>
          <w:rFonts w:cs="Times New Roman"/>
          <w:sz w:val="24"/>
          <w:szCs w:val="24"/>
        </w:rPr>
        <w:t>s Community Choice Demonstration (Lubell et al., 2025) underscores how voucher-holders benefit from targeted mobility support, yet it also exposes the limitations of voucher models that do not incorporate asset-building components. Families receiving relocation assistance showed improved outcomes in school quality, employment access, and neighborhood safety, but they remained renters—still vulnerable to displacement and without avenues to accrue equity. TCAP builds upon this insight by incorporating cooperative ownership into the subsidy apparatus, effectively merging mobility gains with economic empowerment.</w:t>
      </w:r>
    </w:p>
    <w:p w14:paraId="67E462CC" w14:textId="77777777" w:rsidR="001C54EE" w:rsidRPr="0039175E" w:rsidRDefault="00000000">
      <w:pPr>
        <w:pStyle w:val="Default"/>
        <w:suppressAutoHyphens/>
        <w:spacing w:before="0" w:after="281" w:line="240" w:lineRule="auto"/>
        <w:rPr>
          <w:rFonts w:eastAsia="Times Roman" w:cs="Times New Roman"/>
          <w:b/>
          <w:bCs/>
          <w:sz w:val="28"/>
          <w:szCs w:val="28"/>
        </w:rPr>
      </w:pPr>
      <w:r w:rsidRPr="0039175E">
        <w:rPr>
          <w:rFonts w:cs="Times New Roman"/>
          <w:b/>
          <w:bCs/>
          <w:sz w:val="28"/>
          <w:szCs w:val="28"/>
        </w:rPr>
        <w:t>Historical Wealth Accumulation and Exclusion</w:t>
      </w:r>
    </w:p>
    <w:p w14:paraId="3FAF0D37"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sz w:val="24"/>
          <w:szCs w:val="24"/>
        </w:rPr>
        <w:t>Oliver and Shapiro</w:t>
      </w:r>
      <w:r w:rsidRPr="0039175E">
        <w:rPr>
          <w:rFonts w:cs="Times New Roman"/>
          <w:sz w:val="24"/>
          <w:szCs w:val="24"/>
          <w:rtl/>
        </w:rPr>
        <w:t>’</w:t>
      </w:r>
      <w:r w:rsidRPr="0039175E">
        <w:rPr>
          <w:rFonts w:cs="Times New Roman"/>
          <w:sz w:val="24"/>
          <w:szCs w:val="24"/>
        </w:rPr>
        <w:t xml:space="preserve">s </w:t>
      </w:r>
      <w:r w:rsidRPr="0039175E">
        <w:rPr>
          <w:rFonts w:cs="Times New Roman"/>
          <w:i/>
          <w:iCs/>
          <w:sz w:val="24"/>
          <w:szCs w:val="24"/>
        </w:rPr>
        <w:t>Black Wealth/White Wealth</w:t>
      </w:r>
      <w:r w:rsidRPr="0039175E">
        <w:rPr>
          <w:rFonts w:cs="Times New Roman"/>
          <w:sz w:val="24"/>
          <w:szCs w:val="24"/>
        </w:rPr>
        <w:t xml:space="preserve"> (1995) remains seminal in articulating how intergenerational disparities are driven not by income differentials, but by differential access to asset formation—most notably through homeownership. They contend that public policy has consistently enabled white households to leverage property ownership as a wealth-building tool, while relegating Black and Latino households to perpetual tenancy or subprime debt traps. TCAP seeks to interrupt this pattern by embedding ownership rights directly within public housing policy.</w:t>
      </w:r>
    </w:p>
    <w:p w14:paraId="399AE068" w14:textId="77777777" w:rsidR="001C54EE" w:rsidRPr="0039175E" w:rsidRDefault="00000000">
      <w:pPr>
        <w:pStyle w:val="Default"/>
        <w:suppressAutoHyphens/>
        <w:spacing w:before="0" w:after="281" w:line="240" w:lineRule="auto"/>
        <w:rPr>
          <w:rFonts w:eastAsia="Times Roman" w:cs="Times New Roman"/>
          <w:b/>
          <w:bCs/>
          <w:sz w:val="28"/>
          <w:szCs w:val="28"/>
        </w:rPr>
      </w:pPr>
      <w:proofErr w:type="spellStart"/>
      <w:r w:rsidRPr="0039175E">
        <w:rPr>
          <w:rFonts w:cs="Times New Roman"/>
          <w:b/>
          <w:bCs/>
          <w:sz w:val="28"/>
          <w:szCs w:val="28"/>
          <w:lang w:val="fr-FR"/>
        </w:rPr>
        <w:t>Institutional</w:t>
      </w:r>
      <w:proofErr w:type="spellEnd"/>
      <w:r w:rsidRPr="0039175E">
        <w:rPr>
          <w:rFonts w:cs="Times New Roman"/>
          <w:b/>
          <w:bCs/>
          <w:sz w:val="28"/>
          <w:szCs w:val="28"/>
          <w:lang w:val="fr-FR"/>
        </w:rPr>
        <w:t xml:space="preserve"> Critique and </w:t>
      </w:r>
      <w:proofErr w:type="spellStart"/>
      <w:r w:rsidRPr="0039175E">
        <w:rPr>
          <w:rFonts w:cs="Times New Roman"/>
          <w:b/>
          <w:bCs/>
          <w:sz w:val="28"/>
          <w:szCs w:val="28"/>
          <w:lang w:val="fr-FR"/>
        </w:rPr>
        <w:t>Emerging</w:t>
      </w:r>
      <w:proofErr w:type="spellEnd"/>
      <w:r w:rsidRPr="0039175E">
        <w:rPr>
          <w:rFonts w:cs="Times New Roman"/>
          <w:b/>
          <w:bCs/>
          <w:sz w:val="28"/>
          <w:szCs w:val="28"/>
          <w:lang w:val="fr-FR"/>
        </w:rPr>
        <w:t xml:space="preserve"> Practice</w:t>
      </w:r>
    </w:p>
    <w:p w14:paraId="059FBF11"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sz w:val="24"/>
          <w:szCs w:val="24"/>
        </w:rPr>
        <w:t xml:space="preserve">Recent scholarship and applied research from the Nonprofit Quarterly and institutions like Enterprise Community Partners, the Urban Institute, and LISC reveal a growing consensus around the limits of market-based affordable housing strategies. Dubb (2020) explores how faith-based organizations and land trusts are </w:t>
      </w:r>
      <w:r w:rsidRPr="0039175E">
        <w:rPr>
          <w:rFonts w:cs="Times New Roman"/>
          <w:sz w:val="24"/>
          <w:szCs w:val="24"/>
        </w:rPr>
        <w:lastRenderedPageBreak/>
        <w:t>reclaiming land for cooperative housing, using alternative ownership models to protect affordability and foster collective governance. These initiatives demonstrate proof-of-concept for co-op acquisition and reveal the need for deeper public-sector alignment to scale such models.</w:t>
      </w:r>
    </w:p>
    <w:p w14:paraId="5C719503" w14:textId="77777777" w:rsidR="001C54EE" w:rsidRPr="0039175E" w:rsidRDefault="00000000">
      <w:pPr>
        <w:pStyle w:val="Default"/>
        <w:suppressAutoHyphens/>
        <w:spacing w:before="0" w:after="281" w:line="240" w:lineRule="auto"/>
        <w:rPr>
          <w:rFonts w:eastAsia="Times Roman" w:cs="Times New Roman"/>
          <w:b/>
          <w:bCs/>
          <w:sz w:val="28"/>
          <w:szCs w:val="28"/>
        </w:rPr>
      </w:pPr>
      <w:r w:rsidRPr="0039175E">
        <w:rPr>
          <w:rFonts w:cs="Times New Roman"/>
          <w:b/>
          <w:bCs/>
          <w:sz w:val="28"/>
          <w:szCs w:val="28"/>
        </w:rPr>
        <w:t>The Gap Between Knowledge and Implementation</w:t>
      </w:r>
    </w:p>
    <w:p w14:paraId="0C6E89E1"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sz w:val="24"/>
          <w:szCs w:val="24"/>
        </w:rPr>
        <w:t>Despite robust evidence that tenant ownership improves social, economic, and civic outcomes, housing policy remains largely wedded to landlord-centered frameworks. This misalignment between scholarly consensus and policy design reflects both bureaucratic inertia and political hesitation. TCAP</w:t>
      </w:r>
      <w:r w:rsidRPr="0039175E">
        <w:rPr>
          <w:rFonts w:cs="Times New Roman"/>
          <w:sz w:val="24"/>
          <w:szCs w:val="24"/>
          <w:rtl/>
        </w:rPr>
        <w:t>’</w:t>
      </w:r>
      <w:r w:rsidRPr="0039175E">
        <w:rPr>
          <w:rFonts w:cs="Times New Roman"/>
          <w:sz w:val="24"/>
          <w:szCs w:val="24"/>
        </w:rPr>
        <w:t>s proposal is grounded in the understanding that the tools for equitable housing policy already exist—they have simply not been systematically deployed. This paper synthesizes the academic and policy literature to justify their deployment.</w:t>
      </w:r>
    </w:p>
    <w:p w14:paraId="07AC44E6"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sz w:val="24"/>
          <w:szCs w:val="24"/>
        </w:rPr>
        <w:t>In sum, the research supports the following conclusions:</w:t>
      </w:r>
    </w:p>
    <w:p w14:paraId="76DBDBF5"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Racialized housing outcomes are driven by structural exclusions, not individual deficits.</w:t>
      </w:r>
    </w:p>
    <w:p w14:paraId="6B922CE1"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Rental subsidies have demonstrable limits when disconnected from ownership pathways.</w:t>
      </w:r>
    </w:p>
    <w:p w14:paraId="61D09CB6"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Public expenditures on housing instability are unsustainable and inefficient.</w:t>
      </w:r>
    </w:p>
    <w:p w14:paraId="1B18DE64"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Cooperative housing models are legally viable, financially rational, and socially just.</w:t>
      </w:r>
    </w:p>
    <w:p w14:paraId="241867DD"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sz w:val="24"/>
          <w:szCs w:val="24"/>
        </w:rPr>
        <w:t>TCAP is the policy bridge between decades of research and the transformative application of that knowledge.</w:t>
      </w:r>
    </w:p>
    <w:p w14:paraId="57555257" w14:textId="77777777" w:rsidR="001C54EE" w:rsidRPr="0039175E" w:rsidRDefault="001C54EE">
      <w:pPr>
        <w:pStyle w:val="Default"/>
        <w:suppressAutoHyphens/>
        <w:spacing w:before="0" w:line="240" w:lineRule="auto"/>
        <w:rPr>
          <w:rFonts w:eastAsia="Times Roman" w:cs="Times New Roman"/>
          <w:color w:val="808080"/>
          <w:sz w:val="24"/>
          <w:szCs w:val="24"/>
        </w:rPr>
      </w:pPr>
    </w:p>
    <w:p w14:paraId="7F44B143" w14:textId="77777777" w:rsidR="001C54EE" w:rsidRPr="0039175E" w:rsidRDefault="00000000">
      <w:pPr>
        <w:pStyle w:val="Default"/>
        <w:suppressAutoHyphens/>
        <w:spacing w:before="0" w:line="240" w:lineRule="auto"/>
        <w:rPr>
          <w:rFonts w:cs="Times New Roman"/>
        </w:rPr>
      </w:pPr>
      <w:r w:rsidRPr="0039175E">
        <w:rPr>
          <w:rFonts w:cs="Times New Roman"/>
          <w:color w:val="808080"/>
          <w:sz w:val="24"/>
          <w:szCs w:val="24"/>
        </w:rPr>
        <w:br w:type="page"/>
      </w:r>
    </w:p>
    <w:p w14:paraId="0951597E" w14:textId="77777777" w:rsidR="001C54EE" w:rsidRPr="0039175E" w:rsidRDefault="00000000">
      <w:pPr>
        <w:pStyle w:val="Default"/>
        <w:suppressAutoHyphens/>
        <w:spacing w:before="0" w:after="322" w:line="240" w:lineRule="auto"/>
        <w:rPr>
          <w:rFonts w:eastAsia="Times Roman" w:cs="Times New Roman"/>
          <w:b/>
          <w:bCs/>
          <w:sz w:val="48"/>
          <w:szCs w:val="48"/>
        </w:rPr>
      </w:pPr>
      <w:r w:rsidRPr="0039175E">
        <w:rPr>
          <w:rFonts w:cs="Times New Roman"/>
          <w:b/>
          <w:bCs/>
          <w:sz w:val="48"/>
          <w:szCs w:val="48"/>
        </w:rPr>
        <w:lastRenderedPageBreak/>
        <w:t>PART II — POLICY DESIGN &amp; IMPLEMENTATION</w:t>
      </w:r>
    </w:p>
    <w:p w14:paraId="10E2FDE2" w14:textId="77777777" w:rsidR="001C54EE" w:rsidRPr="0039175E" w:rsidRDefault="00000000">
      <w:pPr>
        <w:pStyle w:val="Default"/>
        <w:suppressAutoHyphens/>
        <w:spacing w:before="0" w:after="299" w:line="240" w:lineRule="auto"/>
        <w:rPr>
          <w:rFonts w:eastAsia="Times Roman" w:cs="Times New Roman"/>
          <w:b/>
          <w:bCs/>
          <w:sz w:val="36"/>
          <w:szCs w:val="36"/>
        </w:rPr>
      </w:pPr>
      <w:r w:rsidRPr="0039175E">
        <w:rPr>
          <w:rFonts w:cs="Times New Roman"/>
          <w:b/>
          <w:bCs/>
          <w:sz w:val="36"/>
          <w:szCs w:val="36"/>
        </w:rPr>
        <w:t>Methodology</w:t>
      </w:r>
    </w:p>
    <w:p w14:paraId="6F328909" w14:textId="77777777" w:rsidR="001C54EE" w:rsidRPr="0039175E" w:rsidRDefault="00000000">
      <w:pPr>
        <w:pStyle w:val="Category"/>
        <w:rPr>
          <w:rFonts w:cs="Times New Roman"/>
        </w:rPr>
      </w:pPr>
      <w:r w:rsidRPr="0039175E">
        <w:rPr>
          <w:rFonts w:cs="Times New Roman"/>
        </w:rPr>
        <w:t>Research Design and Policy Formation Logic</w:t>
      </w:r>
    </w:p>
    <w:p w14:paraId="00C0187B" w14:textId="77777777" w:rsidR="001C54EE" w:rsidRPr="0039175E" w:rsidRDefault="001C54EE">
      <w:pPr>
        <w:pStyle w:val="Category"/>
        <w:rPr>
          <w:rFonts w:cs="Times New Roman"/>
        </w:rPr>
      </w:pPr>
    </w:p>
    <w:p w14:paraId="6477E40C" w14:textId="77777777" w:rsidR="001C54EE" w:rsidRPr="0039175E" w:rsidRDefault="00000000">
      <w:pPr>
        <w:pStyle w:val="Body"/>
        <w:rPr>
          <w:rFonts w:cs="Times New Roman"/>
        </w:rPr>
      </w:pPr>
      <w:r w:rsidRPr="0039175E">
        <w:rPr>
          <w:rFonts w:cs="Times New Roman"/>
        </w:rPr>
        <w:tab/>
        <w:t>The methodological framework underlying the Tenant Co-op Acquisition Program (TCAP) merges empirical policy evaluation with applied design thinking to operationalize a structural transformation of NYC's housing subsidy infrastructure. TCAP</w:t>
      </w:r>
      <w:r w:rsidRPr="0039175E">
        <w:rPr>
          <w:rFonts w:cs="Times New Roman"/>
          <w:rtl/>
        </w:rPr>
        <w:t>’</w:t>
      </w:r>
      <w:r w:rsidRPr="0039175E">
        <w:rPr>
          <w:rFonts w:cs="Times New Roman"/>
        </w:rPr>
        <w:t>s methodology integrates data from prior pilot programs, real-world cooperative housing conversions, and longitudinal evaluations of rental assistance impacts. This section outlines the evidentiary base, stakeholder input processes, and governance design logic that inform the proposed policy intervention.</w:t>
      </w:r>
    </w:p>
    <w:p w14:paraId="6674977F" w14:textId="77777777" w:rsidR="001C54EE" w:rsidRPr="0039175E" w:rsidRDefault="00000000">
      <w:pPr>
        <w:pStyle w:val="Category"/>
        <w:rPr>
          <w:rFonts w:cs="Times New Roman"/>
        </w:rPr>
      </w:pPr>
      <w:r w:rsidRPr="0039175E">
        <w:rPr>
          <w:rFonts w:cs="Times New Roman"/>
        </w:rPr>
        <w:t>Mixed-Methods Synthesis</w:t>
      </w:r>
    </w:p>
    <w:p w14:paraId="21E4C119" w14:textId="77777777" w:rsidR="001C54EE" w:rsidRPr="0039175E" w:rsidRDefault="001C54EE">
      <w:pPr>
        <w:pStyle w:val="Category"/>
        <w:rPr>
          <w:rFonts w:cs="Times New Roman"/>
        </w:rPr>
      </w:pPr>
    </w:p>
    <w:p w14:paraId="5FD0AD61" w14:textId="77777777" w:rsidR="001C54EE" w:rsidRPr="0039175E" w:rsidRDefault="00000000">
      <w:pPr>
        <w:pStyle w:val="Body"/>
        <w:rPr>
          <w:rFonts w:cs="Times New Roman"/>
        </w:rPr>
      </w:pPr>
      <w:r w:rsidRPr="0039175E">
        <w:rPr>
          <w:rFonts w:cs="Times New Roman"/>
        </w:rPr>
        <w:tab/>
        <w:t>The TCAP policy was constructed using a mixed-methods approach. Quantitative data were derived from HUD datasets, NYC HPD violation registries, NYCHA tenancy records, and city-level expenditure reports, particularly focusing on voucher allocation, eviction filings, and shelter system costs. These data points were supplemented by demographic analyses (e.g., Elmelech, 2004) and fiscal correlation studies (e.g., Chernick et al., 2021). In parallel, qualitative methods were used, including stakeholder interviews with tenant leaders, housing attorneys, community land trust organizers, and cooperative housing developers. These interviews illuminated legal barriers, capacity gaps, and community needs that must be addressed for equitable implementation.</w:t>
      </w:r>
    </w:p>
    <w:p w14:paraId="63983F26" w14:textId="77777777" w:rsidR="001C54EE" w:rsidRPr="0039175E" w:rsidRDefault="00000000">
      <w:pPr>
        <w:pStyle w:val="Default"/>
        <w:suppressAutoHyphens/>
        <w:spacing w:before="0" w:after="281" w:line="240" w:lineRule="auto"/>
        <w:rPr>
          <w:rFonts w:eastAsia="Times Roman" w:cs="Times New Roman"/>
          <w:b/>
          <w:bCs/>
          <w:sz w:val="28"/>
          <w:szCs w:val="28"/>
        </w:rPr>
      </w:pPr>
      <w:r w:rsidRPr="0039175E">
        <w:rPr>
          <w:rFonts w:cs="Times New Roman"/>
          <w:b/>
          <w:bCs/>
          <w:sz w:val="28"/>
          <w:szCs w:val="28"/>
        </w:rPr>
        <w:t>Stakeholder-Centered Design</w:t>
      </w:r>
    </w:p>
    <w:p w14:paraId="62BB77A2" w14:textId="77777777" w:rsidR="001C54EE" w:rsidRPr="0039175E" w:rsidRDefault="00000000">
      <w:pPr>
        <w:pStyle w:val="Body"/>
        <w:rPr>
          <w:rFonts w:cs="Times New Roman"/>
        </w:rPr>
      </w:pPr>
      <w:r w:rsidRPr="0039175E">
        <w:rPr>
          <w:rFonts w:cs="Times New Roman"/>
        </w:rPr>
        <w:tab/>
        <w:t xml:space="preserve">TCAP was co-developed with input from tenant advocacy organizations, legal service providers, and financial partners operating within low-income housing markets. This participatory approach ensured that the policy does not merely respond to housing theory but is grounded in on-the-ground constraints and </w:t>
      </w:r>
      <w:r w:rsidRPr="0039175E">
        <w:rPr>
          <w:rFonts w:cs="Times New Roman"/>
        </w:rPr>
        <w:lastRenderedPageBreak/>
        <w:t>opportunities. Participatory design workshops identified core implementation concerns, including tenant legal literacy, financial readiness, and the need for intermediary technical assistance providers. These insights informed the structure of the TCAP rollout strategy and the design of city-supported legal and financial infrastructure.</w:t>
      </w:r>
    </w:p>
    <w:p w14:paraId="4CE97218" w14:textId="77777777" w:rsidR="001C54EE" w:rsidRPr="0039175E" w:rsidRDefault="00000000">
      <w:pPr>
        <w:pStyle w:val="Category"/>
        <w:rPr>
          <w:rFonts w:cs="Times New Roman"/>
        </w:rPr>
      </w:pPr>
      <w:r w:rsidRPr="0039175E">
        <w:rPr>
          <w:rFonts w:cs="Times New Roman"/>
        </w:rPr>
        <w:t>Pilot Site Selection Criteria</w:t>
      </w:r>
    </w:p>
    <w:p w14:paraId="32CAE04E" w14:textId="77777777" w:rsidR="001C54EE" w:rsidRPr="0039175E" w:rsidRDefault="00000000">
      <w:pPr>
        <w:pStyle w:val="Description"/>
        <w:rPr>
          <w:rFonts w:cs="Times New Roman"/>
        </w:rPr>
      </w:pPr>
      <w:r w:rsidRPr="0039175E">
        <w:rPr>
          <w:rFonts w:cs="Times New Roman"/>
        </w:rPr>
        <w:t>The pilot phase methodology identifies five buildings for initial implementation, selected based on the following criteria:</w:t>
      </w:r>
    </w:p>
    <w:p w14:paraId="2C0BE528"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Documented history of HPD violations and landlord negligence</w:t>
      </w:r>
    </w:p>
    <w:p w14:paraId="5F62FAAF"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High voucher penetration and subsidy density (≥40% of tenants with HCV, FHEPS, or HASA)</w:t>
      </w:r>
    </w:p>
    <w:p w14:paraId="7337EC87"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Existence or viability of tenant organizing infrastructure</w:t>
      </w:r>
    </w:p>
    <w:p w14:paraId="4379F8E5"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Location within historically redlined or rapidly gentrifying neighborhoods</w:t>
      </w:r>
    </w:p>
    <w:p w14:paraId="394E3ACA"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Feasibility of financial conversion and legal acquisition under NYC housing law</w:t>
      </w:r>
    </w:p>
    <w:p w14:paraId="093229CF" w14:textId="77777777" w:rsidR="001C54EE" w:rsidRPr="0039175E" w:rsidRDefault="00000000">
      <w:pPr>
        <w:pStyle w:val="Body"/>
        <w:rPr>
          <w:rFonts w:cs="Times New Roman"/>
        </w:rPr>
      </w:pPr>
      <w:r w:rsidRPr="0039175E">
        <w:rPr>
          <w:rFonts w:cs="Times New Roman"/>
        </w:rPr>
        <w:t>A standardized readiness assessment tool will be used by HPD and partner organizations to vet candidate properties. Data for selection will be drawn from HPD</w:t>
      </w:r>
      <w:r w:rsidRPr="0039175E">
        <w:rPr>
          <w:rFonts w:cs="Times New Roman"/>
          <w:rtl/>
        </w:rPr>
        <w:t>’</w:t>
      </w:r>
      <w:r w:rsidRPr="0039175E">
        <w:rPr>
          <w:rFonts w:cs="Times New Roman"/>
        </w:rPr>
        <w:t>s Building Indicator Project, Housing Court case trends, and mapping of 311 complaints by district.</w:t>
      </w:r>
    </w:p>
    <w:p w14:paraId="647A962E" w14:textId="77777777" w:rsidR="001C54EE" w:rsidRPr="0039175E" w:rsidRDefault="001C54EE">
      <w:pPr>
        <w:pStyle w:val="Body"/>
        <w:rPr>
          <w:rFonts w:cs="Times New Roman"/>
        </w:rPr>
      </w:pPr>
    </w:p>
    <w:p w14:paraId="4DE05474" w14:textId="77777777" w:rsidR="001C54EE" w:rsidRPr="0039175E" w:rsidRDefault="00000000">
      <w:pPr>
        <w:pStyle w:val="Category"/>
        <w:rPr>
          <w:rFonts w:cs="Times New Roman"/>
        </w:rPr>
      </w:pPr>
      <w:r w:rsidRPr="0039175E">
        <w:rPr>
          <w:rFonts w:cs="Times New Roman"/>
        </w:rPr>
        <w:t>Evaluation and Measurement Framework</w:t>
      </w:r>
    </w:p>
    <w:p w14:paraId="3214B5A4" w14:textId="77777777" w:rsidR="001C54EE" w:rsidRPr="0039175E" w:rsidRDefault="00000000">
      <w:pPr>
        <w:pStyle w:val="Description"/>
        <w:rPr>
          <w:rFonts w:cs="Times New Roman"/>
        </w:rPr>
      </w:pPr>
      <w:r w:rsidRPr="0039175E">
        <w:rPr>
          <w:rFonts w:cs="Times New Roman"/>
        </w:rPr>
        <w:t>Evaluation will be structured around four primary metrics:</w:t>
      </w:r>
    </w:p>
    <w:p w14:paraId="5F8923B3" w14:textId="77777777" w:rsidR="001C54EE" w:rsidRPr="0039175E" w:rsidRDefault="00000000">
      <w:pPr>
        <w:pStyle w:val="Default"/>
        <w:numPr>
          <w:ilvl w:val="0"/>
          <w:numId w:val="6"/>
        </w:numPr>
        <w:suppressAutoHyphens/>
        <w:spacing w:before="0" w:after="240" w:line="240" w:lineRule="auto"/>
        <w:rPr>
          <w:rFonts w:cs="Times New Roman"/>
          <w:sz w:val="24"/>
          <w:szCs w:val="24"/>
        </w:rPr>
      </w:pPr>
      <w:r w:rsidRPr="0039175E">
        <w:rPr>
          <w:rFonts w:cs="Times New Roman"/>
          <w:b/>
          <w:bCs/>
          <w:sz w:val="24"/>
          <w:szCs w:val="24"/>
        </w:rPr>
        <w:t>Housing Stability Index</w:t>
      </w:r>
      <w:r w:rsidRPr="0039175E">
        <w:rPr>
          <w:rFonts w:cs="Times New Roman"/>
          <w:sz w:val="24"/>
          <w:szCs w:val="24"/>
        </w:rPr>
        <w:t xml:space="preserve"> – measuring reduction in eviction rates, rent burden, and turnover among pilot buildings.</w:t>
      </w:r>
    </w:p>
    <w:p w14:paraId="2B2B830A" w14:textId="77777777" w:rsidR="001C54EE" w:rsidRPr="0039175E" w:rsidRDefault="00000000">
      <w:pPr>
        <w:pStyle w:val="Default"/>
        <w:numPr>
          <w:ilvl w:val="0"/>
          <w:numId w:val="6"/>
        </w:numPr>
        <w:suppressAutoHyphens/>
        <w:spacing w:before="0" w:after="240" w:line="240" w:lineRule="auto"/>
        <w:rPr>
          <w:rFonts w:cs="Times New Roman"/>
          <w:sz w:val="24"/>
          <w:szCs w:val="24"/>
        </w:rPr>
      </w:pPr>
      <w:r w:rsidRPr="0039175E">
        <w:rPr>
          <w:rFonts w:cs="Times New Roman"/>
          <w:b/>
          <w:bCs/>
          <w:sz w:val="24"/>
          <w:szCs w:val="24"/>
        </w:rPr>
        <w:t>Subsidy Conversion Efficiency</w:t>
      </w:r>
      <w:r w:rsidRPr="0039175E">
        <w:rPr>
          <w:rFonts w:cs="Times New Roman"/>
          <w:sz w:val="24"/>
          <w:szCs w:val="24"/>
        </w:rPr>
        <w:t xml:space="preserve"> – tracking the fiscal differential between rental support and ownership investment.</w:t>
      </w:r>
    </w:p>
    <w:p w14:paraId="3F4ED785" w14:textId="77777777" w:rsidR="001C54EE" w:rsidRPr="0039175E" w:rsidRDefault="00000000">
      <w:pPr>
        <w:pStyle w:val="Default"/>
        <w:numPr>
          <w:ilvl w:val="0"/>
          <w:numId w:val="6"/>
        </w:numPr>
        <w:suppressAutoHyphens/>
        <w:spacing w:before="0" w:after="240" w:line="240" w:lineRule="auto"/>
        <w:rPr>
          <w:rFonts w:cs="Times New Roman"/>
          <w:sz w:val="24"/>
          <w:szCs w:val="24"/>
        </w:rPr>
      </w:pPr>
      <w:r w:rsidRPr="0039175E">
        <w:rPr>
          <w:rFonts w:cs="Times New Roman"/>
          <w:b/>
          <w:bCs/>
          <w:sz w:val="24"/>
          <w:szCs w:val="24"/>
        </w:rPr>
        <w:t>Ownership Equity Accrual</w:t>
      </w:r>
      <w:r w:rsidRPr="0039175E">
        <w:rPr>
          <w:rFonts w:cs="Times New Roman"/>
          <w:sz w:val="24"/>
          <w:szCs w:val="24"/>
        </w:rPr>
        <w:t xml:space="preserve"> – analyzing share value, capital reserves, and unit improvements over time.</w:t>
      </w:r>
    </w:p>
    <w:p w14:paraId="4EAEEEB2" w14:textId="77777777" w:rsidR="001C54EE" w:rsidRPr="0039175E" w:rsidRDefault="00000000">
      <w:pPr>
        <w:pStyle w:val="Default"/>
        <w:numPr>
          <w:ilvl w:val="0"/>
          <w:numId w:val="6"/>
        </w:numPr>
        <w:suppressAutoHyphens/>
        <w:spacing w:before="0" w:after="240" w:line="240" w:lineRule="auto"/>
        <w:rPr>
          <w:rFonts w:cs="Times New Roman"/>
          <w:sz w:val="24"/>
          <w:szCs w:val="24"/>
        </w:rPr>
      </w:pPr>
      <w:r w:rsidRPr="0039175E">
        <w:rPr>
          <w:rFonts w:cs="Times New Roman"/>
          <w:b/>
          <w:bCs/>
          <w:sz w:val="24"/>
          <w:szCs w:val="24"/>
        </w:rPr>
        <w:t>Governance and Capacity Metrics</w:t>
      </w:r>
      <w:r w:rsidRPr="0039175E">
        <w:rPr>
          <w:rFonts w:cs="Times New Roman"/>
          <w:sz w:val="24"/>
          <w:szCs w:val="24"/>
        </w:rPr>
        <w:t xml:space="preserve"> – assessing tenant board participation, co-op compliance rates, and engagement in training programs.</w:t>
      </w:r>
    </w:p>
    <w:p w14:paraId="2807F34A" w14:textId="77777777" w:rsidR="001C54EE" w:rsidRPr="0039175E" w:rsidRDefault="00000000">
      <w:pPr>
        <w:pStyle w:val="Body"/>
        <w:rPr>
          <w:rFonts w:cs="Times New Roman"/>
        </w:rPr>
      </w:pPr>
      <w:r w:rsidRPr="0039175E">
        <w:rPr>
          <w:rFonts w:cs="Times New Roman"/>
        </w:rPr>
        <w:lastRenderedPageBreak/>
        <w:t>Baseline data will be collected pre-conversion, with follow-up benchmarks assessed at 12, 24, and 60 months. The evaluation team, comprised of HPD analysts, academic researchers, and community-based monitoring committees, will produce annual public reports and inform future scaling decisions.</w:t>
      </w:r>
    </w:p>
    <w:p w14:paraId="540D2271" w14:textId="77777777" w:rsidR="001C54EE" w:rsidRPr="0039175E" w:rsidRDefault="00000000">
      <w:pPr>
        <w:pStyle w:val="Default"/>
        <w:suppressAutoHyphens/>
        <w:spacing w:before="0" w:after="281" w:line="240" w:lineRule="auto"/>
        <w:rPr>
          <w:rFonts w:eastAsia="Times Roman" w:cs="Times New Roman"/>
          <w:b/>
          <w:bCs/>
          <w:sz w:val="28"/>
          <w:szCs w:val="28"/>
        </w:rPr>
      </w:pPr>
      <w:r w:rsidRPr="0039175E">
        <w:rPr>
          <w:rFonts w:cs="Times New Roman"/>
          <w:b/>
          <w:bCs/>
          <w:sz w:val="28"/>
          <w:szCs w:val="28"/>
        </w:rPr>
        <w:t>Legal and Regulatory Analysis</w:t>
      </w:r>
    </w:p>
    <w:p w14:paraId="16EF2A9C" w14:textId="77777777" w:rsidR="001C54EE" w:rsidRPr="0039175E" w:rsidRDefault="00000000">
      <w:pPr>
        <w:pStyle w:val="Body"/>
        <w:rPr>
          <w:rFonts w:cs="Times New Roman"/>
        </w:rPr>
      </w:pPr>
      <w:r w:rsidRPr="0039175E">
        <w:rPr>
          <w:rFonts w:cs="Times New Roman"/>
        </w:rPr>
        <w:tab/>
        <w:t>The legal framework supporting TCAP has been tailored to anticipate implementation challenges without repeating general legislative summaries elsewhere. This section focuses on the specific legal design needed to facilitate a seamless transition from subsidy-based tenancy to cooperative ownership.</w:t>
      </w:r>
    </w:p>
    <w:p w14:paraId="7042692D" w14:textId="77777777" w:rsidR="001C54EE" w:rsidRPr="0039175E" w:rsidRDefault="00000000">
      <w:pPr>
        <w:pStyle w:val="Default"/>
        <w:suppressAutoHyphens/>
        <w:spacing w:before="0" w:after="240" w:line="240" w:lineRule="auto"/>
        <w:rPr>
          <w:rFonts w:eastAsia="Times Roman" w:cs="Times New Roman"/>
          <w:i/>
          <w:iCs/>
          <w:sz w:val="24"/>
          <w:szCs w:val="24"/>
        </w:rPr>
      </w:pPr>
      <w:r w:rsidRPr="0039175E">
        <w:rPr>
          <w:rFonts w:cs="Times New Roman"/>
          <w:i/>
          <w:iCs/>
          <w:sz w:val="24"/>
          <w:szCs w:val="24"/>
        </w:rPr>
        <w:t>Key components include:</w:t>
      </w:r>
    </w:p>
    <w:p w14:paraId="3EC9E0A1" w14:textId="77777777" w:rsidR="001C54EE" w:rsidRPr="0039175E" w:rsidRDefault="00000000">
      <w:pPr>
        <w:pStyle w:val="Bullet"/>
        <w:numPr>
          <w:ilvl w:val="0"/>
          <w:numId w:val="7"/>
        </w:numPr>
        <w:rPr>
          <w:rFonts w:cs="Times New Roman"/>
        </w:rPr>
      </w:pPr>
      <w:r w:rsidRPr="0039175E">
        <w:rPr>
          <w:rFonts w:cs="Times New Roman"/>
          <w:b/>
          <w:bCs/>
        </w:rPr>
        <w:t>Subsidy-to-Equity Enabling Legislation:</w:t>
      </w:r>
      <w:r w:rsidRPr="0039175E">
        <w:rPr>
          <w:rFonts w:cs="Times New Roman"/>
        </w:rPr>
        <w:t xml:space="preserve"> Drafted amendments to NYS Real Property Law and local housing statutes to allow for the redirection of Section 8, </w:t>
      </w:r>
      <w:proofErr w:type="spellStart"/>
      <w:r w:rsidRPr="0039175E">
        <w:rPr>
          <w:rFonts w:cs="Times New Roman"/>
        </w:rPr>
        <w:t>CityFHEPS</w:t>
      </w:r>
      <w:proofErr w:type="spellEnd"/>
      <w:r w:rsidRPr="0039175E">
        <w:rPr>
          <w:rFonts w:cs="Times New Roman"/>
        </w:rPr>
        <w:t>, and HASA benefits into equity-convertible instruments.</w:t>
      </w:r>
    </w:p>
    <w:p w14:paraId="61BB4EF0" w14:textId="77777777" w:rsidR="001C54EE" w:rsidRPr="0039175E" w:rsidRDefault="00000000">
      <w:pPr>
        <w:pStyle w:val="Bullet"/>
        <w:numPr>
          <w:ilvl w:val="0"/>
          <w:numId w:val="7"/>
        </w:numPr>
        <w:rPr>
          <w:rFonts w:cs="Times New Roman"/>
        </w:rPr>
      </w:pPr>
      <w:r w:rsidRPr="0039175E">
        <w:rPr>
          <w:rFonts w:cs="Times New Roman"/>
          <w:b/>
          <w:bCs/>
        </w:rPr>
        <w:t xml:space="preserve">Municipal Regulatory Support: </w:t>
      </w:r>
      <w:r w:rsidRPr="0039175E">
        <w:rPr>
          <w:rFonts w:cs="Times New Roman"/>
        </w:rPr>
        <w:t xml:space="preserve">Creation of a legal classification for </w:t>
      </w:r>
      <w:r w:rsidRPr="0039175E">
        <w:rPr>
          <w:rFonts w:cs="Times New Roman"/>
          <w:i/>
          <w:iCs/>
        </w:rPr>
        <w:t xml:space="preserve">Subsidized Limited-Equity Cooperatives </w:t>
      </w:r>
      <w:r w:rsidRPr="0039175E">
        <w:rPr>
          <w:rFonts w:cs="Times New Roman"/>
        </w:rPr>
        <w:t>to provide a compliance structure distinct from traditional HDFC or Mitchell-Lama co-ops.</w:t>
      </w:r>
    </w:p>
    <w:p w14:paraId="69D02DD8" w14:textId="77777777" w:rsidR="001C54EE" w:rsidRPr="0039175E" w:rsidRDefault="00000000">
      <w:pPr>
        <w:pStyle w:val="Bullet"/>
        <w:numPr>
          <w:ilvl w:val="0"/>
          <w:numId w:val="7"/>
        </w:numPr>
        <w:rPr>
          <w:rFonts w:cs="Times New Roman"/>
        </w:rPr>
      </w:pPr>
      <w:proofErr w:type="spellStart"/>
      <w:r w:rsidRPr="0039175E">
        <w:rPr>
          <w:rFonts w:cs="Times New Roman"/>
          <w:b/>
          <w:bCs/>
          <w:lang w:val="it-IT"/>
        </w:rPr>
        <w:t>Acquisition</w:t>
      </w:r>
      <w:proofErr w:type="spellEnd"/>
      <w:r w:rsidRPr="0039175E">
        <w:rPr>
          <w:rFonts w:cs="Times New Roman"/>
          <w:b/>
          <w:bCs/>
          <w:lang w:val="it-IT"/>
        </w:rPr>
        <w:t xml:space="preserve"> </w:t>
      </w:r>
      <w:proofErr w:type="spellStart"/>
      <w:r w:rsidRPr="0039175E">
        <w:rPr>
          <w:rFonts w:cs="Times New Roman"/>
          <w:b/>
          <w:bCs/>
          <w:lang w:val="it-IT"/>
        </w:rPr>
        <w:t>Protocol</w:t>
      </w:r>
      <w:proofErr w:type="spellEnd"/>
      <w:r w:rsidRPr="0039175E">
        <w:rPr>
          <w:rFonts w:cs="Times New Roman"/>
          <w:b/>
          <w:bCs/>
          <w:lang w:val="it-IT"/>
        </w:rPr>
        <w:t xml:space="preserve"> </w:t>
      </w:r>
      <w:proofErr w:type="spellStart"/>
      <w:r w:rsidRPr="0039175E">
        <w:rPr>
          <w:rFonts w:cs="Times New Roman"/>
          <w:b/>
          <w:bCs/>
          <w:lang w:val="it-IT"/>
        </w:rPr>
        <w:t>Statutes</w:t>
      </w:r>
      <w:proofErr w:type="spellEnd"/>
      <w:r w:rsidRPr="0039175E">
        <w:rPr>
          <w:rFonts w:cs="Times New Roman"/>
          <w:b/>
          <w:bCs/>
          <w:lang w:val="it-IT"/>
        </w:rPr>
        <w:t>:</w:t>
      </w:r>
      <w:r w:rsidRPr="0039175E">
        <w:rPr>
          <w:rFonts w:cs="Times New Roman"/>
        </w:rPr>
        <w:t xml:space="preserve"> Design of tenant-first acquisition frameworks modeled after the Community Opportunity to Purchase Act (COPA) and integrated with NYC's pre-existing Third Party Transfer (TPT) and Third Party Acquisition programs.</w:t>
      </w:r>
    </w:p>
    <w:p w14:paraId="727B9D72" w14:textId="77777777" w:rsidR="001C54EE" w:rsidRPr="0039175E" w:rsidRDefault="00000000">
      <w:pPr>
        <w:pStyle w:val="Bullet"/>
        <w:numPr>
          <w:ilvl w:val="0"/>
          <w:numId w:val="7"/>
        </w:numPr>
        <w:rPr>
          <w:rFonts w:cs="Times New Roman"/>
        </w:rPr>
      </w:pPr>
      <w:r w:rsidRPr="0039175E">
        <w:rPr>
          <w:rFonts w:cs="Times New Roman"/>
          <w:b/>
          <w:bCs/>
        </w:rPr>
        <w:t>City Administrative Orders</w:t>
      </w:r>
      <w:r w:rsidRPr="0039175E">
        <w:rPr>
          <w:rFonts w:cs="Times New Roman"/>
        </w:rPr>
        <w:t>: Executive rulemaking from HPD that formalizes the right of tenant associations to trigger co-op conversions under specific public-interest criteria.</w:t>
      </w:r>
    </w:p>
    <w:p w14:paraId="0B54006C" w14:textId="77777777" w:rsidR="001C54EE" w:rsidRPr="0039175E" w:rsidRDefault="001C54EE">
      <w:pPr>
        <w:pStyle w:val="Bullet"/>
        <w:numPr>
          <w:ilvl w:val="0"/>
          <w:numId w:val="7"/>
        </w:numPr>
        <w:rPr>
          <w:rFonts w:cs="Times New Roman"/>
        </w:rPr>
      </w:pPr>
    </w:p>
    <w:p w14:paraId="30A0F931" w14:textId="77777777" w:rsidR="001C54EE" w:rsidRPr="0039175E" w:rsidRDefault="00000000">
      <w:pPr>
        <w:pStyle w:val="Body"/>
        <w:rPr>
          <w:rFonts w:cs="Times New Roman"/>
        </w:rPr>
      </w:pPr>
      <w:r w:rsidRPr="0039175E">
        <w:rPr>
          <w:rFonts w:cs="Times New Roman"/>
        </w:rPr>
        <w:t>These legal foundations will be implemented in coordination with the NYC Law Department, the NYS Attorney General's Office, HUD regional legal staff, and housing court administrative judges. A model legislative package and policy memo will be included in the forthcoming Program Architecture appendix.</w:t>
      </w:r>
    </w:p>
    <w:p w14:paraId="2A848AFE" w14:textId="77777777" w:rsidR="001C54EE" w:rsidRPr="0039175E" w:rsidRDefault="00000000">
      <w:pPr>
        <w:pStyle w:val="Body"/>
        <w:rPr>
          <w:rFonts w:cs="Times New Roman"/>
        </w:rPr>
      </w:pPr>
      <w:r w:rsidRPr="0039175E">
        <w:rPr>
          <w:rFonts w:cs="Times New Roman"/>
        </w:rPr>
        <w:tab/>
      </w:r>
    </w:p>
    <w:p w14:paraId="39D502F9" w14:textId="77777777" w:rsidR="001C54EE" w:rsidRPr="0039175E" w:rsidRDefault="00000000">
      <w:pPr>
        <w:pStyle w:val="Default"/>
        <w:suppressAutoHyphens/>
        <w:spacing w:before="0" w:after="299" w:line="240" w:lineRule="auto"/>
        <w:rPr>
          <w:rFonts w:eastAsia="Times Roman" w:cs="Times New Roman"/>
          <w:b/>
          <w:bCs/>
          <w:sz w:val="36"/>
          <w:szCs w:val="36"/>
        </w:rPr>
      </w:pPr>
      <w:r w:rsidRPr="0039175E">
        <w:rPr>
          <w:rFonts w:cs="Times New Roman"/>
          <w:b/>
          <w:bCs/>
          <w:sz w:val="36"/>
          <w:szCs w:val="36"/>
        </w:rPr>
        <w:lastRenderedPageBreak/>
        <w:t>Policy Proposal</w:t>
      </w:r>
    </w:p>
    <w:p w14:paraId="3BDFD5FC" w14:textId="77777777" w:rsidR="001C54EE" w:rsidRPr="0039175E" w:rsidRDefault="00000000">
      <w:pPr>
        <w:pStyle w:val="Default"/>
        <w:suppressAutoHyphens/>
        <w:spacing w:before="0" w:after="281" w:line="240" w:lineRule="auto"/>
        <w:rPr>
          <w:rFonts w:eastAsia="Times Roman" w:cs="Times New Roman"/>
          <w:b/>
          <w:bCs/>
          <w:sz w:val="28"/>
          <w:szCs w:val="28"/>
        </w:rPr>
      </w:pPr>
      <w:r w:rsidRPr="0039175E">
        <w:rPr>
          <w:rFonts w:cs="Times New Roman"/>
          <w:b/>
          <w:bCs/>
          <w:sz w:val="28"/>
          <w:szCs w:val="28"/>
        </w:rPr>
        <w:t>Overview of the Tenant Co-op Acquisition Program (TCAP)</w:t>
      </w:r>
    </w:p>
    <w:p w14:paraId="152101FC" w14:textId="77777777" w:rsidR="001C54EE" w:rsidRPr="0039175E" w:rsidRDefault="00000000">
      <w:pPr>
        <w:pStyle w:val="Body"/>
        <w:rPr>
          <w:rFonts w:cs="Times New Roman"/>
        </w:rPr>
      </w:pPr>
      <w:r w:rsidRPr="0039175E">
        <w:rPr>
          <w:rFonts w:cs="Times New Roman"/>
        </w:rPr>
        <w:tab/>
        <w:t>The Tenant Co-op Acquisition Program (TCAP) introduces a transformative housing equity strategy for New York City, reimagining public housing subsidies as vehicles for collective ownership rather than perpetuating dependence on private landlords. This policy aims to enable qualifying tenants, particularly those in buildings experiencing landlord neglect or systemic disinvestment, to transition into limited-equity cooperative ownership through a publicly supported conversion pathway.</w:t>
      </w:r>
    </w:p>
    <w:p w14:paraId="2E55E76E" w14:textId="77777777" w:rsidR="001C54EE" w:rsidRPr="0039175E" w:rsidRDefault="001C54EE">
      <w:pPr>
        <w:pStyle w:val="Default"/>
        <w:suppressAutoHyphens/>
        <w:spacing w:before="0" w:after="281" w:line="240" w:lineRule="auto"/>
        <w:rPr>
          <w:rFonts w:eastAsia="Times Roman" w:cs="Times New Roman"/>
          <w:b/>
          <w:bCs/>
          <w:sz w:val="28"/>
          <w:szCs w:val="28"/>
        </w:rPr>
      </w:pPr>
    </w:p>
    <w:p w14:paraId="309C3A5B" w14:textId="77777777" w:rsidR="001C54EE" w:rsidRPr="0039175E" w:rsidRDefault="00000000">
      <w:pPr>
        <w:pStyle w:val="Default"/>
        <w:suppressAutoHyphens/>
        <w:spacing w:before="0" w:after="281" w:line="240" w:lineRule="auto"/>
        <w:rPr>
          <w:rFonts w:eastAsia="Times Roman" w:cs="Times New Roman"/>
          <w:b/>
          <w:bCs/>
          <w:sz w:val="28"/>
          <w:szCs w:val="28"/>
        </w:rPr>
      </w:pPr>
      <w:r w:rsidRPr="0039175E">
        <w:rPr>
          <w:rFonts w:cs="Times New Roman"/>
          <w:b/>
          <w:bCs/>
          <w:sz w:val="28"/>
          <w:szCs w:val="28"/>
        </w:rPr>
        <w:t>Distinctive Design Features</w:t>
      </w:r>
    </w:p>
    <w:p w14:paraId="74779543" w14:textId="77777777" w:rsidR="001C54EE" w:rsidRPr="0039175E" w:rsidRDefault="00000000">
      <w:pPr>
        <w:pStyle w:val="Body"/>
        <w:rPr>
          <w:rFonts w:cs="Times New Roman"/>
        </w:rPr>
      </w:pPr>
      <w:r w:rsidRPr="0039175E">
        <w:rPr>
          <w:rFonts w:cs="Times New Roman"/>
        </w:rPr>
        <w:tab/>
        <w:t>Unlike prior co-op models or rent assistance expansions, TCAP integrates city-administered financing, legal structuring, and subsidy redirection into a cohesive conversion mechanism. The program is structured to:</w:t>
      </w:r>
    </w:p>
    <w:p w14:paraId="2AA6343C"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Enable tenant associations to acquire their buildings through low-interest, city-backed financing tools</w:t>
      </w:r>
    </w:p>
    <w:p w14:paraId="452EB63E"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Provide a five-year transitional use of existing rental subsidies to fund share purchases, cooperative reserve accounts, and maintenance stabilization.</w:t>
      </w:r>
    </w:p>
    <w:p w14:paraId="2C123733"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Build long-term cooperative governance capacity via sustained technical assistance and compliance oversight</w:t>
      </w:r>
    </w:p>
    <w:p w14:paraId="51DC6EBA" w14:textId="77777777" w:rsidR="001C54EE" w:rsidRPr="0039175E" w:rsidRDefault="00000000">
      <w:pPr>
        <w:pStyle w:val="Body"/>
        <w:rPr>
          <w:rFonts w:cs="Times New Roman"/>
        </w:rPr>
      </w:pPr>
      <w:r w:rsidRPr="0039175E">
        <w:rPr>
          <w:rFonts w:cs="Times New Roman"/>
        </w:rPr>
        <w:t>These design elements ensure that TCAP not only expands affordability but also institutionalizes wealth-building and democratic control at the tenant level.</w:t>
      </w:r>
    </w:p>
    <w:p w14:paraId="1090AF30" w14:textId="77777777" w:rsidR="001C54EE" w:rsidRPr="0039175E" w:rsidRDefault="00000000">
      <w:pPr>
        <w:pStyle w:val="Category"/>
        <w:rPr>
          <w:rFonts w:cs="Times New Roman"/>
        </w:rPr>
      </w:pPr>
      <w:r w:rsidRPr="0039175E">
        <w:rPr>
          <w:rFonts w:cs="Times New Roman"/>
        </w:rPr>
        <w:t>Property and Tenant Eligibility</w:t>
      </w:r>
    </w:p>
    <w:p w14:paraId="199D8135" w14:textId="77777777" w:rsidR="001C54EE" w:rsidRPr="0039175E" w:rsidRDefault="00000000">
      <w:pPr>
        <w:pStyle w:val="Description"/>
        <w:rPr>
          <w:rFonts w:cs="Times New Roman"/>
        </w:rPr>
      </w:pPr>
      <w:r w:rsidRPr="0039175E">
        <w:rPr>
          <w:rFonts w:cs="Times New Roman"/>
        </w:rPr>
        <w:t xml:space="preserve">Eligibility parameters are calibrated to identify high-impact opportunities for conversion. </w:t>
      </w:r>
    </w:p>
    <w:p w14:paraId="4A728DA5" w14:textId="77777777" w:rsidR="001C54EE" w:rsidRPr="0039175E" w:rsidRDefault="00000000">
      <w:pPr>
        <w:pStyle w:val="Body"/>
        <w:rPr>
          <w:rFonts w:cs="Times New Roman"/>
        </w:rPr>
      </w:pPr>
      <w:r w:rsidRPr="0039175E">
        <w:rPr>
          <w:rFonts w:cs="Times New Roman"/>
        </w:rPr>
        <w:tab/>
        <w:t>Properties must demonstrate at least a 40% subsidy tenant rate, a record of unresolved code violations, and feasibility for financial transfer. Neighborhoods selected for pilot implementation are those experiencing disproportionate eviction filings or situated within legacy redlined areas. Tenant associations must demonstrate basic organizational readiness or partner with an intermediary nonprofit for facilitation.</w:t>
      </w:r>
    </w:p>
    <w:p w14:paraId="27B0C00B" w14:textId="77777777" w:rsidR="001C54EE" w:rsidRPr="0039175E" w:rsidRDefault="00000000">
      <w:pPr>
        <w:pStyle w:val="Category"/>
        <w:rPr>
          <w:rFonts w:cs="Times New Roman"/>
        </w:rPr>
      </w:pPr>
      <w:r w:rsidRPr="0039175E">
        <w:rPr>
          <w:rFonts w:cs="Times New Roman"/>
        </w:rPr>
        <w:t>Sequential Conversion Phases</w:t>
      </w:r>
    </w:p>
    <w:p w14:paraId="42C43C50" w14:textId="77777777" w:rsidR="001C54EE" w:rsidRPr="0039175E" w:rsidRDefault="00000000">
      <w:pPr>
        <w:pStyle w:val="Description"/>
        <w:rPr>
          <w:rFonts w:cs="Times New Roman"/>
        </w:rPr>
      </w:pPr>
      <w:r w:rsidRPr="0039175E">
        <w:rPr>
          <w:rFonts w:cs="Times New Roman"/>
        </w:rPr>
        <w:t>The conversion process unfolds in four structured phases:</w:t>
      </w:r>
    </w:p>
    <w:p w14:paraId="7D4AAC7D" w14:textId="77777777" w:rsidR="001C54EE" w:rsidRPr="0039175E" w:rsidRDefault="00000000">
      <w:pPr>
        <w:pStyle w:val="Default"/>
        <w:numPr>
          <w:ilvl w:val="0"/>
          <w:numId w:val="8"/>
        </w:numPr>
        <w:suppressAutoHyphens/>
        <w:spacing w:before="0" w:after="240" w:line="240" w:lineRule="auto"/>
        <w:rPr>
          <w:rFonts w:cs="Times New Roman"/>
          <w:sz w:val="24"/>
          <w:szCs w:val="24"/>
        </w:rPr>
      </w:pPr>
      <w:r w:rsidRPr="0039175E">
        <w:rPr>
          <w:rFonts w:cs="Times New Roman"/>
          <w:b/>
          <w:bCs/>
          <w:sz w:val="24"/>
          <w:szCs w:val="24"/>
        </w:rPr>
        <w:lastRenderedPageBreak/>
        <w:t>Preliminary Organizing and Legal Structuring</w:t>
      </w:r>
      <w:r w:rsidRPr="0039175E">
        <w:rPr>
          <w:rFonts w:cs="Times New Roman"/>
          <w:sz w:val="24"/>
          <w:szCs w:val="24"/>
        </w:rPr>
        <w:t xml:space="preserve"> – Tenants either establish or affiliate with a legal co-op body and undergo initial training.</w:t>
      </w:r>
    </w:p>
    <w:p w14:paraId="34C83909" w14:textId="77777777" w:rsidR="001C54EE" w:rsidRPr="0039175E" w:rsidRDefault="00000000">
      <w:pPr>
        <w:pStyle w:val="Default"/>
        <w:numPr>
          <w:ilvl w:val="0"/>
          <w:numId w:val="6"/>
        </w:numPr>
        <w:suppressAutoHyphens/>
        <w:spacing w:before="0" w:after="240" w:line="240" w:lineRule="auto"/>
        <w:rPr>
          <w:rFonts w:cs="Times New Roman"/>
          <w:sz w:val="24"/>
          <w:szCs w:val="24"/>
        </w:rPr>
      </w:pPr>
      <w:r w:rsidRPr="0039175E">
        <w:rPr>
          <w:rFonts w:cs="Times New Roman"/>
          <w:b/>
          <w:bCs/>
          <w:sz w:val="24"/>
          <w:szCs w:val="24"/>
        </w:rPr>
        <w:t>Acquisition and Financing Execution</w:t>
      </w:r>
      <w:r w:rsidRPr="0039175E">
        <w:rPr>
          <w:rFonts w:cs="Times New Roman"/>
          <w:sz w:val="24"/>
          <w:szCs w:val="24"/>
        </w:rPr>
        <w:t xml:space="preserve"> – Title transfer and cooperative incorporation occur through HPD-certified acquisition loans.</w:t>
      </w:r>
    </w:p>
    <w:p w14:paraId="0040F141" w14:textId="77777777" w:rsidR="001C54EE" w:rsidRPr="0039175E" w:rsidRDefault="00000000">
      <w:pPr>
        <w:pStyle w:val="Default"/>
        <w:numPr>
          <w:ilvl w:val="0"/>
          <w:numId w:val="6"/>
        </w:numPr>
        <w:suppressAutoHyphens/>
        <w:spacing w:before="0" w:after="240" w:line="240" w:lineRule="auto"/>
        <w:rPr>
          <w:rFonts w:cs="Times New Roman"/>
          <w:sz w:val="24"/>
          <w:szCs w:val="24"/>
        </w:rPr>
      </w:pPr>
      <w:r w:rsidRPr="0039175E">
        <w:rPr>
          <w:rFonts w:cs="Times New Roman"/>
          <w:b/>
          <w:bCs/>
          <w:sz w:val="24"/>
          <w:szCs w:val="24"/>
        </w:rPr>
        <w:t>Subsidy Phase-In and Governance Training</w:t>
      </w:r>
      <w:r w:rsidRPr="0039175E">
        <w:rPr>
          <w:rFonts w:cs="Times New Roman"/>
          <w:sz w:val="24"/>
          <w:szCs w:val="24"/>
        </w:rPr>
        <w:t xml:space="preserve"> – During the five-year bridge period, rent subsidies are redirected into cooperative obligations and reserves, with oversight from HPD and a designated fiscal intermediary.</w:t>
      </w:r>
    </w:p>
    <w:p w14:paraId="5673FC11" w14:textId="77777777" w:rsidR="001C54EE" w:rsidRPr="0039175E" w:rsidRDefault="00000000">
      <w:pPr>
        <w:pStyle w:val="Default"/>
        <w:numPr>
          <w:ilvl w:val="0"/>
          <w:numId w:val="6"/>
        </w:numPr>
        <w:suppressAutoHyphens/>
        <w:spacing w:before="0" w:after="240" w:line="240" w:lineRule="auto"/>
        <w:rPr>
          <w:rFonts w:cs="Times New Roman"/>
          <w:sz w:val="24"/>
          <w:szCs w:val="24"/>
          <w:lang w:val="de-DE"/>
        </w:rPr>
      </w:pPr>
      <w:r w:rsidRPr="0039175E">
        <w:rPr>
          <w:rFonts w:cs="Times New Roman"/>
          <w:b/>
          <w:bCs/>
          <w:sz w:val="24"/>
          <w:szCs w:val="24"/>
          <w:lang w:val="de-DE"/>
        </w:rPr>
        <w:t xml:space="preserve">Post-Transition </w:t>
      </w:r>
      <w:proofErr w:type="spellStart"/>
      <w:r w:rsidRPr="0039175E">
        <w:rPr>
          <w:rFonts w:cs="Times New Roman"/>
          <w:b/>
          <w:bCs/>
          <w:sz w:val="24"/>
          <w:szCs w:val="24"/>
          <w:lang w:val="de-DE"/>
        </w:rPr>
        <w:t>Autonomy</w:t>
      </w:r>
      <w:proofErr w:type="spellEnd"/>
      <w:r w:rsidRPr="0039175E">
        <w:rPr>
          <w:rFonts w:cs="Times New Roman"/>
          <w:sz w:val="24"/>
          <w:szCs w:val="24"/>
        </w:rPr>
        <w:t xml:space="preserve"> – Co-ops operate under affordability covenants and submit periodic compliance documentation to the city, but maintain internal democratic governance.</w:t>
      </w:r>
    </w:p>
    <w:p w14:paraId="3A99ED85" w14:textId="77777777" w:rsidR="001C54EE" w:rsidRPr="0039175E" w:rsidRDefault="00000000">
      <w:pPr>
        <w:pStyle w:val="Default"/>
        <w:suppressAutoHyphens/>
        <w:spacing w:before="0" w:after="60" w:line="240" w:lineRule="auto"/>
        <w:rPr>
          <w:rFonts w:eastAsia="Times Roman" w:cs="Times New Roman"/>
          <w:b/>
          <w:bCs/>
          <w:sz w:val="28"/>
          <w:szCs w:val="28"/>
        </w:rPr>
      </w:pPr>
      <w:r w:rsidRPr="0039175E">
        <w:rPr>
          <w:rFonts w:cs="Times New Roman"/>
          <w:b/>
          <w:bCs/>
          <w:sz w:val="28"/>
          <w:szCs w:val="28"/>
        </w:rPr>
        <w:t>Financial Infrastructure and Risk Management</w:t>
      </w:r>
    </w:p>
    <w:p w14:paraId="3E39EB45" w14:textId="77777777" w:rsidR="001C54EE" w:rsidRPr="0039175E" w:rsidRDefault="00000000">
      <w:pPr>
        <w:pStyle w:val="Description"/>
        <w:rPr>
          <w:rFonts w:cs="Times New Roman"/>
        </w:rPr>
      </w:pPr>
      <w:r w:rsidRPr="0039175E">
        <w:rPr>
          <w:rFonts w:cs="Times New Roman"/>
          <w:lang w:val="pt-PT"/>
        </w:rPr>
        <w:t>TCAP</w:t>
      </w:r>
      <w:r w:rsidRPr="0039175E">
        <w:rPr>
          <w:rFonts w:cs="Times New Roman"/>
          <w:rtl/>
        </w:rPr>
        <w:t>’</w:t>
      </w:r>
      <w:r w:rsidRPr="0039175E">
        <w:rPr>
          <w:rFonts w:cs="Times New Roman"/>
        </w:rPr>
        <w:t>s funding architecture includes:</w:t>
      </w:r>
    </w:p>
    <w:p w14:paraId="4F039BBE" w14:textId="77777777" w:rsidR="001C54EE" w:rsidRPr="0039175E" w:rsidRDefault="00000000">
      <w:pPr>
        <w:pStyle w:val="Default"/>
        <w:numPr>
          <w:ilvl w:val="0"/>
          <w:numId w:val="9"/>
        </w:numPr>
        <w:suppressAutoHyphens/>
        <w:spacing w:before="0" w:after="240" w:line="240" w:lineRule="auto"/>
        <w:rPr>
          <w:rFonts w:cs="Times New Roman"/>
          <w:sz w:val="24"/>
          <w:szCs w:val="24"/>
        </w:rPr>
      </w:pPr>
      <w:r w:rsidRPr="0039175E">
        <w:rPr>
          <w:rFonts w:cs="Times New Roman"/>
          <w:b/>
          <w:bCs/>
          <w:sz w:val="24"/>
          <w:szCs w:val="24"/>
        </w:rPr>
        <w:t>Convertible Subsidy Allocations</w:t>
      </w:r>
      <w:r w:rsidRPr="0039175E">
        <w:rPr>
          <w:rFonts w:cs="Times New Roman"/>
          <w:sz w:val="24"/>
          <w:szCs w:val="24"/>
        </w:rPr>
        <w:t>: Subsidy amounts are recharacterized as share-equity contributions, tracked by HPD.</w:t>
      </w:r>
    </w:p>
    <w:p w14:paraId="587AB485" w14:textId="77777777" w:rsidR="001C54EE" w:rsidRPr="0039175E" w:rsidRDefault="00000000">
      <w:pPr>
        <w:pStyle w:val="Default"/>
        <w:numPr>
          <w:ilvl w:val="0"/>
          <w:numId w:val="9"/>
        </w:numPr>
        <w:suppressAutoHyphens/>
        <w:spacing w:before="0" w:after="240" w:line="240" w:lineRule="auto"/>
        <w:rPr>
          <w:rFonts w:cs="Times New Roman"/>
          <w:sz w:val="24"/>
          <w:szCs w:val="24"/>
        </w:rPr>
      </w:pPr>
      <w:r w:rsidRPr="0039175E">
        <w:rPr>
          <w:rFonts w:cs="Times New Roman"/>
          <w:b/>
          <w:bCs/>
          <w:sz w:val="24"/>
          <w:szCs w:val="24"/>
        </w:rPr>
        <w:t>City-Guaranteed Acquisition Loans</w:t>
      </w:r>
      <w:r w:rsidRPr="0039175E">
        <w:rPr>
          <w:rFonts w:cs="Times New Roman"/>
          <w:sz w:val="24"/>
          <w:szCs w:val="24"/>
        </w:rPr>
        <w:t>: Backed by capital reserves and revolving funds housed in municipal trust accounts.</w:t>
      </w:r>
    </w:p>
    <w:p w14:paraId="766C2CC0" w14:textId="77777777" w:rsidR="001C54EE" w:rsidRPr="0039175E" w:rsidRDefault="00000000">
      <w:pPr>
        <w:pStyle w:val="Default"/>
        <w:numPr>
          <w:ilvl w:val="0"/>
          <w:numId w:val="9"/>
        </w:numPr>
        <w:suppressAutoHyphens/>
        <w:spacing w:before="0" w:after="240" w:line="240" w:lineRule="auto"/>
        <w:rPr>
          <w:rFonts w:cs="Times New Roman"/>
          <w:sz w:val="24"/>
          <w:szCs w:val="24"/>
        </w:rPr>
      </w:pPr>
      <w:r w:rsidRPr="0039175E">
        <w:rPr>
          <w:rFonts w:cs="Times New Roman"/>
          <w:b/>
          <w:bCs/>
          <w:sz w:val="24"/>
          <w:szCs w:val="24"/>
        </w:rPr>
        <w:t>Maintenance Stabilization Accounts</w:t>
      </w:r>
      <w:r w:rsidRPr="0039175E">
        <w:rPr>
          <w:rFonts w:cs="Times New Roman"/>
          <w:sz w:val="24"/>
          <w:szCs w:val="24"/>
        </w:rPr>
        <w:t>: Protect against operating shortfalls during and after conversion.</w:t>
      </w:r>
    </w:p>
    <w:p w14:paraId="2EFDCB2B" w14:textId="77777777" w:rsidR="001C54EE" w:rsidRPr="0039175E" w:rsidRDefault="00000000">
      <w:pPr>
        <w:pStyle w:val="Default"/>
        <w:numPr>
          <w:ilvl w:val="0"/>
          <w:numId w:val="9"/>
        </w:numPr>
        <w:suppressAutoHyphens/>
        <w:spacing w:before="0" w:after="240" w:line="240" w:lineRule="auto"/>
        <w:rPr>
          <w:rFonts w:cs="Times New Roman"/>
          <w:sz w:val="24"/>
          <w:szCs w:val="24"/>
          <w:lang w:val="pt-PT"/>
        </w:rPr>
      </w:pPr>
      <w:proofErr w:type="spellStart"/>
      <w:r w:rsidRPr="0039175E">
        <w:rPr>
          <w:rFonts w:cs="Times New Roman"/>
          <w:b/>
          <w:bCs/>
          <w:sz w:val="24"/>
          <w:szCs w:val="24"/>
          <w:lang w:val="pt-PT"/>
        </w:rPr>
        <w:t>Compliance</w:t>
      </w:r>
      <w:proofErr w:type="spellEnd"/>
      <w:r w:rsidRPr="0039175E">
        <w:rPr>
          <w:rFonts w:cs="Times New Roman"/>
          <w:b/>
          <w:bCs/>
          <w:sz w:val="24"/>
          <w:szCs w:val="24"/>
          <w:lang w:val="pt-PT"/>
        </w:rPr>
        <w:t xml:space="preserve"> </w:t>
      </w:r>
      <w:proofErr w:type="spellStart"/>
      <w:r w:rsidRPr="0039175E">
        <w:rPr>
          <w:rFonts w:cs="Times New Roman"/>
          <w:b/>
          <w:bCs/>
          <w:sz w:val="24"/>
          <w:szCs w:val="24"/>
          <w:lang w:val="pt-PT"/>
        </w:rPr>
        <w:t>Audit</w:t>
      </w:r>
      <w:proofErr w:type="spellEnd"/>
      <w:r w:rsidRPr="0039175E">
        <w:rPr>
          <w:rFonts w:cs="Times New Roman"/>
          <w:b/>
          <w:bCs/>
          <w:sz w:val="24"/>
          <w:szCs w:val="24"/>
          <w:lang w:val="pt-PT"/>
        </w:rPr>
        <w:t xml:space="preserve"> </w:t>
      </w:r>
      <w:proofErr w:type="spellStart"/>
      <w:r w:rsidRPr="0039175E">
        <w:rPr>
          <w:rFonts w:cs="Times New Roman"/>
          <w:b/>
          <w:bCs/>
          <w:sz w:val="24"/>
          <w:szCs w:val="24"/>
          <w:lang w:val="pt-PT"/>
        </w:rPr>
        <w:t>Protocols</w:t>
      </w:r>
      <w:proofErr w:type="spellEnd"/>
      <w:r w:rsidRPr="0039175E">
        <w:rPr>
          <w:rFonts w:cs="Times New Roman"/>
          <w:sz w:val="24"/>
          <w:szCs w:val="24"/>
        </w:rPr>
        <w:t>: Built-in accountability ensures legal and fiscal transparency while safeguarding tenant autonomy.</w:t>
      </w:r>
    </w:p>
    <w:p w14:paraId="59680F67" w14:textId="77777777" w:rsidR="001C54EE" w:rsidRPr="0039175E" w:rsidRDefault="00000000">
      <w:pPr>
        <w:pStyle w:val="Category"/>
        <w:rPr>
          <w:rFonts w:cs="Times New Roman"/>
        </w:rPr>
      </w:pPr>
      <w:r w:rsidRPr="0039175E">
        <w:rPr>
          <w:rFonts w:cs="Times New Roman"/>
        </w:rPr>
        <w:t>Scaling Roadmap and Replicability</w:t>
      </w:r>
    </w:p>
    <w:p w14:paraId="0823DA02" w14:textId="77777777" w:rsidR="001C54EE" w:rsidRPr="0039175E" w:rsidRDefault="00000000">
      <w:pPr>
        <w:pStyle w:val="Description"/>
        <w:rPr>
          <w:rFonts w:cs="Times New Roman"/>
        </w:rPr>
      </w:pPr>
      <w:r w:rsidRPr="0039175E">
        <w:rPr>
          <w:rFonts w:cs="Times New Roman"/>
          <w:lang w:val="pt-PT"/>
        </w:rPr>
        <w:t>TCAP</w:t>
      </w:r>
      <w:r w:rsidRPr="0039175E">
        <w:rPr>
          <w:rFonts w:cs="Times New Roman"/>
          <w:rtl/>
        </w:rPr>
        <w:t>’</w:t>
      </w:r>
      <w:r w:rsidRPr="0039175E">
        <w:rPr>
          <w:rFonts w:cs="Times New Roman"/>
        </w:rPr>
        <w:t xml:space="preserve">s long-term framework is designed for scalable expansion across boroughs and adaptation by </w:t>
      </w:r>
      <w:r w:rsidRPr="0039175E">
        <w:rPr>
          <w:rFonts w:cs="Times New Roman"/>
        </w:rPr>
        <w:tab/>
      </w:r>
      <w:r w:rsidRPr="0039175E">
        <w:rPr>
          <w:rFonts w:cs="Times New Roman"/>
        </w:rPr>
        <w:tab/>
      </w:r>
    </w:p>
    <w:p w14:paraId="626F2E4E" w14:textId="77777777" w:rsidR="001C54EE" w:rsidRPr="0039175E" w:rsidRDefault="00000000">
      <w:pPr>
        <w:pStyle w:val="Description"/>
        <w:rPr>
          <w:rFonts w:cs="Times New Roman"/>
        </w:rPr>
      </w:pPr>
      <w:r w:rsidRPr="0039175E">
        <w:rPr>
          <w:rFonts w:cs="Times New Roman"/>
        </w:rPr>
        <w:tab/>
        <w:t xml:space="preserve">other municipalities. </w:t>
      </w:r>
    </w:p>
    <w:p w14:paraId="5E504D49" w14:textId="77777777" w:rsidR="001C54EE" w:rsidRPr="0039175E" w:rsidRDefault="00000000">
      <w:pPr>
        <w:pStyle w:val="Body"/>
        <w:rPr>
          <w:rFonts w:cs="Times New Roman"/>
        </w:rPr>
      </w:pPr>
      <w:r w:rsidRPr="0039175E">
        <w:rPr>
          <w:rFonts w:cs="Times New Roman"/>
        </w:rPr>
        <w:tab/>
        <w:t>The proposal includes performance indicators and fiscal triggers for expansion, a monitoring framework adaptable by local agencies, and a replicable toolkit including legal templates, acquisition underwriting guides, and cooperative formation protocols.</w:t>
      </w:r>
    </w:p>
    <w:p w14:paraId="49B1D963" w14:textId="77777777" w:rsidR="001C54EE" w:rsidRPr="0039175E" w:rsidRDefault="00000000">
      <w:pPr>
        <w:pStyle w:val="Body"/>
        <w:rPr>
          <w:rFonts w:cs="Times New Roman"/>
        </w:rPr>
      </w:pPr>
      <w:r w:rsidRPr="0039175E">
        <w:rPr>
          <w:rFonts w:cs="Times New Roman"/>
        </w:rPr>
        <w:tab/>
        <w:t>In sum, the Tenant Co-op Acquisition Program offers a paradigm shift in housing subsidy policy—transforming transactional support into structural empowerment, and repositioning tenants as stewards of stable, self-determined communities.## Research Design and Policy Formation Logic The methodological framework underlying the Tenant Co-op Acquisition Program (TCAP) merges empirical policy evaluation with applied design-thinking to operationalize a structural transformation of NYC's housing subsidy infrastructure. TCAP</w:t>
      </w:r>
      <w:r w:rsidRPr="0039175E">
        <w:rPr>
          <w:rFonts w:cs="Times New Roman"/>
          <w:rtl/>
        </w:rPr>
        <w:t>’</w:t>
      </w:r>
      <w:r w:rsidRPr="0039175E">
        <w:rPr>
          <w:rFonts w:cs="Times New Roman"/>
        </w:rPr>
        <w:t xml:space="preserve">s </w:t>
      </w:r>
      <w:r w:rsidRPr="0039175E">
        <w:rPr>
          <w:rFonts w:cs="Times New Roman"/>
        </w:rPr>
        <w:lastRenderedPageBreak/>
        <w:t>methodology integrates data from prior pilot programs, real-world cooperative housing conversions, and longitudinal evaluations of rental assistance impacts. This section outlines the evidentiary base, stakeholder input processes, and governance design logic that inform the proposed policy intervention.</w:t>
      </w:r>
    </w:p>
    <w:p w14:paraId="46ED8C12" w14:textId="77777777" w:rsidR="001C54EE" w:rsidRPr="0039175E" w:rsidRDefault="00000000">
      <w:pPr>
        <w:pStyle w:val="Category"/>
        <w:rPr>
          <w:rFonts w:cs="Times New Roman"/>
        </w:rPr>
      </w:pPr>
      <w:r w:rsidRPr="0039175E">
        <w:rPr>
          <w:rFonts w:cs="Times New Roman"/>
        </w:rPr>
        <w:t>Mixed-Methods Synthesis</w:t>
      </w:r>
    </w:p>
    <w:p w14:paraId="222377F7" w14:textId="77777777" w:rsidR="001C54EE" w:rsidRPr="0039175E" w:rsidRDefault="00000000">
      <w:pPr>
        <w:pStyle w:val="Description"/>
        <w:rPr>
          <w:rFonts w:cs="Times New Roman"/>
        </w:rPr>
      </w:pPr>
      <w:r w:rsidRPr="0039175E">
        <w:rPr>
          <w:rFonts w:cs="Times New Roman"/>
        </w:rPr>
        <w:tab/>
        <w:t xml:space="preserve">The TCAP policy was constructed using a mixed-methods approach. </w:t>
      </w:r>
    </w:p>
    <w:p w14:paraId="45BE0803" w14:textId="77777777" w:rsidR="001C54EE" w:rsidRPr="0039175E" w:rsidRDefault="00000000">
      <w:pPr>
        <w:pStyle w:val="Body"/>
        <w:rPr>
          <w:rFonts w:cs="Times New Roman"/>
        </w:rPr>
      </w:pPr>
      <w:r w:rsidRPr="0039175E">
        <w:rPr>
          <w:rFonts w:cs="Times New Roman"/>
        </w:rPr>
        <w:t>Quantitative data were derived from HUD datasets, NYC HPD violation registries, NYCHA tenancy records, and city-level expenditure reports, particularly focusing on voucher allocation, eviction filings, and shelter system costs. These data points were supplemented by demographic analyses (e.g., Elmelech, 2004) and fiscal correlation studies (e.g., Chernick et al., 2021). In parallel, qualitative methods were used, including stakeholder interviews with tenant leaders, housing attorneys, community land trust organizers, and cooperative housing developers. These interviews illuminated legal barriers, capacity gaps, and community needs that must be addressed for equitable implementation.</w:t>
      </w:r>
    </w:p>
    <w:p w14:paraId="2646274B" w14:textId="77777777" w:rsidR="001C54EE" w:rsidRPr="0039175E" w:rsidRDefault="00000000">
      <w:pPr>
        <w:pStyle w:val="Category"/>
        <w:rPr>
          <w:rFonts w:cs="Times New Roman"/>
        </w:rPr>
      </w:pPr>
      <w:r w:rsidRPr="0039175E">
        <w:rPr>
          <w:rFonts w:cs="Times New Roman"/>
        </w:rPr>
        <w:t>Stakeholder-Centered Design</w:t>
      </w:r>
    </w:p>
    <w:p w14:paraId="6C5E37AB" w14:textId="77777777" w:rsidR="001C54EE" w:rsidRPr="0039175E" w:rsidRDefault="00000000">
      <w:pPr>
        <w:pStyle w:val="Body"/>
        <w:rPr>
          <w:rFonts w:cs="Times New Roman"/>
        </w:rPr>
      </w:pPr>
      <w:r w:rsidRPr="0039175E">
        <w:rPr>
          <w:rFonts w:cs="Times New Roman"/>
        </w:rPr>
        <w:tab/>
        <w:t>TCAP was co-developed with input from tenant advocacy organizations, legal service providers, and financial partners operating within low-income housing markets. This participatory approach ensured that the policy does not merely respond to housing theory but is grounded in on-the-ground constraints and opportunities. Participatory design workshops identified core implementation concerns, including tenant legal literacy, financial readiness, and the need for intermediary technical assistance providers. These insights informed the structure of the TCAP rollout strategy and the design of city-supported legal and financial infrastructure.</w:t>
      </w:r>
    </w:p>
    <w:p w14:paraId="758A89A3" w14:textId="77777777" w:rsidR="001C54EE" w:rsidRPr="0039175E" w:rsidRDefault="00000000">
      <w:pPr>
        <w:pStyle w:val="Category"/>
        <w:rPr>
          <w:rFonts w:cs="Times New Roman"/>
        </w:rPr>
      </w:pPr>
      <w:r w:rsidRPr="0039175E">
        <w:rPr>
          <w:rFonts w:cs="Times New Roman"/>
        </w:rPr>
        <w:t>Pilot Site Selection Criteria</w:t>
      </w:r>
    </w:p>
    <w:p w14:paraId="5ECF2F6B" w14:textId="77777777" w:rsidR="001C54EE" w:rsidRPr="0039175E" w:rsidRDefault="00000000">
      <w:pPr>
        <w:pStyle w:val="Description"/>
        <w:rPr>
          <w:rFonts w:cs="Times New Roman"/>
        </w:rPr>
      </w:pPr>
      <w:r w:rsidRPr="0039175E">
        <w:rPr>
          <w:rFonts w:cs="Times New Roman"/>
        </w:rPr>
        <w:t>The pilot phase methodology identifies five buildings for initial implementation, selected based on the following criteria:</w:t>
      </w:r>
    </w:p>
    <w:p w14:paraId="4D5B09CA"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Documented history of HPD violations and landlord negligence</w:t>
      </w:r>
    </w:p>
    <w:p w14:paraId="38937621"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High voucher penetration and subsidy density (≥40% of tenants with HCV, FHEPS, or HASA)</w:t>
      </w:r>
    </w:p>
    <w:p w14:paraId="0C27B179"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Existence or viability of tenant organizing infrastructure</w:t>
      </w:r>
    </w:p>
    <w:p w14:paraId="69D02E7E"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lastRenderedPageBreak/>
        <w:t>Location within historically redlined or rapidly gentrifying neighborhoods</w:t>
      </w:r>
    </w:p>
    <w:p w14:paraId="7294992C"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Feasibility of financial conversion and legal acquisition under NYC housing law</w:t>
      </w:r>
    </w:p>
    <w:p w14:paraId="49C5216C" w14:textId="77777777" w:rsidR="001C54EE" w:rsidRPr="0039175E" w:rsidRDefault="00000000">
      <w:pPr>
        <w:pStyle w:val="Body"/>
        <w:rPr>
          <w:rFonts w:cs="Times New Roman"/>
        </w:rPr>
      </w:pPr>
      <w:r w:rsidRPr="0039175E">
        <w:rPr>
          <w:rFonts w:cs="Times New Roman"/>
        </w:rPr>
        <w:t>A standardized readiness assessment tool will be used by HPD and partner organizations to vet candidate properties. Data for selection will be drawn from HPD</w:t>
      </w:r>
      <w:r w:rsidRPr="0039175E">
        <w:rPr>
          <w:rFonts w:cs="Times New Roman"/>
          <w:rtl/>
        </w:rPr>
        <w:t>’</w:t>
      </w:r>
      <w:r w:rsidRPr="0039175E">
        <w:rPr>
          <w:rFonts w:cs="Times New Roman"/>
        </w:rPr>
        <w:t>s Building Indicator Project, Housing Court case trends, and mapping of 311 complaints by district.</w:t>
      </w:r>
    </w:p>
    <w:p w14:paraId="2AA0106A" w14:textId="77777777" w:rsidR="001C54EE" w:rsidRPr="0039175E" w:rsidRDefault="001C54EE">
      <w:pPr>
        <w:pStyle w:val="Body"/>
        <w:rPr>
          <w:rFonts w:cs="Times New Roman"/>
        </w:rPr>
      </w:pPr>
    </w:p>
    <w:p w14:paraId="59A286BA" w14:textId="77777777" w:rsidR="001C54EE" w:rsidRPr="0039175E" w:rsidRDefault="00000000">
      <w:pPr>
        <w:pStyle w:val="Category"/>
        <w:rPr>
          <w:rFonts w:cs="Times New Roman"/>
        </w:rPr>
      </w:pPr>
      <w:r w:rsidRPr="0039175E">
        <w:rPr>
          <w:rFonts w:cs="Times New Roman"/>
        </w:rPr>
        <w:t>Evaluation and Measurement Framework</w:t>
      </w:r>
    </w:p>
    <w:p w14:paraId="4B176DB4" w14:textId="77777777" w:rsidR="001C54EE" w:rsidRPr="0039175E" w:rsidRDefault="00000000">
      <w:pPr>
        <w:pStyle w:val="Description"/>
        <w:rPr>
          <w:rFonts w:cs="Times New Roman"/>
        </w:rPr>
      </w:pPr>
      <w:r w:rsidRPr="0039175E">
        <w:rPr>
          <w:rFonts w:cs="Times New Roman"/>
        </w:rPr>
        <w:t>Evaluation will be structured around four primary metrics:</w:t>
      </w:r>
    </w:p>
    <w:p w14:paraId="5CD86DF4" w14:textId="77777777" w:rsidR="001C54EE" w:rsidRPr="0039175E" w:rsidRDefault="00000000">
      <w:pPr>
        <w:pStyle w:val="Default"/>
        <w:numPr>
          <w:ilvl w:val="0"/>
          <w:numId w:val="10"/>
        </w:numPr>
        <w:suppressAutoHyphens/>
        <w:spacing w:before="0" w:after="240" w:line="240" w:lineRule="auto"/>
        <w:rPr>
          <w:rFonts w:cs="Times New Roman"/>
          <w:sz w:val="24"/>
          <w:szCs w:val="24"/>
        </w:rPr>
      </w:pPr>
      <w:r w:rsidRPr="0039175E">
        <w:rPr>
          <w:rFonts w:cs="Times New Roman"/>
          <w:b/>
          <w:bCs/>
          <w:sz w:val="24"/>
          <w:szCs w:val="24"/>
        </w:rPr>
        <w:t>Housing Stability Index</w:t>
      </w:r>
      <w:r w:rsidRPr="0039175E">
        <w:rPr>
          <w:rFonts w:cs="Times New Roman"/>
          <w:sz w:val="24"/>
          <w:szCs w:val="24"/>
        </w:rPr>
        <w:t xml:space="preserve"> – measuring reduction in eviction rates, rent burden, and turnover among pilot buildings.</w:t>
      </w:r>
    </w:p>
    <w:p w14:paraId="75FF0221" w14:textId="77777777" w:rsidR="001C54EE" w:rsidRPr="0039175E" w:rsidRDefault="00000000">
      <w:pPr>
        <w:pStyle w:val="Default"/>
        <w:numPr>
          <w:ilvl w:val="0"/>
          <w:numId w:val="6"/>
        </w:numPr>
        <w:suppressAutoHyphens/>
        <w:spacing w:before="0" w:after="240" w:line="240" w:lineRule="auto"/>
        <w:rPr>
          <w:rFonts w:cs="Times New Roman"/>
          <w:sz w:val="24"/>
          <w:szCs w:val="24"/>
        </w:rPr>
      </w:pPr>
      <w:r w:rsidRPr="0039175E">
        <w:rPr>
          <w:rFonts w:cs="Times New Roman"/>
          <w:b/>
          <w:bCs/>
          <w:sz w:val="24"/>
          <w:szCs w:val="24"/>
        </w:rPr>
        <w:t>Subsidy Conversion Efficiency</w:t>
      </w:r>
      <w:r w:rsidRPr="0039175E">
        <w:rPr>
          <w:rFonts w:cs="Times New Roman"/>
          <w:sz w:val="24"/>
          <w:szCs w:val="24"/>
        </w:rPr>
        <w:t xml:space="preserve"> – tracking the fiscal differential between rental support and ownership investment.</w:t>
      </w:r>
    </w:p>
    <w:p w14:paraId="530199AF" w14:textId="77777777" w:rsidR="001C54EE" w:rsidRPr="0039175E" w:rsidRDefault="00000000">
      <w:pPr>
        <w:pStyle w:val="Default"/>
        <w:numPr>
          <w:ilvl w:val="0"/>
          <w:numId w:val="6"/>
        </w:numPr>
        <w:suppressAutoHyphens/>
        <w:spacing w:before="0" w:after="240" w:line="240" w:lineRule="auto"/>
        <w:rPr>
          <w:rFonts w:cs="Times New Roman"/>
          <w:sz w:val="24"/>
          <w:szCs w:val="24"/>
        </w:rPr>
      </w:pPr>
      <w:r w:rsidRPr="0039175E">
        <w:rPr>
          <w:rFonts w:cs="Times New Roman"/>
          <w:b/>
          <w:bCs/>
          <w:sz w:val="24"/>
          <w:szCs w:val="24"/>
        </w:rPr>
        <w:t>Ownership Equity Accrual</w:t>
      </w:r>
      <w:r w:rsidRPr="0039175E">
        <w:rPr>
          <w:rFonts w:cs="Times New Roman"/>
          <w:sz w:val="24"/>
          <w:szCs w:val="24"/>
        </w:rPr>
        <w:t xml:space="preserve"> – analyzing share value, capital reserves, and unit improvements over time.</w:t>
      </w:r>
    </w:p>
    <w:p w14:paraId="7F71A56A" w14:textId="77777777" w:rsidR="001C54EE" w:rsidRPr="0039175E" w:rsidRDefault="00000000">
      <w:pPr>
        <w:pStyle w:val="Default"/>
        <w:numPr>
          <w:ilvl w:val="0"/>
          <w:numId w:val="6"/>
        </w:numPr>
        <w:suppressAutoHyphens/>
        <w:spacing w:before="0" w:after="240" w:line="240" w:lineRule="auto"/>
        <w:rPr>
          <w:rFonts w:cs="Times New Roman"/>
          <w:sz w:val="24"/>
          <w:szCs w:val="24"/>
        </w:rPr>
      </w:pPr>
      <w:r w:rsidRPr="0039175E">
        <w:rPr>
          <w:rFonts w:cs="Times New Roman"/>
          <w:b/>
          <w:bCs/>
          <w:sz w:val="24"/>
          <w:szCs w:val="24"/>
        </w:rPr>
        <w:t>Governance and Capacity Metrics</w:t>
      </w:r>
      <w:r w:rsidRPr="0039175E">
        <w:rPr>
          <w:rFonts w:cs="Times New Roman"/>
          <w:sz w:val="24"/>
          <w:szCs w:val="24"/>
        </w:rPr>
        <w:t xml:space="preserve"> – assessing tenant board participation, co-op compliance rates, and engagement in training programs.</w:t>
      </w:r>
    </w:p>
    <w:p w14:paraId="45E3C15A" w14:textId="77777777" w:rsidR="001C54EE" w:rsidRPr="0039175E" w:rsidRDefault="00000000">
      <w:pPr>
        <w:pStyle w:val="Body"/>
        <w:rPr>
          <w:rFonts w:cs="Times New Roman"/>
        </w:rPr>
      </w:pPr>
      <w:r w:rsidRPr="0039175E">
        <w:rPr>
          <w:rFonts w:cs="Times New Roman"/>
        </w:rPr>
        <w:t>Baseline data will be collected prior to conversion, with follow-up benchmarks assessed at 12, 24, and 60 months. The evaluation team, comprised of HPD analysts, academic researchers, and community-based monitoring committees, will produce annual public reports and inform future scaling decisions.</w:t>
      </w:r>
    </w:p>
    <w:p w14:paraId="4D7D7E79" w14:textId="77777777" w:rsidR="001C54EE" w:rsidRPr="0039175E" w:rsidRDefault="00000000">
      <w:pPr>
        <w:pStyle w:val="Default"/>
        <w:suppressAutoHyphens/>
        <w:spacing w:before="0" w:after="281" w:line="240" w:lineRule="auto"/>
        <w:rPr>
          <w:rFonts w:eastAsia="Times Roman" w:cs="Times New Roman"/>
          <w:b/>
          <w:bCs/>
          <w:sz w:val="28"/>
          <w:szCs w:val="28"/>
        </w:rPr>
      </w:pPr>
      <w:r w:rsidRPr="0039175E">
        <w:rPr>
          <w:rFonts w:cs="Times New Roman"/>
          <w:b/>
          <w:bCs/>
          <w:sz w:val="28"/>
          <w:szCs w:val="28"/>
        </w:rPr>
        <w:t>Legal and Regulatory Analysis</w:t>
      </w:r>
    </w:p>
    <w:p w14:paraId="6269CD8F" w14:textId="77777777" w:rsidR="001C54EE" w:rsidRPr="0039175E" w:rsidRDefault="00000000">
      <w:pPr>
        <w:pStyle w:val="Body"/>
        <w:rPr>
          <w:rFonts w:cs="Times New Roman"/>
        </w:rPr>
      </w:pPr>
      <w:r w:rsidRPr="0039175E">
        <w:rPr>
          <w:rFonts w:cs="Times New Roman"/>
        </w:rPr>
        <w:tab/>
        <w:t>The methodology includes a statutory review of applicable NYC and NYS housing laws, with legal memoranda developed to identify required amendments or waiver authorities. Key legal tools include ROFR mechanisms, PETF implementation guidelines, and city-administered acquisition financing authorizations. Ongoing coordination with HUD and the NYS Attorney General's Office will ensure compliance with federal subsidy rules and state cooperative housing regulations. In total, this methodology is not only evaluative but also generative, building the scaffolding required for an implementable, replicable, and legally robust public ownership framework grounded in research and shaped by those most affected.</w:t>
      </w:r>
      <w:r w:rsidRPr="0039175E">
        <w:rPr>
          <w:rFonts w:cs="Times New Roman"/>
        </w:rPr>
        <w:br w:type="page"/>
      </w:r>
    </w:p>
    <w:p w14:paraId="0FFFCC7B" w14:textId="77777777" w:rsidR="001C54EE" w:rsidRPr="0039175E" w:rsidRDefault="00000000">
      <w:pPr>
        <w:pStyle w:val="Default"/>
        <w:suppressAutoHyphens/>
        <w:spacing w:before="0" w:after="322" w:line="240" w:lineRule="auto"/>
        <w:rPr>
          <w:rFonts w:eastAsia="Times Roman" w:cs="Times New Roman"/>
          <w:b/>
          <w:bCs/>
          <w:sz w:val="48"/>
          <w:szCs w:val="48"/>
        </w:rPr>
      </w:pPr>
      <w:r w:rsidRPr="0039175E">
        <w:rPr>
          <w:rFonts w:cs="Times New Roman"/>
          <w:b/>
          <w:bCs/>
          <w:sz w:val="48"/>
          <w:szCs w:val="48"/>
        </w:rPr>
        <w:lastRenderedPageBreak/>
        <w:t>PART III — PROGRAM ARCHITECTURE &amp; IMPLEMENTATION TOOLS</w:t>
      </w:r>
    </w:p>
    <w:p w14:paraId="635442E1" w14:textId="77777777" w:rsidR="001C54EE" w:rsidRPr="0039175E" w:rsidRDefault="00000000">
      <w:pPr>
        <w:pStyle w:val="Default"/>
        <w:suppressAutoHyphens/>
        <w:spacing w:before="0" w:after="299" w:line="240" w:lineRule="auto"/>
        <w:rPr>
          <w:rFonts w:eastAsia="Times Roman" w:cs="Times New Roman"/>
          <w:b/>
          <w:bCs/>
          <w:sz w:val="36"/>
          <w:szCs w:val="36"/>
        </w:rPr>
      </w:pPr>
      <w:proofErr w:type="spellStart"/>
      <w:r w:rsidRPr="0039175E">
        <w:rPr>
          <w:rFonts w:cs="Times New Roman"/>
          <w:b/>
          <w:bCs/>
          <w:sz w:val="36"/>
          <w:szCs w:val="36"/>
          <w:lang w:val="nl-NL"/>
        </w:rPr>
        <w:t>Overview</w:t>
      </w:r>
      <w:proofErr w:type="spellEnd"/>
    </w:p>
    <w:p w14:paraId="3296946C" w14:textId="77777777" w:rsidR="001C54EE" w:rsidRPr="0039175E" w:rsidRDefault="00000000">
      <w:pPr>
        <w:pStyle w:val="Body"/>
        <w:rPr>
          <w:rFonts w:cs="Times New Roman"/>
        </w:rPr>
      </w:pPr>
      <w:r w:rsidRPr="0039175E">
        <w:rPr>
          <w:rFonts w:cs="Times New Roman"/>
        </w:rPr>
        <w:t>The Program Architecture section details the institutional, legal, administrative, and financial tools required to implement TCAP at scale. It operationalizes the policy proposal into codified procedures and governing frameworks, including model legislation, template agreements, interagency coordination protocols, and compliance infrastructure. This section also outlines the systems of accountability and technical assistance needed to maintain fidelity to TCAP</w:t>
      </w:r>
      <w:r w:rsidRPr="0039175E">
        <w:rPr>
          <w:rFonts w:cs="Times New Roman"/>
          <w:rtl/>
        </w:rPr>
        <w:t>’</w:t>
      </w:r>
      <w:r w:rsidRPr="0039175E">
        <w:rPr>
          <w:rFonts w:cs="Times New Roman"/>
        </w:rPr>
        <w:t>s equity-centered goals.</w:t>
      </w:r>
    </w:p>
    <w:p w14:paraId="55C8AF2D" w14:textId="77777777" w:rsidR="001C54EE" w:rsidRPr="0039175E" w:rsidRDefault="00000000">
      <w:pPr>
        <w:pStyle w:val="Default"/>
        <w:suppressAutoHyphens/>
        <w:spacing w:before="0" w:after="299" w:line="240" w:lineRule="auto"/>
        <w:rPr>
          <w:rFonts w:eastAsia="Times Roman" w:cs="Times New Roman"/>
          <w:b/>
          <w:bCs/>
          <w:sz w:val="36"/>
          <w:szCs w:val="36"/>
        </w:rPr>
      </w:pPr>
      <w:r w:rsidRPr="0039175E">
        <w:rPr>
          <w:rFonts w:cs="Times New Roman"/>
          <w:b/>
          <w:bCs/>
          <w:sz w:val="36"/>
          <w:szCs w:val="36"/>
        </w:rPr>
        <w:t>Legislative Toolkit</w:t>
      </w:r>
    </w:p>
    <w:p w14:paraId="0EF5372E" w14:textId="77777777" w:rsidR="001C54EE" w:rsidRPr="0039175E" w:rsidRDefault="00000000">
      <w:pPr>
        <w:pStyle w:val="Default"/>
        <w:numPr>
          <w:ilvl w:val="0"/>
          <w:numId w:val="9"/>
        </w:numPr>
        <w:suppressAutoHyphens/>
        <w:spacing w:before="0" w:after="240" w:line="240" w:lineRule="auto"/>
        <w:rPr>
          <w:rFonts w:cs="Times New Roman"/>
          <w:sz w:val="24"/>
          <w:szCs w:val="24"/>
        </w:rPr>
      </w:pPr>
      <w:r w:rsidRPr="0039175E">
        <w:rPr>
          <w:rFonts w:cs="Times New Roman"/>
          <w:b/>
          <w:bCs/>
          <w:sz w:val="24"/>
          <w:szCs w:val="24"/>
        </w:rPr>
        <w:t>Public Equity Transfer Framework (PETF) Draft Legislation</w:t>
      </w:r>
      <w:r w:rsidRPr="0039175E">
        <w:rPr>
          <w:rFonts w:cs="Times New Roman"/>
          <w:sz w:val="24"/>
          <w:szCs w:val="24"/>
        </w:rPr>
        <w:t>: Establishes the legal basis for subsidy redirection into equity-generating instruments.</w:t>
      </w:r>
    </w:p>
    <w:p w14:paraId="70528D6A" w14:textId="77777777" w:rsidR="001C54EE" w:rsidRPr="0039175E" w:rsidRDefault="00000000">
      <w:pPr>
        <w:pStyle w:val="Default"/>
        <w:numPr>
          <w:ilvl w:val="0"/>
          <w:numId w:val="9"/>
        </w:numPr>
        <w:suppressAutoHyphens/>
        <w:spacing w:before="0" w:after="240" w:line="240" w:lineRule="auto"/>
        <w:rPr>
          <w:rFonts w:cs="Times New Roman"/>
          <w:sz w:val="24"/>
          <w:szCs w:val="24"/>
        </w:rPr>
      </w:pPr>
      <w:r w:rsidRPr="0039175E">
        <w:rPr>
          <w:rFonts w:cs="Times New Roman"/>
          <w:b/>
          <w:bCs/>
          <w:sz w:val="24"/>
          <w:szCs w:val="24"/>
        </w:rPr>
        <w:t>Amendments to NYS Real Property Law §216 &amp; §220</w:t>
      </w:r>
      <w:r w:rsidRPr="0039175E">
        <w:rPr>
          <w:rFonts w:cs="Times New Roman"/>
          <w:sz w:val="24"/>
          <w:szCs w:val="24"/>
        </w:rPr>
        <w:t>: Permits subsidy-backed cooperative equity contributions.</w:t>
      </w:r>
    </w:p>
    <w:p w14:paraId="2A081412" w14:textId="77777777" w:rsidR="001C54EE" w:rsidRPr="0039175E" w:rsidRDefault="00000000">
      <w:pPr>
        <w:pStyle w:val="Default"/>
        <w:numPr>
          <w:ilvl w:val="0"/>
          <w:numId w:val="9"/>
        </w:numPr>
        <w:suppressAutoHyphens/>
        <w:spacing w:before="0" w:after="240" w:line="240" w:lineRule="auto"/>
        <w:rPr>
          <w:rFonts w:cs="Times New Roman"/>
          <w:sz w:val="24"/>
          <w:szCs w:val="24"/>
        </w:rPr>
      </w:pPr>
      <w:r w:rsidRPr="0039175E">
        <w:rPr>
          <w:rFonts w:cs="Times New Roman"/>
          <w:b/>
          <w:bCs/>
          <w:sz w:val="24"/>
          <w:szCs w:val="24"/>
        </w:rPr>
        <w:t>Municipal Enabling Ordinance</w:t>
      </w:r>
      <w:r w:rsidRPr="0039175E">
        <w:rPr>
          <w:rFonts w:cs="Times New Roman"/>
          <w:sz w:val="24"/>
          <w:szCs w:val="24"/>
        </w:rPr>
        <w:t>: Grants HPD and HCR authority to recognize and fund Subsidized Limited-Equity Cooperatives.</w:t>
      </w:r>
    </w:p>
    <w:p w14:paraId="12F6B40F" w14:textId="77777777" w:rsidR="001C54EE" w:rsidRPr="0039175E" w:rsidRDefault="00000000">
      <w:pPr>
        <w:pStyle w:val="Default"/>
        <w:numPr>
          <w:ilvl w:val="0"/>
          <w:numId w:val="9"/>
        </w:numPr>
        <w:suppressAutoHyphens/>
        <w:spacing w:before="0" w:after="240" w:line="240" w:lineRule="auto"/>
        <w:rPr>
          <w:rFonts w:cs="Times New Roman"/>
          <w:sz w:val="24"/>
          <w:szCs w:val="24"/>
          <w:lang w:val="es-ES_tradnl"/>
        </w:rPr>
      </w:pPr>
      <w:proofErr w:type="spellStart"/>
      <w:r w:rsidRPr="0039175E">
        <w:rPr>
          <w:rFonts w:cs="Times New Roman"/>
          <w:b/>
          <w:bCs/>
          <w:sz w:val="24"/>
          <w:szCs w:val="24"/>
          <w:lang w:val="es-ES_tradnl"/>
        </w:rPr>
        <w:t>Model</w:t>
      </w:r>
      <w:proofErr w:type="spellEnd"/>
      <w:r w:rsidRPr="0039175E">
        <w:rPr>
          <w:rFonts w:cs="Times New Roman"/>
          <w:b/>
          <w:bCs/>
          <w:sz w:val="24"/>
          <w:szCs w:val="24"/>
          <w:lang w:val="es-ES_tradnl"/>
        </w:rPr>
        <w:t xml:space="preserve"> COPA </w:t>
      </w:r>
      <w:proofErr w:type="spellStart"/>
      <w:r w:rsidRPr="0039175E">
        <w:rPr>
          <w:rFonts w:cs="Times New Roman"/>
          <w:b/>
          <w:bCs/>
          <w:sz w:val="24"/>
          <w:szCs w:val="24"/>
          <w:lang w:val="es-ES_tradnl"/>
        </w:rPr>
        <w:t>Expansion</w:t>
      </w:r>
      <w:proofErr w:type="spellEnd"/>
      <w:r w:rsidRPr="0039175E">
        <w:rPr>
          <w:rFonts w:cs="Times New Roman"/>
          <w:b/>
          <w:bCs/>
          <w:sz w:val="24"/>
          <w:szCs w:val="24"/>
          <w:lang w:val="es-ES_tradnl"/>
        </w:rPr>
        <w:t xml:space="preserve"> Bill</w:t>
      </w:r>
      <w:r w:rsidRPr="0039175E">
        <w:rPr>
          <w:rFonts w:cs="Times New Roman"/>
          <w:sz w:val="24"/>
          <w:szCs w:val="24"/>
        </w:rPr>
        <w:t>: Provides tenant associations with first purchase rights upon listing or foreclosure.</w:t>
      </w:r>
    </w:p>
    <w:p w14:paraId="1D665BCC" w14:textId="77777777" w:rsidR="001C54EE" w:rsidRPr="0039175E" w:rsidRDefault="00000000">
      <w:pPr>
        <w:pStyle w:val="Default"/>
        <w:suppressAutoHyphens/>
        <w:spacing w:before="0" w:after="299" w:line="240" w:lineRule="auto"/>
        <w:rPr>
          <w:rFonts w:eastAsia="Times Roman" w:cs="Times New Roman"/>
          <w:b/>
          <w:bCs/>
          <w:sz w:val="36"/>
          <w:szCs w:val="36"/>
        </w:rPr>
      </w:pPr>
      <w:r w:rsidRPr="0039175E">
        <w:rPr>
          <w:rFonts w:cs="Times New Roman"/>
          <w:b/>
          <w:bCs/>
          <w:sz w:val="36"/>
          <w:szCs w:val="36"/>
          <w:lang w:val="it-IT"/>
        </w:rPr>
        <w:t>Legal Templates</w:t>
      </w:r>
    </w:p>
    <w:p w14:paraId="7ADC6B5C" w14:textId="77777777" w:rsidR="001C54EE" w:rsidRPr="0039175E" w:rsidRDefault="00000000">
      <w:pPr>
        <w:pStyle w:val="Default"/>
        <w:numPr>
          <w:ilvl w:val="0"/>
          <w:numId w:val="9"/>
        </w:numPr>
        <w:suppressAutoHyphens/>
        <w:spacing w:before="0" w:after="240" w:line="240" w:lineRule="auto"/>
        <w:rPr>
          <w:rFonts w:cs="Times New Roman"/>
          <w:b/>
          <w:bCs/>
          <w:sz w:val="24"/>
          <w:szCs w:val="24"/>
        </w:rPr>
      </w:pPr>
      <w:r w:rsidRPr="0039175E">
        <w:rPr>
          <w:rFonts w:cs="Times New Roman"/>
          <w:b/>
          <w:bCs/>
          <w:sz w:val="24"/>
          <w:szCs w:val="24"/>
        </w:rPr>
        <w:t>Model Bylaws for Tenant Co-ops</w:t>
      </w:r>
    </w:p>
    <w:p w14:paraId="750FA8D9" w14:textId="77777777" w:rsidR="001C54EE" w:rsidRPr="0039175E" w:rsidRDefault="00000000">
      <w:pPr>
        <w:pStyle w:val="Default"/>
        <w:numPr>
          <w:ilvl w:val="0"/>
          <w:numId w:val="9"/>
        </w:numPr>
        <w:suppressAutoHyphens/>
        <w:spacing w:before="0" w:after="240" w:line="240" w:lineRule="auto"/>
        <w:rPr>
          <w:rFonts w:cs="Times New Roman"/>
          <w:b/>
          <w:bCs/>
          <w:sz w:val="24"/>
          <w:szCs w:val="24"/>
        </w:rPr>
      </w:pPr>
      <w:r w:rsidRPr="0039175E">
        <w:rPr>
          <w:rFonts w:cs="Times New Roman"/>
          <w:b/>
          <w:bCs/>
          <w:sz w:val="24"/>
          <w:szCs w:val="24"/>
        </w:rPr>
        <w:t>Subsidy Redirection MOUs</w:t>
      </w:r>
    </w:p>
    <w:p w14:paraId="74CD7368" w14:textId="77777777" w:rsidR="001C54EE" w:rsidRPr="0039175E" w:rsidRDefault="00000000">
      <w:pPr>
        <w:pStyle w:val="Default"/>
        <w:numPr>
          <w:ilvl w:val="0"/>
          <w:numId w:val="9"/>
        </w:numPr>
        <w:suppressAutoHyphens/>
        <w:spacing w:before="0" w:after="240" w:line="240" w:lineRule="auto"/>
        <w:rPr>
          <w:rFonts w:cs="Times New Roman"/>
          <w:b/>
          <w:bCs/>
          <w:sz w:val="24"/>
          <w:szCs w:val="24"/>
        </w:rPr>
      </w:pPr>
      <w:r w:rsidRPr="0039175E">
        <w:rPr>
          <w:rFonts w:cs="Times New Roman"/>
          <w:b/>
          <w:bCs/>
          <w:sz w:val="24"/>
          <w:szCs w:val="24"/>
        </w:rPr>
        <w:t>Acquisition Financing Term Sheets</w:t>
      </w:r>
    </w:p>
    <w:p w14:paraId="08D15040" w14:textId="77777777" w:rsidR="001C54EE" w:rsidRPr="0039175E" w:rsidRDefault="00000000">
      <w:pPr>
        <w:pStyle w:val="Default"/>
        <w:numPr>
          <w:ilvl w:val="0"/>
          <w:numId w:val="9"/>
        </w:numPr>
        <w:suppressAutoHyphens/>
        <w:spacing w:before="0" w:after="240" w:line="240" w:lineRule="auto"/>
        <w:rPr>
          <w:rFonts w:cs="Times New Roman"/>
          <w:b/>
          <w:bCs/>
          <w:sz w:val="24"/>
          <w:szCs w:val="24"/>
        </w:rPr>
      </w:pPr>
      <w:r w:rsidRPr="0039175E">
        <w:rPr>
          <w:rFonts w:cs="Times New Roman"/>
          <w:b/>
          <w:bCs/>
          <w:sz w:val="24"/>
          <w:szCs w:val="24"/>
        </w:rPr>
        <w:t>Technical Assistance Contracts</w:t>
      </w:r>
    </w:p>
    <w:p w14:paraId="61005747" w14:textId="77777777" w:rsidR="001C54EE" w:rsidRPr="0039175E" w:rsidRDefault="00000000">
      <w:pPr>
        <w:pStyle w:val="Default"/>
        <w:numPr>
          <w:ilvl w:val="0"/>
          <w:numId w:val="9"/>
        </w:numPr>
        <w:suppressAutoHyphens/>
        <w:spacing w:before="0" w:after="240" w:line="240" w:lineRule="auto"/>
        <w:rPr>
          <w:rFonts w:cs="Times New Roman"/>
          <w:b/>
          <w:bCs/>
          <w:sz w:val="24"/>
          <w:szCs w:val="24"/>
        </w:rPr>
      </w:pPr>
      <w:r w:rsidRPr="0039175E">
        <w:rPr>
          <w:rFonts w:cs="Times New Roman"/>
          <w:b/>
          <w:bCs/>
          <w:sz w:val="24"/>
          <w:szCs w:val="24"/>
        </w:rPr>
        <w:t>Affordability Covenant Agreements</w:t>
      </w:r>
    </w:p>
    <w:p w14:paraId="65212930" w14:textId="77777777" w:rsidR="001C54EE" w:rsidRPr="0039175E" w:rsidRDefault="00000000">
      <w:pPr>
        <w:pStyle w:val="Default"/>
        <w:suppressAutoHyphens/>
        <w:spacing w:before="0" w:after="299" w:line="240" w:lineRule="auto"/>
        <w:rPr>
          <w:rFonts w:eastAsia="Times Roman" w:cs="Times New Roman"/>
          <w:b/>
          <w:bCs/>
          <w:sz w:val="36"/>
          <w:szCs w:val="36"/>
        </w:rPr>
      </w:pPr>
      <w:r w:rsidRPr="0039175E">
        <w:rPr>
          <w:rFonts w:cs="Times New Roman"/>
          <w:b/>
          <w:bCs/>
          <w:sz w:val="36"/>
          <w:szCs w:val="36"/>
        </w:rPr>
        <w:t>Institutional Coordination Protocols</w:t>
      </w:r>
    </w:p>
    <w:p w14:paraId="443613F1" w14:textId="77777777" w:rsidR="001C54EE" w:rsidRPr="0039175E" w:rsidRDefault="00000000">
      <w:pPr>
        <w:pStyle w:val="Default"/>
        <w:numPr>
          <w:ilvl w:val="0"/>
          <w:numId w:val="9"/>
        </w:numPr>
        <w:suppressAutoHyphens/>
        <w:spacing w:before="0" w:after="240" w:line="240" w:lineRule="auto"/>
        <w:rPr>
          <w:rFonts w:cs="Times New Roman"/>
          <w:sz w:val="24"/>
          <w:szCs w:val="24"/>
        </w:rPr>
      </w:pPr>
      <w:r w:rsidRPr="0039175E">
        <w:rPr>
          <w:rFonts w:cs="Times New Roman"/>
          <w:b/>
          <w:bCs/>
          <w:sz w:val="24"/>
          <w:szCs w:val="24"/>
        </w:rPr>
        <w:lastRenderedPageBreak/>
        <w:t>TCAP Implementation Unit Charter</w:t>
      </w:r>
      <w:r w:rsidRPr="0039175E">
        <w:rPr>
          <w:rFonts w:cs="Times New Roman"/>
          <w:sz w:val="24"/>
          <w:szCs w:val="24"/>
        </w:rPr>
        <w:t>: Defines the mandate, staffing, and responsibilities of the interagency TCAP Task Force.</w:t>
      </w:r>
    </w:p>
    <w:p w14:paraId="69A7E7E7" w14:textId="77777777" w:rsidR="001C54EE" w:rsidRPr="0039175E" w:rsidRDefault="00000000">
      <w:pPr>
        <w:pStyle w:val="Default"/>
        <w:numPr>
          <w:ilvl w:val="0"/>
          <w:numId w:val="9"/>
        </w:numPr>
        <w:suppressAutoHyphens/>
        <w:spacing w:before="0" w:after="240" w:line="240" w:lineRule="auto"/>
        <w:rPr>
          <w:rFonts w:cs="Times New Roman"/>
          <w:sz w:val="24"/>
          <w:szCs w:val="24"/>
        </w:rPr>
      </w:pPr>
      <w:r w:rsidRPr="0039175E">
        <w:rPr>
          <w:rFonts w:cs="Times New Roman"/>
          <w:b/>
          <w:bCs/>
          <w:sz w:val="24"/>
          <w:szCs w:val="24"/>
        </w:rPr>
        <w:t>Compliance and Reporting Dashboards</w:t>
      </w:r>
      <w:r w:rsidRPr="0039175E">
        <w:rPr>
          <w:rFonts w:cs="Times New Roman"/>
          <w:sz w:val="24"/>
          <w:szCs w:val="24"/>
        </w:rPr>
        <w:t>: Outlines digital infrastructure for data collection, tenant board monitoring, and fiscal oversight.</w:t>
      </w:r>
    </w:p>
    <w:p w14:paraId="69788393" w14:textId="77777777" w:rsidR="001C54EE" w:rsidRPr="0039175E" w:rsidRDefault="00000000">
      <w:pPr>
        <w:pStyle w:val="Default"/>
        <w:numPr>
          <w:ilvl w:val="0"/>
          <w:numId w:val="9"/>
        </w:numPr>
        <w:suppressAutoHyphens/>
        <w:spacing w:before="0" w:after="240" w:line="240" w:lineRule="auto"/>
        <w:rPr>
          <w:rFonts w:cs="Times New Roman"/>
          <w:sz w:val="24"/>
          <w:szCs w:val="24"/>
        </w:rPr>
      </w:pPr>
      <w:r w:rsidRPr="0039175E">
        <w:rPr>
          <w:rFonts w:cs="Times New Roman"/>
          <w:b/>
          <w:bCs/>
          <w:sz w:val="24"/>
          <w:szCs w:val="24"/>
        </w:rPr>
        <w:t>Grievance and Mediation Procedures</w:t>
      </w:r>
      <w:r w:rsidRPr="0039175E">
        <w:rPr>
          <w:rFonts w:cs="Times New Roman"/>
          <w:sz w:val="24"/>
          <w:szCs w:val="24"/>
        </w:rPr>
        <w:t>: Defines accessible channels for dispute resolution during and after conversion.</w:t>
      </w:r>
    </w:p>
    <w:p w14:paraId="4F5C8581" w14:textId="77777777" w:rsidR="001C54EE" w:rsidRPr="0039175E" w:rsidRDefault="00000000">
      <w:pPr>
        <w:pStyle w:val="Default"/>
        <w:suppressAutoHyphens/>
        <w:spacing w:before="0" w:after="299" w:line="240" w:lineRule="auto"/>
        <w:rPr>
          <w:rFonts w:eastAsia="Times Roman" w:cs="Times New Roman"/>
          <w:b/>
          <w:bCs/>
          <w:sz w:val="36"/>
          <w:szCs w:val="36"/>
        </w:rPr>
      </w:pPr>
      <w:r w:rsidRPr="0039175E">
        <w:rPr>
          <w:rFonts w:cs="Times New Roman"/>
          <w:b/>
          <w:bCs/>
          <w:sz w:val="36"/>
          <w:szCs w:val="36"/>
        </w:rPr>
        <w:t>Technical Assistance Framework</w:t>
      </w:r>
    </w:p>
    <w:p w14:paraId="2B7A7D4E" w14:textId="77777777" w:rsidR="001C54EE" w:rsidRPr="0039175E" w:rsidRDefault="00000000">
      <w:pPr>
        <w:pStyle w:val="Default"/>
        <w:numPr>
          <w:ilvl w:val="0"/>
          <w:numId w:val="9"/>
        </w:numPr>
        <w:suppressAutoHyphens/>
        <w:spacing w:before="0" w:after="240" w:line="240" w:lineRule="auto"/>
        <w:rPr>
          <w:rFonts w:cs="Times New Roman"/>
          <w:b/>
          <w:bCs/>
          <w:sz w:val="24"/>
          <w:szCs w:val="24"/>
        </w:rPr>
      </w:pPr>
      <w:r w:rsidRPr="0039175E">
        <w:rPr>
          <w:rFonts w:cs="Times New Roman"/>
          <w:b/>
          <w:bCs/>
          <w:sz w:val="24"/>
          <w:szCs w:val="24"/>
        </w:rPr>
        <w:t>Tenant Organizing &amp; Education Modules</w:t>
      </w:r>
    </w:p>
    <w:p w14:paraId="1525F234" w14:textId="77777777" w:rsidR="001C54EE" w:rsidRPr="0039175E" w:rsidRDefault="00000000">
      <w:pPr>
        <w:pStyle w:val="Default"/>
        <w:numPr>
          <w:ilvl w:val="0"/>
          <w:numId w:val="9"/>
        </w:numPr>
        <w:suppressAutoHyphens/>
        <w:spacing w:before="0" w:after="240" w:line="240" w:lineRule="auto"/>
        <w:rPr>
          <w:rFonts w:cs="Times New Roman"/>
          <w:b/>
          <w:bCs/>
          <w:sz w:val="24"/>
          <w:szCs w:val="24"/>
        </w:rPr>
      </w:pPr>
      <w:r w:rsidRPr="0039175E">
        <w:rPr>
          <w:rFonts w:cs="Times New Roman"/>
          <w:b/>
          <w:bCs/>
          <w:sz w:val="24"/>
          <w:szCs w:val="24"/>
        </w:rPr>
        <w:t>Financial Literacy &amp; Governance Training Curricula</w:t>
      </w:r>
    </w:p>
    <w:p w14:paraId="6BC978B3" w14:textId="77777777" w:rsidR="001C54EE" w:rsidRPr="0039175E" w:rsidRDefault="00000000">
      <w:pPr>
        <w:pStyle w:val="Default"/>
        <w:numPr>
          <w:ilvl w:val="0"/>
          <w:numId w:val="9"/>
        </w:numPr>
        <w:suppressAutoHyphens/>
        <w:spacing w:before="0" w:after="240" w:line="240" w:lineRule="auto"/>
        <w:rPr>
          <w:rFonts w:cs="Times New Roman"/>
          <w:b/>
          <w:bCs/>
          <w:sz w:val="24"/>
          <w:szCs w:val="24"/>
        </w:rPr>
      </w:pPr>
      <w:r w:rsidRPr="0039175E">
        <w:rPr>
          <w:rFonts w:cs="Times New Roman"/>
          <w:b/>
          <w:bCs/>
          <w:sz w:val="24"/>
          <w:szCs w:val="24"/>
        </w:rPr>
        <w:t>Legal Capacity-Building for Emerging Co-ops</w:t>
      </w:r>
    </w:p>
    <w:p w14:paraId="2B2853A1" w14:textId="77777777" w:rsidR="001C54EE" w:rsidRPr="0039175E" w:rsidRDefault="00000000">
      <w:pPr>
        <w:pStyle w:val="Default"/>
        <w:numPr>
          <w:ilvl w:val="0"/>
          <w:numId w:val="9"/>
        </w:numPr>
        <w:suppressAutoHyphens/>
        <w:spacing w:before="0" w:after="240" w:line="240" w:lineRule="auto"/>
        <w:rPr>
          <w:rFonts w:cs="Times New Roman"/>
          <w:b/>
          <w:bCs/>
          <w:sz w:val="24"/>
          <w:szCs w:val="24"/>
        </w:rPr>
      </w:pPr>
      <w:r w:rsidRPr="0039175E">
        <w:rPr>
          <w:rFonts w:cs="Times New Roman"/>
          <w:b/>
          <w:bCs/>
          <w:sz w:val="24"/>
          <w:szCs w:val="24"/>
        </w:rPr>
        <w:t>Approved Intermediary Provider List (AIPL)</w:t>
      </w:r>
    </w:p>
    <w:p w14:paraId="451D10D8"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sz w:val="24"/>
          <w:szCs w:val="24"/>
        </w:rPr>
        <w:t>This section will be supported by Appendices A–D, which house the full legislative texts, forms, and tools referenced above. Together, they represent a legally executable and administratively scalable pathway to deliver TCAP across the five boroughs.</w:t>
      </w:r>
    </w:p>
    <w:p w14:paraId="071C01A5" w14:textId="77777777" w:rsidR="001C54EE" w:rsidRPr="0039175E" w:rsidRDefault="00000000">
      <w:pPr>
        <w:pStyle w:val="Default"/>
        <w:suppressAutoHyphens/>
        <w:spacing w:before="0" w:after="299" w:line="240" w:lineRule="auto"/>
        <w:rPr>
          <w:rFonts w:eastAsia="Times Roman" w:cs="Times New Roman"/>
          <w:b/>
          <w:bCs/>
          <w:sz w:val="36"/>
          <w:szCs w:val="36"/>
        </w:rPr>
      </w:pPr>
      <w:proofErr w:type="spellStart"/>
      <w:r w:rsidRPr="0039175E">
        <w:rPr>
          <w:rFonts w:cs="Times New Roman"/>
          <w:b/>
          <w:bCs/>
          <w:sz w:val="36"/>
          <w:szCs w:val="36"/>
          <w:lang w:val="da-DK"/>
        </w:rPr>
        <w:t>Appendix</w:t>
      </w:r>
      <w:proofErr w:type="spellEnd"/>
      <w:r w:rsidRPr="0039175E">
        <w:rPr>
          <w:rFonts w:cs="Times New Roman"/>
          <w:b/>
          <w:bCs/>
          <w:sz w:val="36"/>
          <w:szCs w:val="36"/>
          <w:lang w:val="da-DK"/>
        </w:rPr>
        <w:t xml:space="preserve"> A </w:t>
      </w:r>
      <w:r w:rsidRPr="0039175E">
        <w:rPr>
          <w:rFonts w:cs="Times New Roman"/>
          <w:b/>
          <w:bCs/>
          <w:sz w:val="36"/>
          <w:szCs w:val="36"/>
        </w:rPr>
        <w:t>— Financial Tables &amp; Cost Modeling</w:t>
      </w:r>
    </w:p>
    <w:p w14:paraId="5877BBE1"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sz w:val="24"/>
          <w:szCs w:val="24"/>
        </w:rPr>
        <w:t>This appendix presents the fiscal framework for TCAP</w:t>
      </w:r>
      <w:r w:rsidRPr="0039175E">
        <w:rPr>
          <w:rFonts w:cs="Times New Roman"/>
          <w:sz w:val="24"/>
          <w:szCs w:val="24"/>
          <w:rtl/>
        </w:rPr>
        <w:t>’</w:t>
      </w:r>
      <w:r w:rsidRPr="0039175E">
        <w:rPr>
          <w:rFonts w:cs="Times New Roman"/>
          <w:sz w:val="24"/>
          <w:szCs w:val="24"/>
        </w:rPr>
        <w:t>s implementation, focusing on comparative costs, projected savings, and return on public investment over a five-year rollout. All data are modeled using NYC subsidy expenditure trends from 2018–2023, Right to Counsel program costs, and average acquisition financing structures applied in limited-equity co-op conversions facilitated by HPD.</w:t>
      </w:r>
    </w:p>
    <w:p w14:paraId="046F95A3" w14:textId="77777777" w:rsidR="001C54EE" w:rsidRPr="0039175E" w:rsidRDefault="00000000">
      <w:pPr>
        <w:pStyle w:val="Default"/>
        <w:suppressAutoHyphens/>
        <w:spacing w:before="0" w:after="281" w:line="240" w:lineRule="auto"/>
        <w:rPr>
          <w:rFonts w:eastAsia="Times Roman" w:cs="Times New Roman"/>
          <w:b/>
          <w:bCs/>
          <w:sz w:val="28"/>
          <w:szCs w:val="28"/>
        </w:rPr>
      </w:pPr>
      <w:r w:rsidRPr="0039175E">
        <w:rPr>
          <w:rFonts w:cs="Times New Roman"/>
          <w:b/>
          <w:bCs/>
          <w:sz w:val="28"/>
          <w:szCs w:val="28"/>
        </w:rPr>
        <w:t>A.1. Summary Budget Comparison (5-Year Projections)</w:t>
      </w:r>
    </w:p>
    <w:tbl>
      <w:tblPr>
        <w:tblW w:w="1080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189"/>
        <w:gridCol w:w="3809"/>
        <w:gridCol w:w="3802"/>
      </w:tblGrid>
      <w:tr w:rsidR="001C54EE" w:rsidRPr="0039175E" w14:paraId="1F243A38" w14:textId="77777777">
        <w:trPr>
          <w:trHeight w:val="567"/>
        </w:trPr>
        <w:tc>
          <w:tcPr>
            <w:tcW w:w="318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7CC3B19" w14:textId="77777777" w:rsidR="001C54EE" w:rsidRPr="0039175E" w:rsidRDefault="00000000">
            <w:pPr>
              <w:pStyle w:val="TableStyle2"/>
              <w:suppressAutoHyphens/>
              <w:jc w:val="center"/>
            </w:pPr>
            <w:r w:rsidRPr="0039175E">
              <w:rPr>
                <w:b/>
                <w:bCs/>
                <w:sz w:val="24"/>
                <w:szCs w:val="24"/>
              </w:rPr>
              <w:t>Category</w:t>
            </w:r>
          </w:p>
        </w:tc>
        <w:tc>
          <w:tcPr>
            <w:tcW w:w="380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104005C" w14:textId="77777777" w:rsidR="001C54EE" w:rsidRPr="0039175E" w:rsidRDefault="00000000">
            <w:pPr>
              <w:pStyle w:val="TableStyle2"/>
              <w:suppressAutoHyphens/>
              <w:jc w:val="center"/>
            </w:pPr>
            <w:r w:rsidRPr="0039175E">
              <w:rPr>
                <w:b/>
                <w:bCs/>
                <w:sz w:val="24"/>
                <w:szCs w:val="24"/>
              </w:rPr>
              <w:t>Status Quo Model (Rental Subsidy)</w:t>
            </w:r>
          </w:p>
        </w:tc>
        <w:tc>
          <w:tcPr>
            <w:tcW w:w="380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18E6779" w14:textId="77777777" w:rsidR="001C54EE" w:rsidRPr="0039175E" w:rsidRDefault="00000000">
            <w:pPr>
              <w:pStyle w:val="TableStyle2"/>
              <w:suppressAutoHyphens/>
              <w:jc w:val="center"/>
            </w:pPr>
            <w:r w:rsidRPr="0039175E">
              <w:rPr>
                <w:b/>
                <w:bCs/>
                <w:sz w:val="24"/>
                <w:szCs w:val="24"/>
              </w:rPr>
              <w:t>TCAP Model (Subsidy Conversion)</w:t>
            </w:r>
          </w:p>
        </w:tc>
      </w:tr>
      <w:tr w:rsidR="001C54EE" w:rsidRPr="0039175E" w14:paraId="645745C0" w14:textId="77777777">
        <w:trPr>
          <w:trHeight w:val="380"/>
        </w:trPr>
        <w:tc>
          <w:tcPr>
            <w:tcW w:w="318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BDA2A3B" w14:textId="77777777" w:rsidR="001C54EE" w:rsidRPr="0039175E" w:rsidRDefault="00000000">
            <w:pPr>
              <w:pStyle w:val="TableStyle2"/>
              <w:suppressAutoHyphens/>
            </w:pPr>
            <w:r w:rsidRPr="0039175E">
              <w:rPr>
                <w:sz w:val="24"/>
                <w:szCs w:val="24"/>
              </w:rPr>
              <w:t>Annual Rental Subsidy/Unit</w:t>
            </w:r>
          </w:p>
        </w:tc>
        <w:tc>
          <w:tcPr>
            <w:tcW w:w="380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B92FE41" w14:textId="77777777" w:rsidR="001C54EE" w:rsidRPr="0039175E" w:rsidRDefault="00000000">
            <w:pPr>
              <w:suppressAutoHyphens/>
              <w:jc w:val="right"/>
            </w:pPr>
            <w:r w:rsidRPr="0039175E">
              <w:rPr>
                <w:color w:val="000000"/>
                <w14:textOutline w14:w="0" w14:cap="flat" w14:cmpd="sng" w14:algn="ctr">
                  <w14:noFill/>
                  <w14:prstDash w14:val="solid"/>
                  <w14:bevel/>
                </w14:textOutline>
              </w:rPr>
              <w:t>$21,600</w:t>
            </w:r>
          </w:p>
        </w:tc>
        <w:tc>
          <w:tcPr>
            <w:tcW w:w="380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130B332" w14:textId="77777777" w:rsidR="001C54EE" w:rsidRPr="0039175E" w:rsidRDefault="00000000">
            <w:pPr>
              <w:pStyle w:val="TableStyle2"/>
              <w:suppressAutoHyphens/>
            </w:pPr>
            <w:r w:rsidRPr="0039175E">
              <w:rPr>
                <w:sz w:val="24"/>
                <w:szCs w:val="24"/>
              </w:rPr>
              <w:t>$18,000 (phase-out by year 5)</w:t>
            </w:r>
          </w:p>
        </w:tc>
      </w:tr>
      <w:tr w:rsidR="001C54EE" w:rsidRPr="0039175E" w14:paraId="71C6D92A" w14:textId="77777777">
        <w:trPr>
          <w:trHeight w:val="567"/>
        </w:trPr>
        <w:tc>
          <w:tcPr>
            <w:tcW w:w="318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31BC69F" w14:textId="77777777" w:rsidR="001C54EE" w:rsidRPr="0039175E" w:rsidRDefault="00000000">
            <w:pPr>
              <w:pStyle w:val="TableStyle2"/>
              <w:suppressAutoHyphens/>
            </w:pPr>
            <w:r w:rsidRPr="0039175E">
              <w:rPr>
                <w:sz w:val="24"/>
                <w:szCs w:val="24"/>
              </w:rPr>
              <w:t>Shelter Eviction Response/Unit</w:t>
            </w:r>
          </w:p>
        </w:tc>
        <w:tc>
          <w:tcPr>
            <w:tcW w:w="380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B9F7C81" w14:textId="77777777" w:rsidR="001C54EE" w:rsidRPr="0039175E" w:rsidRDefault="00000000">
            <w:pPr>
              <w:suppressAutoHyphens/>
              <w:jc w:val="right"/>
            </w:pPr>
            <w:r w:rsidRPr="0039175E">
              <w:rPr>
                <w:color w:val="000000"/>
                <w14:textOutline w14:w="0" w14:cap="flat" w14:cmpd="sng" w14:algn="ctr">
                  <w14:noFill/>
                  <w14:prstDash w14:val="solid"/>
                  <w14:bevel/>
                </w14:textOutline>
              </w:rPr>
              <w:t>$7,400</w:t>
            </w:r>
          </w:p>
        </w:tc>
        <w:tc>
          <w:tcPr>
            <w:tcW w:w="380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0784A4B" w14:textId="77777777" w:rsidR="001C54EE" w:rsidRPr="0039175E" w:rsidRDefault="00000000">
            <w:pPr>
              <w:suppressAutoHyphens/>
              <w:jc w:val="right"/>
            </w:pPr>
            <w:r w:rsidRPr="0039175E">
              <w:rPr>
                <w:color w:val="000000"/>
                <w14:textOutline w14:w="0" w14:cap="flat" w14:cmpd="sng" w14:algn="ctr">
                  <w14:noFill/>
                  <w14:prstDash w14:val="solid"/>
                  <w14:bevel/>
                </w14:textOutline>
              </w:rPr>
              <w:t>$1,500</w:t>
            </w:r>
          </w:p>
        </w:tc>
      </w:tr>
      <w:tr w:rsidR="001C54EE" w:rsidRPr="0039175E" w14:paraId="481A0056" w14:textId="77777777">
        <w:trPr>
          <w:trHeight w:val="380"/>
        </w:trPr>
        <w:tc>
          <w:tcPr>
            <w:tcW w:w="318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48609C1" w14:textId="77777777" w:rsidR="001C54EE" w:rsidRPr="0039175E" w:rsidRDefault="00000000">
            <w:pPr>
              <w:pStyle w:val="TableStyle2"/>
              <w:suppressAutoHyphens/>
            </w:pPr>
            <w:r w:rsidRPr="0039175E">
              <w:rPr>
                <w:sz w:val="24"/>
                <w:szCs w:val="24"/>
              </w:rPr>
              <w:t>Co-op Reserve Contribution</w:t>
            </w:r>
          </w:p>
        </w:tc>
        <w:tc>
          <w:tcPr>
            <w:tcW w:w="380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53127B9" w14:textId="77777777" w:rsidR="001C54EE" w:rsidRPr="0039175E" w:rsidRDefault="00000000">
            <w:pPr>
              <w:pStyle w:val="TableStyle2"/>
              <w:suppressAutoHyphens/>
            </w:pPr>
            <w:r w:rsidRPr="0039175E">
              <w:rPr>
                <w:sz w:val="24"/>
                <w:szCs w:val="24"/>
              </w:rPr>
              <w:t>N/A</w:t>
            </w:r>
          </w:p>
        </w:tc>
        <w:tc>
          <w:tcPr>
            <w:tcW w:w="380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9CDD2BA" w14:textId="77777777" w:rsidR="001C54EE" w:rsidRPr="0039175E" w:rsidRDefault="00000000">
            <w:pPr>
              <w:suppressAutoHyphens/>
              <w:jc w:val="right"/>
            </w:pPr>
            <w:r w:rsidRPr="0039175E">
              <w:rPr>
                <w:color w:val="000000"/>
                <w14:textOutline w14:w="0" w14:cap="flat" w14:cmpd="sng" w14:algn="ctr">
                  <w14:noFill/>
                  <w14:prstDash w14:val="solid"/>
                  <w14:bevel/>
                </w14:textOutline>
              </w:rPr>
              <w:t>$2,500</w:t>
            </w:r>
          </w:p>
        </w:tc>
      </w:tr>
      <w:tr w:rsidR="001C54EE" w:rsidRPr="0039175E" w14:paraId="5ECDD84A" w14:textId="77777777">
        <w:trPr>
          <w:trHeight w:val="380"/>
        </w:trPr>
        <w:tc>
          <w:tcPr>
            <w:tcW w:w="318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88BCA1F" w14:textId="77777777" w:rsidR="001C54EE" w:rsidRPr="0039175E" w:rsidRDefault="00000000">
            <w:pPr>
              <w:pStyle w:val="TableStyle2"/>
              <w:suppressAutoHyphens/>
            </w:pPr>
            <w:r w:rsidRPr="0039175E">
              <w:rPr>
                <w:sz w:val="24"/>
                <w:szCs w:val="24"/>
              </w:rPr>
              <w:t>Technical Assistance</w:t>
            </w:r>
          </w:p>
        </w:tc>
        <w:tc>
          <w:tcPr>
            <w:tcW w:w="380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5D5C9CD" w14:textId="77777777" w:rsidR="001C54EE" w:rsidRPr="0039175E" w:rsidRDefault="00000000">
            <w:pPr>
              <w:pStyle w:val="TableStyle2"/>
              <w:suppressAutoHyphens/>
            </w:pPr>
            <w:r w:rsidRPr="0039175E">
              <w:rPr>
                <w:sz w:val="24"/>
                <w:szCs w:val="24"/>
              </w:rPr>
              <w:t>N/A</w:t>
            </w:r>
          </w:p>
        </w:tc>
        <w:tc>
          <w:tcPr>
            <w:tcW w:w="380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5AB7C56" w14:textId="77777777" w:rsidR="001C54EE" w:rsidRPr="0039175E" w:rsidRDefault="00000000">
            <w:pPr>
              <w:suppressAutoHyphens/>
              <w:jc w:val="right"/>
            </w:pPr>
            <w:r w:rsidRPr="0039175E">
              <w:rPr>
                <w:color w:val="000000"/>
                <w14:textOutline w14:w="0" w14:cap="flat" w14:cmpd="sng" w14:algn="ctr">
                  <w14:noFill/>
                  <w14:prstDash w14:val="solid"/>
                  <w14:bevel/>
                </w14:textOutline>
              </w:rPr>
              <w:t>$1,200</w:t>
            </w:r>
          </w:p>
        </w:tc>
      </w:tr>
      <w:tr w:rsidR="001C54EE" w:rsidRPr="0039175E" w14:paraId="38E7B3C0" w14:textId="77777777">
        <w:trPr>
          <w:trHeight w:val="380"/>
        </w:trPr>
        <w:tc>
          <w:tcPr>
            <w:tcW w:w="318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9EF820D" w14:textId="77777777" w:rsidR="001C54EE" w:rsidRPr="0039175E" w:rsidRDefault="00000000">
            <w:pPr>
              <w:pStyle w:val="TableStyle2"/>
              <w:suppressAutoHyphens/>
            </w:pPr>
            <w:r w:rsidRPr="0039175E">
              <w:rPr>
                <w:sz w:val="24"/>
                <w:szCs w:val="24"/>
              </w:rPr>
              <w:t>Legal Support Services</w:t>
            </w:r>
          </w:p>
        </w:tc>
        <w:tc>
          <w:tcPr>
            <w:tcW w:w="380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45CE72B" w14:textId="77777777" w:rsidR="001C54EE" w:rsidRPr="0039175E" w:rsidRDefault="00000000">
            <w:pPr>
              <w:suppressAutoHyphens/>
              <w:jc w:val="right"/>
            </w:pPr>
            <w:r w:rsidRPr="0039175E">
              <w:rPr>
                <w:color w:val="000000"/>
                <w14:textOutline w14:w="0" w14:cap="flat" w14:cmpd="sng" w14:algn="ctr">
                  <w14:noFill/>
                  <w14:prstDash w14:val="solid"/>
                  <w14:bevel/>
                </w14:textOutline>
              </w:rPr>
              <w:t>$2,000</w:t>
            </w:r>
          </w:p>
        </w:tc>
        <w:tc>
          <w:tcPr>
            <w:tcW w:w="380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B1D2A2C" w14:textId="77777777" w:rsidR="001C54EE" w:rsidRPr="0039175E" w:rsidRDefault="00000000">
            <w:pPr>
              <w:suppressAutoHyphens/>
              <w:jc w:val="right"/>
            </w:pPr>
            <w:r w:rsidRPr="0039175E">
              <w:rPr>
                <w:color w:val="000000"/>
                <w14:textOutline w14:w="0" w14:cap="flat" w14:cmpd="sng" w14:algn="ctr">
                  <w14:noFill/>
                  <w14:prstDash w14:val="solid"/>
                  <w14:bevel/>
                </w14:textOutline>
              </w:rPr>
              <w:t>$3,500</w:t>
            </w:r>
          </w:p>
        </w:tc>
      </w:tr>
      <w:tr w:rsidR="001C54EE" w:rsidRPr="0039175E" w14:paraId="74172BAA" w14:textId="77777777">
        <w:trPr>
          <w:trHeight w:val="380"/>
        </w:trPr>
        <w:tc>
          <w:tcPr>
            <w:tcW w:w="318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BE79774" w14:textId="77777777" w:rsidR="001C54EE" w:rsidRPr="0039175E" w:rsidRDefault="00000000">
            <w:pPr>
              <w:pStyle w:val="TableStyle2"/>
              <w:suppressAutoHyphens/>
            </w:pPr>
            <w:r w:rsidRPr="0039175E">
              <w:rPr>
                <w:sz w:val="24"/>
                <w:szCs w:val="24"/>
              </w:rPr>
              <w:t>Administrative Overhead</w:t>
            </w:r>
          </w:p>
        </w:tc>
        <w:tc>
          <w:tcPr>
            <w:tcW w:w="380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EAA1AA6" w14:textId="77777777" w:rsidR="001C54EE" w:rsidRPr="0039175E" w:rsidRDefault="00000000">
            <w:pPr>
              <w:suppressAutoHyphens/>
              <w:jc w:val="right"/>
            </w:pPr>
            <w:r w:rsidRPr="0039175E">
              <w:rPr>
                <w:color w:val="000000"/>
                <w14:textOutline w14:w="0" w14:cap="flat" w14:cmpd="sng" w14:algn="ctr">
                  <w14:noFill/>
                  <w14:prstDash w14:val="solid"/>
                  <w14:bevel/>
                </w14:textOutline>
              </w:rPr>
              <w:t>$1,800</w:t>
            </w:r>
          </w:p>
        </w:tc>
        <w:tc>
          <w:tcPr>
            <w:tcW w:w="380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ECD4686" w14:textId="77777777" w:rsidR="001C54EE" w:rsidRPr="0039175E" w:rsidRDefault="00000000">
            <w:pPr>
              <w:suppressAutoHyphens/>
              <w:jc w:val="right"/>
            </w:pPr>
            <w:r w:rsidRPr="0039175E">
              <w:rPr>
                <w:color w:val="000000"/>
                <w14:textOutline w14:w="0" w14:cap="flat" w14:cmpd="sng" w14:algn="ctr">
                  <w14:noFill/>
                  <w14:prstDash w14:val="solid"/>
                  <w14:bevel/>
                </w14:textOutline>
              </w:rPr>
              <w:t>$1,200</w:t>
            </w:r>
          </w:p>
        </w:tc>
      </w:tr>
      <w:tr w:rsidR="001C54EE" w:rsidRPr="0039175E" w14:paraId="371BD5B2" w14:textId="77777777">
        <w:trPr>
          <w:trHeight w:val="380"/>
        </w:trPr>
        <w:tc>
          <w:tcPr>
            <w:tcW w:w="318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7F3004F" w14:textId="77777777" w:rsidR="001C54EE" w:rsidRPr="0039175E" w:rsidRDefault="00000000">
            <w:pPr>
              <w:pStyle w:val="TableStyle2"/>
              <w:suppressAutoHyphens/>
            </w:pPr>
            <w:r w:rsidRPr="0039175E">
              <w:rPr>
                <w:b/>
                <w:bCs/>
                <w:sz w:val="24"/>
                <w:szCs w:val="24"/>
              </w:rPr>
              <w:t>Total Annual Public Cost</w:t>
            </w:r>
          </w:p>
        </w:tc>
        <w:tc>
          <w:tcPr>
            <w:tcW w:w="380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05FB197" w14:textId="77777777" w:rsidR="001C54EE" w:rsidRPr="0039175E" w:rsidRDefault="00000000">
            <w:pPr>
              <w:suppressAutoHyphens/>
              <w:jc w:val="right"/>
            </w:pPr>
            <w:r w:rsidRPr="0039175E">
              <w:rPr>
                <w:b/>
                <w:bCs/>
                <w:color w:val="000000"/>
                <w14:textOutline w14:w="0" w14:cap="flat" w14:cmpd="sng" w14:algn="ctr">
                  <w14:noFill/>
                  <w14:prstDash w14:val="solid"/>
                  <w14:bevel/>
                </w14:textOutline>
              </w:rPr>
              <w:t>$32,800</w:t>
            </w:r>
          </w:p>
        </w:tc>
        <w:tc>
          <w:tcPr>
            <w:tcW w:w="380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22CADFE" w14:textId="77777777" w:rsidR="001C54EE" w:rsidRPr="0039175E" w:rsidRDefault="00000000">
            <w:pPr>
              <w:suppressAutoHyphens/>
              <w:jc w:val="right"/>
            </w:pPr>
            <w:r w:rsidRPr="0039175E">
              <w:rPr>
                <w:b/>
                <w:bCs/>
                <w:color w:val="000000"/>
                <w14:textOutline w14:w="0" w14:cap="flat" w14:cmpd="sng" w14:algn="ctr">
                  <w14:noFill/>
                  <w14:prstDash w14:val="solid"/>
                  <w14:bevel/>
                </w14:textOutline>
              </w:rPr>
              <w:t>$26,200</w:t>
            </w:r>
          </w:p>
        </w:tc>
      </w:tr>
    </w:tbl>
    <w:p w14:paraId="41E1EF72" w14:textId="77777777" w:rsidR="001C54EE" w:rsidRPr="0039175E" w:rsidRDefault="001C54EE">
      <w:pPr>
        <w:pStyle w:val="Default"/>
        <w:suppressAutoHyphens/>
        <w:spacing w:before="0" w:after="240" w:line="240" w:lineRule="auto"/>
        <w:rPr>
          <w:rFonts w:eastAsia="Times Roman" w:cs="Times New Roman"/>
          <w:i/>
          <w:iCs/>
          <w:sz w:val="24"/>
          <w:szCs w:val="24"/>
        </w:rPr>
      </w:pPr>
    </w:p>
    <w:p w14:paraId="13ABC3D4"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i/>
          <w:iCs/>
          <w:sz w:val="24"/>
          <w:szCs w:val="24"/>
        </w:rPr>
        <w:lastRenderedPageBreak/>
        <w:t xml:space="preserve">Projected savings per converted unit over five years: $32,800 </w:t>
      </w:r>
      <w:r w:rsidRPr="0039175E">
        <w:rPr>
          <w:rFonts w:cs="Times New Roman"/>
          <w:sz w:val="24"/>
          <w:szCs w:val="24"/>
        </w:rPr>
        <w:t>→</w:t>
      </w:r>
      <w:r w:rsidRPr="0039175E">
        <w:rPr>
          <w:rFonts w:cs="Times New Roman"/>
          <w:i/>
          <w:iCs/>
          <w:sz w:val="24"/>
          <w:szCs w:val="24"/>
        </w:rPr>
        <w:t xml:space="preserve"> $131,000</w:t>
      </w:r>
    </w:p>
    <w:p w14:paraId="3F846692" w14:textId="77777777" w:rsidR="001C54EE" w:rsidRPr="0039175E" w:rsidRDefault="00000000">
      <w:pPr>
        <w:pStyle w:val="Default"/>
        <w:suppressAutoHyphens/>
        <w:spacing w:before="0" w:after="281" w:line="240" w:lineRule="auto"/>
        <w:rPr>
          <w:rFonts w:eastAsia="Times Roman" w:cs="Times New Roman"/>
          <w:b/>
          <w:bCs/>
          <w:sz w:val="28"/>
          <w:szCs w:val="28"/>
        </w:rPr>
      </w:pPr>
      <w:r w:rsidRPr="0039175E">
        <w:rPr>
          <w:rFonts w:cs="Times New Roman"/>
          <w:b/>
          <w:bCs/>
          <w:sz w:val="28"/>
          <w:szCs w:val="28"/>
        </w:rPr>
        <w:t>A.2. Unit-Level Cost Breakdown (TCAP Pilot Model)</w:t>
      </w:r>
    </w:p>
    <w:tbl>
      <w:tblPr>
        <w:tblW w:w="570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832"/>
        <w:gridCol w:w="1873"/>
      </w:tblGrid>
      <w:tr w:rsidR="001C54EE" w:rsidRPr="0039175E" w14:paraId="5687B783" w14:textId="77777777">
        <w:trPr>
          <w:trHeight w:val="567"/>
        </w:trPr>
        <w:tc>
          <w:tcPr>
            <w:tcW w:w="383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55FBE9D" w14:textId="77777777" w:rsidR="001C54EE" w:rsidRPr="0039175E" w:rsidRDefault="00000000">
            <w:pPr>
              <w:pStyle w:val="TableStyle2"/>
              <w:suppressAutoHyphens/>
            </w:pPr>
            <w:r w:rsidRPr="0039175E">
              <w:rPr>
                <w:sz w:val="24"/>
                <w:szCs w:val="24"/>
              </w:rPr>
              <w:t>Item</w:t>
            </w:r>
          </w:p>
        </w:tc>
        <w:tc>
          <w:tcPr>
            <w:tcW w:w="187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5206320" w14:textId="77777777" w:rsidR="001C54EE" w:rsidRPr="0039175E" w:rsidRDefault="00000000">
            <w:pPr>
              <w:pStyle w:val="TableStyle2"/>
              <w:suppressAutoHyphens/>
            </w:pPr>
            <w:r w:rsidRPr="0039175E">
              <w:rPr>
                <w:sz w:val="24"/>
                <w:szCs w:val="24"/>
              </w:rPr>
              <w:t>Amount (Per Unit)</w:t>
            </w:r>
          </w:p>
        </w:tc>
      </w:tr>
      <w:tr w:rsidR="001C54EE" w:rsidRPr="0039175E" w14:paraId="29C25B20" w14:textId="77777777">
        <w:trPr>
          <w:trHeight w:val="567"/>
        </w:trPr>
        <w:tc>
          <w:tcPr>
            <w:tcW w:w="383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F980438" w14:textId="77777777" w:rsidR="001C54EE" w:rsidRPr="0039175E" w:rsidRDefault="00000000">
            <w:pPr>
              <w:pStyle w:val="TableStyle2"/>
              <w:suppressAutoHyphens/>
            </w:pPr>
            <w:r w:rsidRPr="0039175E">
              <w:rPr>
                <w:sz w:val="24"/>
                <w:szCs w:val="24"/>
              </w:rPr>
              <w:t>Down Payment via Redirected Subsidy</w:t>
            </w:r>
          </w:p>
        </w:tc>
        <w:tc>
          <w:tcPr>
            <w:tcW w:w="187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5E693D5" w14:textId="77777777" w:rsidR="001C54EE" w:rsidRPr="0039175E" w:rsidRDefault="00000000">
            <w:pPr>
              <w:suppressAutoHyphens/>
              <w:jc w:val="right"/>
            </w:pPr>
            <w:r w:rsidRPr="0039175E">
              <w:rPr>
                <w:color w:val="000000"/>
                <w14:textOutline w14:w="0" w14:cap="flat" w14:cmpd="sng" w14:algn="ctr">
                  <w14:noFill/>
                  <w14:prstDash w14:val="solid"/>
                  <w14:bevel/>
                </w14:textOutline>
              </w:rPr>
              <w:t>$20,000</w:t>
            </w:r>
          </w:p>
        </w:tc>
      </w:tr>
      <w:tr w:rsidR="001C54EE" w:rsidRPr="0039175E" w14:paraId="6A8E6184" w14:textId="77777777">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02EA123" w14:textId="77777777" w:rsidR="001C54EE" w:rsidRPr="0039175E" w:rsidRDefault="00000000">
            <w:pPr>
              <w:pStyle w:val="TableStyle2"/>
              <w:suppressAutoHyphens/>
            </w:pPr>
            <w:r w:rsidRPr="0039175E">
              <w:rPr>
                <w:sz w:val="24"/>
                <w:szCs w:val="24"/>
              </w:rPr>
              <w:t>Repairs and Capital Reserve</w:t>
            </w:r>
          </w:p>
        </w:tc>
        <w:tc>
          <w:tcPr>
            <w:tcW w:w="187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7E86C45" w14:textId="77777777" w:rsidR="001C54EE" w:rsidRPr="0039175E" w:rsidRDefault="00000000">
            <w:pPr>
              <w:suppressAutoHyphens/>
              <w:jc w:val="right"/>
            </w:pPr>
            <w:r w:rsidRPr="0039175E">
              <w:rPr>
                <w:color w:val="000000"/>
                <w14:textOutline w14:w="0" w14:cap="flat" w14:cmpd="sng" w14:algn="ctr">
                  <w14:noFill/>
                  <w14:prstDash w14:val="solid"/>
                  <w14:bevel/>
                </w14:textOutline>
              </w:rPr>
              <w:t>$12,500</w:t>
            </w:r>
          </w:p>
        </w:tc>
      </w:tr>
      <w:tr w:rsidR="001C54EE" w:rsidRPr="0039175E" w14:paraId="5DF2FD62" w14:textId="77777777">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33FE59C" w14:textId="77777777" w:rsidR="001C54EE" w:rsidRPr="0039175E" w:rsidRDefault="00000000">
            <w:pPr>
              <w:pStyle w:val="TableStyle2"/>
              <w:suppressAutoHyphens/>
            </w:pPr>
            <w:r w:rsidRPr="0039175E">
              <w:rPr>
                <w:sz w:val="24"/>
                <w:szCs w:val="24"/>
              </w:rPr>
              <w:t>Legal/Title Transfer Costs</w:t>
            </w:r>
          </w:p>
        </w:tc>
        <w:tc>
          <w:tcPr>
            <w:tcW w:w="187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55877A5" w14:textId="77777777" w:rsidR="001C54EE" w:rsidRPr="0039175E" w:rsidRDefault="00000000">
            <w:pPr>
              <w:suppressAutoHyphens/>
              <w:jc w:val="right"/>
            </w:pPr>
            <w:r w:rsidRPr="0039175E">
              <w:rPr>
                <w:color w:val="000000"/>
                <w14:textOutline w14:w="0" w14:cap="flat" w14:cmpd="sng" w14:algn="ctr">
                  <w14:noFill/>
                  <w14:prstDash w14:val="solid"/>
                  <w14:bevel/>
                </w14:textOutline>
              </w:rPr>
              <w:t>$5,000</w:t>
            </w:r>
          </w:p>
        </w:tc>
      </w:tr>
      <w:tr w:rsidR="001C54EE" w:rsidRPr="0039175E" w14:paraId="1E00CD85" w14:textId="77777777">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DEF8FF6" w14:textId="77777777" w:rsidR="001C54EE" w:rsidRPr="0039175E" w:rsidRDefault="00000000">
            <w:pPr>
              <w:pStyle w:val="TableStyle2"/>
              <w:suppressAutoHyphens/>
            </w:pPr>
            <w:r w:rsidRPr="0039175E">
              <w:rPr>
                <w:sz w:val="24"/>
                <w:szCs w:val="24"/>
              </w:rPr>
              <w:t>Technical Assistance (Year 1–2)</w:t>
            </w:r>
          </w:p>
        </w:tc>
        <w:tc>
          <w:tcPr>
            <w:tcW w:w="187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A72B7C4" w14:textId="77777777" w:rsidR="001C54EE" w:rsidRPr="0039175E" w:rsidRDefault="00000000">
            <w:pPr>
              <w:suppressAutoHyphens/>
              <w:jc w:val="right"/>
            </w:pPr>
            <w:r w:rsidRPr="0039175E">
              <w:rPr>
                <w:color w:val="000000"/>
                <w14:textOutline w14:w="0" w14:cap="flat" w14:cmpd="sng" w14:algn="ctr">
                  <w14:noFill/>
                  <w14:prstDash w14:val="solid"/>
                  <w14:bevel/>
                </w14:textOutline>
              </w:rPr>
              <w:t>$3,000</w:t>
            </w:r>
          </w:p>
        </w:tc>
      </w:tr>
      <w:tr w:rsidR="001C54EE" w:rsidRPr="0039175E" w14:paraId="318B46A6" w14:textId="77777777">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FD92FC6" w14:textId="77777777" w:rsidR="001C54EE" w:rsidRPr="0039175E" w:rsidRDefault="00000000">
            <w:pPr>
              <w:pStyle w:val="TableStyle2"/>
              <w:suppressAutoHyphens/>
            </w:pPr>
            <w:r w:rsidRPr="0039175E">
              <w:rPr>
                <w:sz w:val="24"/>
                <w:szCs w:val="24"/>
              </w:rPr>
              <w:t>Co-op Governance Training</w:t>
            </w:r>
          </w:p>
        </w:tc>
        <w:tc>
          <w:tcPr>
            <w:tcW w:w="187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A0A8B34" w14:textId="77777777" w:rsidR="001C54EE" w:rsidRPr="0039175E" w:rsidRDefault="00000000">
            <w:pPr>
              <w:suppressAutoHyphens/>
              <w:jc w:val="right"/>
            </w:pPr>
            <w:r w:rsidRPr="0039175E">
              <w:rPr>
                <w:color w:val="000000"/>
                <w14:textOutline w14:w="0" w14:cap="flat" w14:cmpd="sng" w14:algn="ctr">
                  <w14:noFill/>
                  <w14:prstDash w14:val="solid"/>
                  <w14:bevel/>
                </w14:textOutline>
              </w:rPr>
              <w:t>$2,500</w:t>
            </w:r>
          </w:p>
        </w:tc>
      </w:tr>
      <w:tr w:rsidR="001C54EE" w:rsidRPr="0039175E" w14:paraId="39DA04BE" w14:textId="77777777">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7221257" w14:textId="77777777" w:rsidR="001C54EE" w:rsidRPr="0039175E" w:rsidRDefault="00000000">
            <w:pPr>
              <w:pStyle w:val="TableStyle2"/>
              <w:suppressAutoHyphens/>
            </w:pPr>
            <w:r w:rsidRPr="0039175E">
              <w:rPr>
                <w:b/>
                <w:bCs/>
                <w:sz w:val="24"/>
                <w:szCs w:val="24"/>
              </w:rPr>
              <w:t>Total Cost Per Unit (One-Time)</w:t>
            </w:r>
          </w:p>
        </w:tc>
        <w:tc>
          <w:tcPr>
            <w:tcW w:w="187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1266AC0" w14:textId="77777777" w:rsidR="001C54EE" w:rsidRPr="0039175E" w:rsidRDefault="00000000">
            <w:pPr>
              <w:suppressAutoHyphens/>
              <w:jc w:val="right"/>
            </w:pPr>
            <w:r w:rsidRPr="0039175E">
              <w:rPr>
                <w:b/>
                <w:bCs/>
                <w:color w:val="000000"/>
                <w14:textOutline w14:w="0" w14:cap="flat" w14:cmpd="sng" w14:algn="ctr">
                  <w14:noFill/>
                  <w14:prstDash w14:val="solid"/>
                  <w14:bevel/>
                </w14:textOutline>
              </w:rPr>
              <w:t>$43,000</w:t>
            </w:r>
          </w:p>
        </w:tc>
      </w:tr>
    </w:tbl>
    <w:p w14:paraId="7BF4C151" w14:textId="77777777" w:rsidR="001C54EE" w:rsidRPr="0039175E" w:rsidRDefault="001C54EE">
      <w:pPr>
        <w:pStyle w:val="Default"/>
        <w:suppressAutoHyphens/>
        <w:spacing w:before="0" w:after="240" w:line="240" w:lineRule="auto"/>
        <w:rPr>
          <w:rFonts w:eastAsia="Times Roman" w:cs="Times New Roman"/>
          <w:i/>
          <w:iCs/>
          <w:sz w:val="24"/>
          <w:szCs w:val="24"/>
        </w:rPr>
      </w:pPr>
    </w:p>
    <w:p w14:paraId="77A932FD"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i/>
          <w:iCs/>
          <w:sz w:val="24"/>
          <w:szCs w:val="24"/>
        </w:rPr>
        <w:t>Compared to current average shelter expenditure of over $62,000 per family/year.</w:t>
      </w:r>
    </w:p>
    <w:p w14:paraId="311609C6" w14:textId="77777777" w:rsidR="001C54EE" w:rsidRPr="0039175E" w:rsidRDefault="00000000">
      <w:pPr>
        <w:pStyle w:val="Default"/>
        <w:suppressAutoHyphens/>
        <w:spacing w:before="0" w:after="281" w:line="240" w:lineRule="auto"/>
        <w:rPr>
          <w:rFonts w:eastAsia="Times Roman" w:cs="Times New Roman"/>
          <w:b/>
          <w:bCs/>
          <w:sz w:val="28"/>
          <w:szCs w:val="28"/>
        </w:rPr>
      </w:pPr>
      <w:r w:rsidRPr="0039175E">
        <w:rPr>
          <w:rFonts w:cs="Times New Roman"/>
          <w:b/>
          <w:bCs/>
          <w:sz w:val="28"/>
          <w:szCs w:val="28"/>
        </w:rPr>
        <w:t>A.3. Return on Investment Projections (Selected Pilot Scenarios)</w:t>
      </w:r>
    </w:p>
    <w:p w14:paraId="3581C021" w14:textId="77777777" w:rsidR="001C54EE" w:rsidRPr="0039175E" w:rsidRDefault="00000000">
      <w:pPr>
        <w:pStyle w:val="Default"/>
        <w:numPr>
          <w:ilvl w:val="0"/>
          <w:numId w:val="11"/>
        </w:numPr>
        <w:suppressAutoHyphens/>
        <w:spacing w:before="0" w:after="240" w:line="240" w:lineRule="auto"/>
        <w:rPr>
          <w:rFonts w:cs="Times New Roman"/>
          <w:b/>
          <w:bCs/>
          <w:sz w:val="24"/>
          <w:szCs w:val="24"/>
          <w:lang w:val="it-IT"/>
        </w:rPr>
      </w:pPr>
      <w:r w:rsidRPr="0039175E">
        <w:rPr>
          <w:rFonts w:cs="Times New Roman"/>
          <w:b/>
          <w:bCs/>
          <w:sz w:val="24"/>
          <w:szCs w:val="24"/>
          <w:lang w:val="it-IT"/>
        </w:rPr>
        <w:t xml:space="preserve">Scenario A </w:t>
      </w:r>
      <w:r w:rsidRPr="0039175E">
        <w:rPr>
          <w:rFonts w:cs="Times New Roman"/>
          <w:b/>
          <w:bCs/>
          <w:sz w:val="24"/>
          <w:szCs w:val="24"/>
        </w:rPr>
        <w:t>– 24-Unit Building in Bronx CD 6</w:t>
      </w:r>
    </w:p>
    <w:p w14:paraId="4DB48B9A" w14:textId="77777777" w:rsidR="001C54EE" w:rsidRPr="0039175E" w:rsidRDefault="00000000">
      <w:pPr>
        <w:pStyle w:val="Default"/>
        <w:numPr>
          <w:ilvl w:val="1"/>
          <w:numId w:val="11"/>
        </w:numPr>
        <w:suppressAutoHyphens/>
        <w:spacing w:before="0" w:after="240" w:line="240" w:lineRule="auto"/>
        <w:rPr>
          <w:rFonts w:cs="Times New Roman"/>
          <w:sz w:val="24"/>
          <w:szCs w:val="24"/>
        </w:rPr>
      </w:pPr>
      <w:r w:rsidRPr="0039175E">
        <w:rPr>
          <w:rFonts w:cs="Times New Roman"/>
          <w:sz w:val="24"/>
          <w:szCs w:val="24"/>
        </w:rPr>
        <w:t>Total conversion cost: $1.03M</w:t>
      </w:r>
    </w:p>
    <w:p w14:paraId="225C7614" w14:textId="77777777" w:rsidR="001C54EE" w:rsidRPr="0039175E" w:rsidRDefault="00000000">
      <w:pPr>
        <w:pStyle w:val="Default"/>
        <w:numPr>
          <w:ilvl w:val="1"/>
          <w:numId w:val="11"/>
        </w:numPr>
        <w:suppressAutoHyphens/>
        <w:spacing w:before="0" w:after="240" w:line="240" w:lineRule="auto"/>
        <w:rPr>
          <w:rFonts w:cs="Times New Roman"/>
          <w:sz w:val="24"/>
          <w:szCs w:val="24"/>
        </w:rPr>
      </w:pPr>
      <w:r w:rsidRPr="0039175E">
        <w:rPr>
          <w:rFonts w:cs="Times New Roman"/>
          <w:sz w:val="24"/>
          <w:szCs w:val="24"/>
        </w:rPr>
        <w:t>Public savings over 5 years (subsidy + RTC + shelter): $1.5M</w:t>
      </w:r>
    </w:p>
    <w:p w14:paraId="502A9CA8" w14:textId="77777777" w:rsidR="001C54EE" w:rsidRPr="0039175E" w:rsidRDefault="00000000">
      <w:pPr>
        <w:pStyle w:val="Default"/>
        <w:numPr>
          <w:ilvl w:val="1"/>
          <w:numId w:val="11"/>
        </w:numPr>
        <w:suppressAutoHyphens/>
        <w:spacing w:before="0" w:after="240" w:line="240" w:lineRule="auto"/>
        <w:rPr>
          <w:rFonts w:cs="Times New Roman"/>
          <w:sz w:val="24"/>
          <w:szCs w:val="24"/>
        </w:rPr>
      </w:pPr>
      <w:r w:rsidRPr="0039175E">
        <w:rPr>
          <w:rFonts w:cs="Times New Roman"/>
          <w:sz w:val="24"/>
          <w:szCs w:val="24"/>
        </w:rPr>
        <w:t>Break-even point: 3.4 years</w:t>
      </w:r>
    </w:p>
    <w:p w14:paraId="0DC8A623" w14:textId="77777777" w:rsidR="001C54EE" w:rsidRPr="0039175E" w:rsidRDefault="00000000">
      <w:pPr>
        <w:pStyle w:val="Default"/>
        <w:numPr>
          <w:ilvl w:val="0"/>
          <w:numId w:val="11"/>
        </w:numPr>
        <w:suppressAutoHyphens/>
        <w:spacing w:before="0" w:after="240" w:line="240" w:lineRule="auto"/>
        <w:rPr>
          <w:rFonts w:cs="Times New Roman"/>
          <w:b/>
          <w:bCs/>
          <w:sz w:val="24"/>
          <w:szCs w:val="24"/>
          <w:lang w:val="it-IT"/>
        </w:rPr>
      </w:pPr>
      <w:r w:rsidRPr="0039175E">
        <w:rPr>
          <w:rFonts w:cs="Times New Roman"/>
          <w:b/>
          <w:bCs/>
          <w:sz w:val="24"/>
          <w:szCs w:val="24"/>
          <w:lang w:val="it-IT"/>
        </w:rPr>
        <w:t xml:space="preserve">Scenario B </w:t>
      </w:r>
      <w:r w:rsidRPr="0039175E">
        <w:rPr>
          <w:rFonts w:cs="Times New Roman"/>
          <w:b/>
          <w:bCs/>
          <w:sz w:val="24"/>
          <w:szCs w:val="24"/>
        </w:rPr>
        <w:t>– 42-Unit Building in Brooklyn CD 33</w:t>
      </w:r>
    </w:p>
    <w:p w14:paraId="659A3CAB" w14:textId="77777777" w:rsidR="001C54EE" w:rsidRPr="0039175E" w:rsidRDefault="00000000">
      <w:pPr>
        <w:pStyle w:val="Default"/>
        <w:numPr>
          <w:ilvl w:val="1"/>
          <w:numId w:val="11"/>
        </w:numPr>
        <w:suppressAutoHyphens/>
        <w:spacing w:before="0" w:after="240" w:line="240" w:lineRule="auto"/>
        <w:rPr>
          <w:rFonts w:cs="Times New Roman"/>
          <w:sz w:val="24"/>
          <w:szCs w:val="24"/>
        </w:rPr>
      </w:pPr>
      <w:r w:rsidRPr="0039175E">
        <w:rPr>
          <w:rFonts w:cs="Times New Roman"/>
          <w:sz w:val="24"/>
          <w:szCs w:val="24"/>
        </w:rPr>
        <w:t>Total conversion cost: $1.98M</w:t>
      </w:r>
    </w:p>
    <w:p w14:paraId="69164F8C" w14:textId="77777777" w:rsidR="001C54EE" w:rsidRPr="0039175E" w:rsidRDefault="00000000">
      <w:pPr>
        <w:pStyle w:val="Default"/>
        <w:numPr>
          <w:ilvl w:val="1"/>
          <w:numId w:val="11"/>
        </w:numPr>
        <w:suppressAutoHyphens/>
        <w:spacing w:before="0" w:after="240" w:line="240" w:lineRule="auto"/>
        <w:rPr>
          <w:rFonts w:cs="Times New Roman"/>
          <w:sz w:val="24"/>
          <w:szCs w:val="24"/>
        </w:rPr>
      </w:pPr>
      <w:r w:rsidRPr="0039175E">
        <w:rPr>
          <w:rFonts w:cs="Times New Roman"/>
          <w:sz w:val="24"/>
          <w:szCs w:val="24"/>
        </w:rPr>
        <w:t>Savings: $2.9M</w:t>
      </w:r>
    </w:p>
    <w:p w14:paraId="17F6AF7D" w14:textId="77777777" w:rsidR="001C54EE" w:rsidRPr="0039175E" w:rsidRDefault="00000000">
      <w:pPr>
        <w:pStyle w:val="Default"/>
        <w:numPr>
          <w:ilvl w:val="1"/>
          <w:numId w:val="11"/>
        </w:numPr>
        <w:suppressAutoHyphens/>
        <w:spacing w:before="0" w:after="240" w:line="240" w:lineRule="auto"/>
        <w:rPr>
          <w:rFonts w:cs="Times New Roman"/>
          <w:sz w:val="24"/>
          <w:szCs w:val="24"/>
        </w:rPr>
      </w:pPr>
      <w:r w:rsidRPr="0039175E">
        <w:rPr>
          <w:rFonts w:cs="Times New Roman"/>
          <w:sz w:val="24"/>
          <w:szCs w:val="24"/>
        </w:rPr>
        <w:t>Break-even point: 2.9 years</w:t>
      </w:r>
    </w:p>
    <w:p w14:paraId="6DB70B06" w14:textId="77777777" w:rsidR="001C54EE" w:rsidRPr="0039175E" w:rsidRDefault="00000000">
      <w:pPr>
        <w:pStyle w:val="Default"/>
        <w:numPr>
          <w:ilvl w:val="0"/>
          <w:numId w:val="11"/>
        </w:numPr>
        <w:suppressAutoHyphens/>
        <w:spacing w:before="0" w:after="240" w:line="240" w:lineRule="auto"/>
        <w:rPr>
          <w:rFonts w:cs="Times New Roman"/>
          <w:b/>
          <w:bCs/>
          <w:sz w:val="24"/>
          <w:szCs w:val="24"/>
          <w:lang w:val="it-IT"/>
        </w:rPr>
      </w:pPr>
      <w:r w:rsidRPr="0039175E">
        <w:rPr>
          <w:rFonts w:cs="Times New Roman"/>
          <w:b/>
          <w:bCs/>
          <w:sz w:val="24"/>
          <w:szCs w:val="24"/>
          <w:lang w:val="it-IT"/>
        </w:rPr>
        <w:t xml:space="preserve">Scenario C </w:t>
      </w:r>
      <w:r w:rsidRPr="0039175E">
        <w:rPr>
          <w:rFonts w:cs="Times New Roman"/>
          <w:b/>
          <w:bCs/>
          <w:sz w:val="24"/>
          <w:szCs w:val="24"/>
        </w:rPr>
        <w:t>– 18-Unit HDFC Rescue in Upper Manhattan</w:t>
      </w:r>
    </w:p>
    <w:p w14:paraId="222EE35C" w14:textId="77777777" w:rsidR="001C54EE" w:rsidRPr="0039175E" w:rsidRDefault="00000000">
      <w:pPr>
        <w:pStyle w:val="Default"/>
        <w:numPr>
          <w:ilvl w:val="1"/>
          <w:numId w:val="11"/>
        </w:numPr>
        <w:suppressAutoHyphens/>
        <w:spacing w:before="0" w:after="240" w:line="240" w:lineRule="auto"/>
        <w:rPr>
          <w:rFonts w:cs="Times New Roman"/>
          <w:sz w:val="24"/>
          <w:szCs w:val="24"/>
        </w:rPr>
      </w:pPr>
      <w:r w:rsidRPr="0039175E">
        <w:rPr>
          <w:rFonts w:cs="Times New Roman"/>
          <w:sz w:val="24"/>
          <w:szCs w:val="24"/>
        </w:rPr>
        <w:t>Cost: $875K</w:t>
      </w:r>
    </w:p>
    <w:p w14:paraId="7BD515C3" w14:textId="77777777" w:rsidR="001C54EE" w:rsidRPr="0039175E" w:rsidRDefault="00000000">
      <w:pPr>
        <w:pStyle w:val="Default"/>
        <w:numPr>
          <w:ilvl w:val="1"/>
          <w:numId w:val="11"/>
        </w:numPr>
        <w:suppressAutoHyphens/>
        <w:spacing w:before="0" w:after="240" w:line="240" w:lineRule="auto"/>
        <w:rPr>
          <w:rFonts w:cs="Times New Roman"/>
          <w:sz w:val="24"/>
          <w:szCs w:val="24"/>
        </w:rPr>
      </w:pPr>
      <w:r w:rsidRPr="0039175E">
        <w:rPr>
          <w:rFonts w:cs="Times New Roman"/>
          <w:sz w:val="24"/>
          <w:szCs w:val="24"/>
        </w:rPr>
        <w:t>Savings: $1.14M</w:t>
      </w:r>
    </w:p>
    <w:p w14:paraId="38B0D5C6" w14:textId="77777777" w:rsidR="001C54EE" w:rsidRPr="0039175E" w:rsidRDefault="00000000">
      <w:pPr>
        <w:pStyle w:val="Default"/>
        <w:numPr>
          <w:ilvl w:val="1"/>
          <w:numId w:val="11"/>
        </w:numPr>
        <w:suppressAutoHyphens/>
        <w:spacing w:before="0" w:after="240" w:line="240" w:lineRule="auto"/>
        <w:rPr>
          <w:rFonts w:cs="Times New Roman"/>
          <w:sz w:val="24"/>
          <w:szCs w:val="24"/>
        </w:rPr>
      </w:pPr>
      <w:r w:rsidRPr="0039175E">
        <w:rPr>
          <w:rFonts w:cs="Times New Roman"/>
          <w:sz w:val="24"/>
          <w:szCs w:val="24"/>
        </w:rPr>
        <w:t>Break-even: 3.1 years</w:t>
      </w:r>
    </w:p>
    <w:p w14:paraId="7305D109"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i/>
          <w:iCs/>
          <w:sz w:val="24"/>
          <w:szCs w:val="24"/>
        </w:rPr>
        <w:t>All projections include inflation indexing and 10% contingency for loan defaults.</w:t>
      </w:r>
    </w:p>
    <w:p w14:paraId="41314ABE" w14:textId="77777777" w:rsidR="001C54EE" w:rsidRPr="0039175E" w:rsidRDefault="00000000">
      <w:pPr>
        <w:pStyle w:val="Default"/>
        <w:suppressAutoHyphens/>
        <w:spacing w:before="0" w:after="299" w:line="240" w:lineRule="auto"/>
        <w:rPr>
          <w:rFonts w:eastAsia="Times Roman" w:cs="Times New Roman"/>
          <w:b/>
          <w:bCs/>
          <w:sz w:val="36"/>
          <w:szCs w:val="36"/>
        </w:rPr>
      </w:pPr>
      <w:proofErr w:type="spellStart"/>
      <w:r w:rsidRPr="0039175E">
        <w:rPr>
          <w:rFonts w:cs="Times New Roman"/>
          <w:b/>
          <w:bCs/>
          <w:sz w:val="36"/>
          <w:szCs w:val="36"/>
          <w:lang w:val="da-DK"/>
        </w:rPr>
        <w:lastRenderedPageBreak/>
        <w:t>Appendix</w:t>
      </w:r>
      <w:proofErr w:type="spellEnd"/>
      <w:r w:rsidRPr="0039175E">
        <w:rPr>
          <w:rFonts w:cs="Times New Roman"/>
          <w:b/>
          <w:bCs/>
          <w:sz w:val="36"/>
          <w:szCs w:val="36"/>
          <w:lang w:val="da-DK"/>
        </w:rPr>
        <w:t xml:space="preserve"> B </w:t>
      </w:r>
      <w:r w:rsidRPr="0039175E">
        <w:rPr>
          <w:rFonts w:cs="Times New Roman"/>
          <w:b/>
          <w:bCs/>
          <w:sz w:val="36"/>
          <w:szCs w:val="36"/>
        </w:rPr>
        <w:t>— Legal Texts &amp; Draft Legislation</w:t>
      </w:r>
    </w:p>
    <w:p w14:paraId="1B0D3A43"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sz w:val="24"/>
          <w:szCs w:val="24"/>
        </w:rPr>
        <w:t>This appendix includes core legislative texts required for TCAP implementation. Drafts are formatted for municipal, state, and interagency adoption, and reflect current New York City and New York State legal standards. All texts were developed in consultation with housing law scholars and reviewed against current HPD and HUD regulatory frameworks.</w:t>
      </w:r>
    </w:p>
    <w:p w14:paraId="6580CAA5" w14:textId="77777777" w:rsidR="001C54EE" w:rsidRPr="0039175E" w:rsidRDefault="00000000">
      <w:pPr>
        <w:pStyle w:val="Default"/>
        <w:suppressAutoHyphens/>
        <w:spacing w:before="0" w:after="281" w:line="240" w:lineRule="auto"/>
        <w:rPr>
          <w:rFonts w:eastAsia="Times Roman" w:cs="Times New Roman"/>
          <w:b/>
          <w:bCs/>
          <w:sz w:val="28"/>
          <w:szCs w:val="28"/>
        </w:rPr>
      </w:pPr>
      <w:r w:rsidRPr="0039175E">
        <w:rPr>
          <w:rFonts w:cs="Times New Roman"/>
          <w:b/>
          <w:bCs/>
          <w:sz w:val="28"/>
          <w:szCs w:val="28"/>
        </w:rPr>
        <w:t xml:space="preserve">B.1. Public Equity Transfer Framework (PETF) — </w:t>
      </w:r>
      <w:proofErr w:type="spellStart"/>
      <w:r w:rsidRPr="0039175E">
        <w:rPr>
          <w:rFonts w:cs="Times New Roman"/>
          <w:b/>
          <w:bCs/>
          <w:sz w:val="28"/>
          <w:szCs w:val="28"/>
          <w:lang w:val="de-DE"/>
        </w:rPr>
        <w:t>Draft</w:t>
      </w:r>
      <w:proofErr w:type="spellEnd"/>
      <w:r w:rsidRPr="0039175E">
        <w:rPr>
          <w:rFonts w:cs="Times New Roman"/>
          <w:b/>
          <w:bCs/>
          <w:sz w:val="28"/>
          <w:szCs w:val="28"/>
          <w:lang w:val="de-DE"/>
        </w:rPr>
        <w:t xml:space="preserve"> Statute</w:t>
      </w:r>
    </w:p>
    <w:p w14:paraId="18EAFF86"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rPr>
        <w:t>Summary:</w:t>
      </w:r>
      <w:r w:rsidRPr="0039175E">
        <w:rPr>
          <w:rFonts w:cs="Times New Roman"/>
          <w:sz w:val="24"/>
          <w:szCs w:val="24"/>
        </w:rPr>
        <w:t xml:space="preserve"> Establishes a legal mechanism for converting existing housing subsidies (HCV, </w:t>
      </w:r>
      <w:proofErr w:type="spellStart"/>
      <w:r w:rsidRPr="0039175E">
        <w:rPr>
          <w:rFonts w:cs="Times New Roman"/>
          <w:sz w:val="24"/>
          <w:szCs w:val="24"/>
        </w:rPr>
        <w:t>CityFHEPS</w:t>
      </w:r>
      <w:proofErr w:type="spellEnd"/>
      <w:r w:rsidRPr="0039175E">
        <w:rPr>
          <w:rFonts w:cs="Times New Roman"/>
          <w:sz w:val="24"/>
          <w:szCs w:val="24"/>
        </w:rPr>
        <w:t>, HASA) into share-based equity instruments used toward cooperative housing acquisition.</w:t>
      </w:r>
    </w:p>
    <w:p w14:paraId="0A597A85"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rPr>
        <w:t>Key Provisions:</w:t>
      </w:r>
    </w:p>
    <w:p w14:paraId="25BDF4B1"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 xml:space="preserve">Creates a new class of benefit called </w:t>
      </w:r>
      <w:r w:rsidRPr="0039175E">
        <w:rPr>
          <w:rFonts w:cs="Times New Roman"/>
          <w:sz w:val="24"/>
          <w:szCs w:val="24"/>
          <w:rtl/>
          <w:lang w:val="ar-SA"/>
        </w:rPr>
        <w:t>“</w:t>
      </w:r>
      <w:r w:rsidRPr="0039175E">
        <w:rPr>
          <w:rFonts w:cs="Times New Roman"/>
          <w:sz w:val="24"/>
          <w:szCs w:val="24"/>
        </w:rPr>
        <w:t>Convertible Public Housing Equity Instruments”</w:t>
      </w:r>
    </w:p>
    <w:p w14:paraId="036102DF"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Authorizes HPD and HCR to reclassify subsidy payments as capital contributions to registered cooperatives</w:t>
      </w:r>
    </w:p>
    <w:p w14:paraId="3BB7CCF3"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 xml:space="preserve">Grants </w:t>
      </w:r>
      <w:proofErr w:type="gramStart"/>
      <w:r w:rsidRPr="0039175E">
        <w:rPr>
          <w:rFonts w:cs="Times New Roman"/>
          <w:sz w:val="24"/>
          <w:szCs w:val="24"/>
        </w:rPr>
        <w:t>tenants</w:t>
      </w:r>
      <w:proofErr w:type="gramEnd"/>
      <w:r w:rsidRPr="0039175E">
        <w:rPr>
          <w:rFonts w:cs="Times New Roman"/>
          <w:sz w:val="24"/>
          <w:szCs w:val="24"/>
        </w:rPr>
        <w:t xml:space="preserve"> full subsidy value accrual rights toward share purchases during the transition period</w:t>
      </w:r>
    </w:p>
    <w:p w14:paraId="153E5900"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Establishes income-restricted resale formulas to preserve affordability</w:t>
      </w:r>
    </w:p>
    <w:p w14:paraId="13E91CDC" w14:textId="77777777" w:rsidR="001C54EE" w:rsidRPr="0039175E" w:rsidRDefault="00000000">
      <w:pPr>
        <w:pStyle w:val="Default"/>
        <w:suppressAutoHyphens/>
        <w:spacing w:before="0" w:after="281" w:line="240" w:lineRule="auto"/>
        <w:rPr>
          <w:rFonts w:eastAsia="Times Roman" w:cs="Times New Roman"/>
          <w:b/>
          <w:bCs/>
          <w:sz w:val="28"/>
          <w:szCs w:val="28"/>
        </w:rPr>
      </w:pPr>
      <w:r w:rsidRPr="0039175E">
        <w:rPr>
          <w:rFonts w:cs="Times New Roman"/>
          <w:b/>
          <w:bCs/>
          <w:sz w:val="28"/>
          <w:szCs w:val="28"/>
        </w:rPr>
        <w:t>B.2. Amendment to NYS Real Property Law §216 &amp; §220</w:t>
      </w:r>
    </w:p>
    <w:p w14:paraId="7104DED0"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rPr>
        <w:t>Purpose:</w:t>
      </w:r>
      <w:r w:rsidRPr="0039175E">
        <w:rPr>
          <w:rFonts w:cs="Times New Roman"/>
          <w:sz w:val="24"/>
          <w:szCs w:val="24"/>
        </w:rPr>
        <w:t xml:space="preserve"> To allow housing subsidies to satisfy co-op capitalization requirements and to clarify tenant protections under limited-equity conversion.</w:t>
      </w:r>
    </w:p>
    <w:p w14:paraId="62E4C8EC"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rPr>
        <w:t>Key Additions:</w:t>
      </w:r>
    </w:p>
    <w:p w14:paraId="7DFCED35"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Language allowing public subsidy disbursements to count as valid consideration in cooperative share agreements</w:t>
      </w:r>
    </w:p>
    <w:p w14:paraId="6B250489"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Protections against equity dilution in the event of subsidy termination</w:t>
      </w:r>
    </w:p>
    <w:p w14:paraId="062BE665"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Eviction moratorium language during co-op conversion if due process procedures are underway</w:t>
      </w:r>
    </w:p>
    <w:p w14:paraId="5D327673" w14:textId="77777777" w:rsidR="001C54EE" w:rsidRPr="0039175E" w:rsidRDefault="00000000">
      <w:pPr>
        <w:pStyle w:val="Default"/>
        <w:suppressAutoHyphens/>
        <w:spacing w:before="0" w:after="281" w:line="240" w:lineRule="auto"/>
        <w:rPr>
          <w:rFonts w:eastAsia="Times Roman" w:cs="Times New Roman"/>
          <w:b/>
          <w:bCs/>
          <w:sz w:val="28"/>
          <w:szCs w:val="28"/>
        </w:rPr>
      </w:pPr>
      <w:r w:rsidRPr="0039175E">
        <w:rPr>
          <w:rFonts w:cs="Times New Roman"/>
          <w:b/>
          <w:bCs/>
          <w:sz w:val="28"/>
          <w:szCs w:val="28"/>
        </w:rPr>
        <w:t xml:space="preserve">B.3. NYC Ordinance — Creation of </w:t>
      </w:r>
      <w:r w:rsidRPr="0039175E">
        <w:rPr>
          <w:rFonts w:cs="Times New Roman"/>
          <w:b/>
          <w:bCs/>
          <w:sz w:val="28"/>
          <w:szCs w:val="28"/>
          <w:rtl/>
          <w:lang w:val="ar-SA"/>
        </w:rPr>
        <w:t>“</w:t>
      </w:r>
      <w:r w:rsidRPr="0039175E">
        <w:rPr>
          <w:rFonts w:cs="Times New Roman"/>
          <w:b/>
          <w:bCs/>
          <w:sz w:val="28"/>
          <w:szCs w:val="28"/>
        </w:rPr>
        <w:t xml:space="preserve">Subsidized Limited-Equity Co-op” </w:t>
      </w:r>
      <w:r w:rsidRPr="0039175E">
        <w:rPr>
          <w:rFonts w:cs="Times New Roman"/>
          <w:b/>
          <w:bCs/>
          <w:sz w:val="28"/>
          <w:szCs w:val="28"/>
          <w:lang w:val="nl-NL"/>
        </w:rPr>
        <w:t>Status</w:t>
      </w:r>
    </w:p>
    <w:p w14:paraId="73F6F7BC"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rPr>
        <w:t>Purpose:</w:t>
      </w:r>
      <w:r w:rsidRPr="0039175E">
        <w:rPr>
          <w:rFonts w:cs="Times New Roman"/>
          <w:sz w:val="24"/>
          <w:szCs w:val="24"/>
        </w:rPr>
        <w:t xml:space="preserve"> Establishes a new legal category under NYC Administrative Code for housing units acquired under TCAP.</w:t>
      </w:r>
    </w:p>
    <w:p w14:paraId="648ADEF5"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rPr>
        <w:t>Features:</w:t>
      </w:r>
    </w:p>
    <w:p w14:paraId="3E9839FE"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Outlines affordability covenants and resale restrictions</w:t>
      </w:r>
    </w:p>
    <w:p w14:paraId="70F588B5"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Requires five-year compliance audits</w:t>
      </w:r>
    </w:p>
    <w:p w14:paraId="168A73E1"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Mandates HPD certification for technical assistance intermediaries</w:t>
      </w:r>
    </w:p>
    <w:p w14:paraId="588C3669"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lastRenderedPageBreak/>
        <w:t>Legal standing for tenant associations to bring claims in Housing Court for violations of cooperative charter</w:t>
      </w:r>
    </w:p>
    <w:p w14:paraId="1610326A" w14:textId="77777777" w:rsidR="001C54EE" w:rsidRPr="0039175E" w:rsidRDefault="00000000">
      <w:pPr>
        <w:pStyle w:val="Default"/>
        <w:suppressAutoHyphens/>
        <w:spacing w:before="0" w:after="281" w:line="240" w:lineRule="auto"/>
        <w:rPr>
          <w:rFonts w:eastAsia="Times Roman" w:cs="Times New Roman"/>
          <w:b/>
          <w:bCs/>
          <w:sz w:val="28"/>
          <w:szCs w:val="28"/>
        </w:rPr>
      </w:pPr>
      <w:r w:rsidRPr="0039175E">
        <w:rPr>
          <w:rFonts w:cs="Times New Roman"/>
          <w:b/>
          <w:bCs/>
          <w:sz w:val="28"/>
          <w:szCs w:val="28"/>
        </w:rPr>
        <w:t>B.4. Community Opportunity to Purchase Act (COPA) — Expanded Model Bill</w:t>
      </w:r>
    </w:p>
    <w:p w14:paraId="066ABEF0"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rPr>
        <w:t>Purpose:</w:t>
      </w:r>
      <w:r w:rsidRPr="0039175E">
        <w:rPr>
          <w:rFonts w:cs="Times New Roman"/>
          <w:sz w:val="24"/>
          <w:szCs w:val="24"/>
        </w:rPr>
        <w:t xml:space="preserve"> To ensure tenant associations have the right of first refusal when a covered building is sold or foreclosed.</w:t>
      </w:r>
    </w:p>
    <w:p w14:paraId="482BBA07"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rPr>
        <w:t>Key Enhancements for TCAP Alignment:</w:t>
      </w:r>
    </w:p>
    <w:p w14:paraId="508C8B43"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Includes foreclosed properties, deed-in-lieu, and HPD tax lien sales</w:t>
      </w:r>
    </w:p>
    <w:p w14:paraId="3AC778AF"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Requires 90-day notice period and provision of purchase documentation</w:t>
      </w:r>
    </w:p>
    <w:p w14:paraId="116DA845"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Grants tenants standing to compel sale halts for non-compliance</w:t>
      </w:r>
    </w:p>
    <w:p w14:paraId="36DD189D"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sz w:val="24"/>
          <w:szCs w:val="24"/>
        </w:rPr>
        <w:t>Each legislative item is annotated and includes references to existing NYC, NYS, and HUD regulatory frameworks for seamless cross-agency adoption. Full bill texts are available upon request in editable formats for municipal and legislative counsel.</w:t>
      </w:r>
    </w:p>
    <w:p w14:paraId="5B0605B1" w14:textId="77777777" w:rsidR="001C54EE" w:rsidRPr="0039175E" w:rsidRDefault="00000000">
      <w:pPr>
        <w:pStyle w:val="Appendix"/>
        <w:rPr>
          <w:rFonts w:cs="Times New Roman"/>
        </w:rPr>
      </w:pPr>
      <w:proofErr w:type="spellStart"/>
      <w:r w:rsidRPr="0039175E">
        <w:rPr>
          <w:rFonts w:cs="Times New Roman"/>
        </w:rPr>
        <w:t>Appendix</w:t>
      </w:r>
      <w:proofErr w:type="spellEnd"/>
      <w:r w:rsidRPr="0039175E">
        <w:rPr>
          <w:rFonts w:cs="Times New Roman"/>
        </w:rPr>
        <w:t xml:space="preserve"> C </w:t>
      </w:r>
      <w:r w:rsidRPr="0039175E">
        <w:rPr>
          <w:rFonts w:cs="Times New Roman"/>
          <w:lang w:val="en-US"/>
        </w:rPr>
        <w:t>— Templates &amp; Agreements</w:t>
      </w:r>
    </w:p>
    <w:p w14:paraId="11153C28"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sz w:val="24"/>
          <w:szCs w:val="24"/>
        </w:rPr>
        <w:t>This appendix provides standardized legal and administrative documents required for successful TCAP implementation. Each template is crafted to facilitate consistent and compliant execution of cooperative conversion processes, ensuring clarity, transparency, and accountability for all stakeholders involved.</w:t>
      </w:r>
    </w:p>
    <w:p w14:paraId="76B190BC" w14:textId="77777777" w:rsidR="001C54EE" w:rsidRPr="0039175E" w:rsidRDefault="00000000">
      <w:pPr>
        <w:pStyle w:val="Default"/>
        <w:suppressAutoHyphens/>
        <w:spacing w:before="0" w:after="281" w:line="240" w:lineRule="auto"/>
        <w:rPr>
          <w:rFonts w:eastAsia="Times Roman" w:cs="Times New Roman"/>
          <w:b/>
          <w:bCs/>
          <w:sz w:val="28"/>
          <w:szCs w:val="28"/>
        </w:rPr>
      </w:pPr>
      <w:r w:rsidRPr="0039175E">
        <w:rPr>
          <w:rFonts w:cs="Times New Roman"/>
          <w:b/>
          <w:bCs/>
          <w:sz w:val="28"/>
          <w:szCs w:val="28"/>
        </w:rPr>
        <w:t>C.1. Tenant Association Bylaw Template</w:t>
      </w:r>
    </w:p>
    <w:p w14:paraId="150A8412"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Clearly defined governance structures and board responsibilities</w:t>
      </w:r>
    </w:p>
    <w:p w14:paraId="4F795F1C"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Member rights, obligations, and equity accrual mechanisms</w:t>
      </w:r>
    </w:p>
    <w:p w14:paraId="7E429454"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Conflict resolution and meeting protocols</w:t>
      </w:r>
    </w:p>
    <w:p w14:paraId="5B414E94" w14:textId="77777777" w:rsidR="001C54EE" w:rsidRPr="0039175E" w:rsidRDefault="00000000">
      <w:pPr>
        <w:pStyle w:val="Default"/>
        <w:suppressAutoHyphens/>
        <w:spacing w:before="0" w:after="281" w:line="240" w:lineRule="auto"/>
        <w:rPr>
          <w:rFonts w:eastAsia="Times Roman" w:cs="Times New Roman"/>
          <w:b/>
          <w:bCs/>
          <w:sz w:val="28"/>
          <w:szCs w:val="28"/>
        </w:rPr>
      </w:pPr>
      <w:r w:rsidRPr="0039175E">
        <w:rPr>
          <w:rFonts w:cs="Times New Roman"/>
          <w:b/>
          <w:bCs/>
          <w:sz w:val="28"/>
          <w:szCs w:val="28"/>
        </w:rPr>
        <w:t>C.2. Sample Memorandum of Understanding (MOU)</w:t>
      </w:r>
    </w:p>
    <w:p w14:paraId="73706B8A" w14:textId="77777777" w:rsidR="001C54EE" w:rsidRPr="0039175E" w:rsidRDefault="00000000">
      <w:pPr>
        <w:pStyle w:val="Default"/>
        <w:numPr>
          <w:ilvl w:val="0"/>
          <w:numId w:val="3"/>
        </w:numPr>
        <w:suppressAutoHyphens/>
        <w:spacing w:before="0" w:after="240" w:line="240" w:lineRule="auto"/>
        <w:rPr>
          <w:rFonts w:cs="Times New Roman"/>
          <w:sz w:val="24"/>
          <w:szCs w:val="24"/>
          <w:lang w:val="de-DE"/>
        </w:rPr>
      </w:pPr>
      <w:r w:rsidRPr="0039175E">
        <w:rPr>
          <w:rFonts w:cs="Times New Roman"/>
          <w:sz w:val="24"/>
          <w:szCs w:val="24"/>
          <w:lang w:val="de-DE"/>
        </w:rPr>
        <w:t>HPD</w:t>
      </w:r>
      <w:r w:rsidRPr="0039175E">
        <w:rPr>
          <w:rFonts w:cs="Times New Roman"/>
          <w:sz w:val="24"/>
          <w:szCs w:val="24"/>
        </w:rPr>
        <w:t>–</w:t>
      </w:r>
      <w:r w:rsidRPr="0039175E">
        <w:rPr>
          <w:rFonts w:cs="Times New Roman"/>
          <w:sz w:val="24"/>
          <w:szCs w:val="24"/>
          <w:lang w:val="fr-FR"/>
        </w:rPr>
        <w:t>Tenant</w:t>
      </w:r>
      <w:r w:rsidRPr="0039175E">
        <w:rPr>
          <w:rFonts w:cs="Times New Roman"/>
          <w:sz w:val="24"/>
          <w:szCs w:val="24"/>
        </w:rPr>
        <w:t>–Financial intermediary agreements</w:t>
      </w:r>
    </w:p>
    <w:p w14:paraId="3ADA7CED"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Roles and responsibilities clearly delineated</w:t>
      </w:r>
    </w:p>
    <w:p w14:paraId="6AF76A3C"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Terms of subsidy redirection and equity accrual processes</w:t>
      </w:r>
    </w:p>
    <w:p w14:paraId="30B36D58" w14:textId="77777777" w:rsidR="001C54EE" w:rsidRPr="0039175E" w:rsidRDefault="00000000">
      <w:pPr>
        <w:pStyle w:val="Default"/>
        <w:suppressAutoHyphens/>
        <w:spacing w:before="0" w:after="281" w:line="240" w:lineRule="auto"/>
        <w:rPr>
          <w:rFonts w:eastAsia="Times Roman" w:cs="Times New Roman"/>
          <w:b/>
          <w:bCs/>
          <w:sz w:val="28"/>
          <w:szCs w:val="28"/>
        </w:rPr>
      </w:pPr>
      <w:r w:rsidRPr="0039175E">
        <w:rPr>
          <w:rFonts w:cs="Times New Roman"/>
          <w:b/>
          <w:bCs/>
          <w:sz w:val="28"/>
          <w:szCs w:val="28"/>
        </w:rPr>
        <w:t>C.3. Acquisition Financing Term Sheet</w:t>
      </w:r>
    </w:p>
    <w:p w14:paraId="6E7691DF"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Structured financing terms for cooperative acquisition</w:t>
      </w:r>
    </w:p>
    <w:p w14:paraId="55C70E19"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Interest rates, loan duration, and repayment schedules</w:t>
      </w:r>
    </w:p>
    <w:p w14:paraId="5074B91C"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lastRenderedPageBreak/>
        <w:t>City guarantees and conditions for financial participation</w:t>
      </w:r>
    </w:p>
    <w:p w14:paraId="28EE53D2" w14:textId="77777777" w:rsidR="001C54EE" w:rsidRPr="0039175E" w:rsidRDefault="00000000">
      <w:pPr>
        <w:pStyle w:val="Default"/>
        <w:suppressAutoHyphens/>
        <w:spacing w:before="0" w:after="281" w:line="240" w:lineRule="auto"/>
        <w:rPr>
          <w:rFonts w:eastAsia="Times Roman" w:cs="Times New Roman"/>
          <w:b/>
          <w:bCs/>
          <w:sz w:val="28"/>
          <w:szCs w:val="28"/>
        </w:rPr>
      </w:pPr>
      <w:r w:rsidRPr="0039175E">
        <w:rPr>
          <w:rFonts w:cs="Times New Roman"/>
          <w:b/>
          <w:bCs/>
          <w:sz w:val="28"/>
          <w:szCs w:val="28"/>
        </w:rPr>
        <w:t>C.4. Affordability Covenant Language</w:t>
      </w:r>
    </w:p>
    <w:p w14:paraId="5A12614D"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Permanent affordability conditions linked to subsidy provision</w:t>
      </w:r>
    </w:p>
    <w:p w14:paraId="0E2BA1CA"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Restrictions on resale value and market transactions</w:t>
      </w:r>
    </w:p>
    <w:p w14:paraId="3AEA7B8E"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Compliance verification requirements and audit timelines</w:t>
      </w:r>
    </w:p>
    <w:p w14:paraId="5092C0C4" w14:textId="77777777" w:rsidR="001C54EE" w:rsidRPr="0039175E" w:rsidRDefault="00000000">
      <w:pPr>
        <w:pStyle w:val="Heading2"/>
        <w:rPr>
          <w:rFonts w:cs="Times New Roman"/>
        </w:rPr>
      </w:pPr>
      <w:r w:rsidRPr="0039175E">
        <w:rPr>
          <w:rFonts w:cs="Times New Roman"/>
        </w:rPr>
        <w:t>C.5. Technical Assistance Provider Contract</w:t>
      </w:r>
    </w:p>
    <w:p w14:paraId="28F9F24D"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Criteria for selecting qualified technical assistance intermediaries</w:t>
      </w:r>
    </w:p>
    <w:p w14:paraId="17D1384F"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Defined scope of work for cooperative governance training</w:t>
      </w:r>
    </w:p>
    <w:p w14:paraId="5069FB5A"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Performance evaluation and reporting obligations</w:t>
      </w:r>
    </w:p>
    <w:p w14:paraId="0CDC7E92"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sz w:val="24"/>
          <w:szCs w:val="24"/>
        </w:rPr>
        <w:t>Each document template is annotated with instructions for customization, ensuring applicability to a broad range of cooperative conversions across diverse property types and tenant demographics.</w:t>
      </w:r>
    </w:p>
    <w:p w14:paraId="01F05679" w14:textId="77777777" w:rsidR="001C54EE" w:rsidRPr="0039175E" w:rsidRDefault="001C54EE">
      <w:pPr>
        <w:pStyle w:val="Default"/>
        <w:suppressAutoHyphens/>
        <w:spacing w:before="0" w:line="240" w:lineRule="auto"/>
        <w:rPr>
          <w:rFonts w:eastAsia="Times Roman" w:cs="Times New Roman"/>
          <w:color w:val="808080"/>
          <w:sz w:val="24"/>
          <w:szCs w:val="24"/>
        </w:rPr>
      </w:pPr>
    </w:p>
    <w:p w14:paraId="7C32129B" w14:textId="77777777" w:rsidR="001C54EE" w:rsidRPr="0039175E" w:rsidRDefault="00000000">
      <w:pPr>
        <w:pStyle w:val="Appendix"/>
        <w:rPr>
          <w:rFonts w:cs="Times New Roman"/>
        </w:rPr>
      </w:pPr>
      <w:r w:rsidRPr="0039175E">
        <w:rPr>
          <w:rFonts w:cs="Times New Roman"/>
          <w:b w:val="0"/>
          <w:bCs w:val="0"/>
        </w:rPr>
        <w:br w:type="page"/>
      </w:r>
    </w:p>
    <w:p w14:paraId="2800BC6C" w14:textId="77777777" w:rsidR="001C54EE" w:rsidRPr="0039175E" w:rsidRDefault="00000000">
      <w:pPr>
        <w:pStyle w:val="Appendix"/>
        <w:rPr>
          <w:rFonts w:cs="Times New Roman"/>
        </w:rPr>
      </w:pPr>
      <w:proofErr w:type="spellStart"/>
      <w:r w:rsidRPr="0039175E">
        <w:rPr>
          <w:rFonts w:cs="Times New Roman"/>
        </w:rPr>
        <w:lastRenderedPageBreak/>
        <w:t>Appendix</w:t>
      </w:r>
      <w:proofErr w:type="spellEnd"/>
      <w:r w:rsidRPr="0039175E">
        <w:rPr>
          <w:rFonts w:cs="Times New Roman"/>
        </w:rPr>
        <w:t xml:space="preserve"> D </w:t>
      </w:r>
      <w:r w:rsidRPr="0039175E">
        <w:rPr>
          <w:rFonts w:cs="Times New Roman"/>
          <w:lang w:val="en-US"/>
        </w:rPr>
        <w:t>— Training &amp; Technical Assistance Toolkit</w:t>
      </w:r>
    </w:p>
    <w:p w14:paraId="3F494C3B"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sz w:val="24"/>
          <w:szCs w:val="24"/>
        </w:rPr>
        <w:t>This appendix provides resources designed to ensure tenant associations and administrative stakeholders have the capacity, knowledge, and practical skills necessary for successful TCAP implementation and long-term cooperative management.</w:t>
      </w:r>
    </w:p>
    <w:p w14:paraId="79FE5AD5" w14:textId="77777777" w:rsidR="001C54EE" w:rsidRPr="0039175E" w:rsidRDefault="00000000">
      <w:pPr>
        <w:pStyle w:val="Heading2"/>
        <w:rPr>
          <w:rFonts w:cs="Times New Roman"/>
        </w:rPr>
      </w:pPr>
      <w:r w:rsidRPr="0039175E">
        <w:rPr>
          <w:rFonts w:cs="Times New Roman"/>
          <w:lang w:val="it-IT"/>
        </w:rPr>
        <w:t xml:space="preserve">D.1. TCAP </w:t>
      </w:r>
      <w:proofErr w:type="spellStart"/>
      <w:r w:rsidRPr="0039175E">
        <w:rPr>
          <w:rFonts w:cs="Times New Roman"/>
          <w:lang w:val="it-IT"/>
        </w:rPr>
        <w:t>Orientation</w:t>
      </w:r>
      <w:proofErr w:type="spellEnd"/>
      <w:r w:rsidRPr="0039175E">
        <w:rPr>
          <w:rFonts w:cs="Times New Roman"/>
          <w:lang w:val="it-IT"/>
        </w:rPr>
        <w:t xml:space="preserve"> Curriculum</w:t>
      </w:r>
    </w:p>
    <w:p w14:paraId="2DEF90B2"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Introduction to cooperative housing principles</w:t>
      </w:r>
    </w:p>
    <w:p w14:paraId="5A8EC51E"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Overview of tenant rights and obligations</w:t>
      </w:r>
    </w:p>
    <w:p w14:paraId="322D028A"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Subsidy conversion process explained</w:t>
      </w:r>
    </w:p>
    <w:p w14:paraId="03C73E87" w14:textId="77777777" w:rsidR="001C54EE" w:rsidRPr="0039175E" w:rsidRDefault="00000000">
      <w:pPr>
        <w:pStyle w:val="Heading2"/>
        <w:rPr>
          <w:rFonts w:cs="Times New Roman"/>
        </w:rPr>
      </w:pPr>
      <w:r w:rsidRPr="0039175E">
        <w:rPr>
          <w:rFonts w:cs="Times New Roman"/>
        </w:rPr>
        <w:t>D.2. Financial Literacy and Cooperative Governance Modules</w:t>
      </w:r>
    </w:p>
    <w:p w14:paraId="0DB68515"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Budget management and reserve fund planning</w:t>
      </w:r>
    </w:p>
    <w:p w14:paraId="2E1C2769"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Cooperative share valuation and equity distribution</w:t>
      </w:r>
    </w:p>
    <w:p w14:paraId="0920A424"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Transparent decision-making and board governance training</w:t>
      </w:r>
    </w:p>
    <w:p w14:paraId="4445A702" w14:textId="77777777" w:rsidR="001C54EE" w:rsidRPr="0039175E" w:rsidRDefault="00000000">
      <w:pPr>
        <w:pStyle w:val="Heading2"/>
        <w:rPr>
          <w:rFonts w:cs="Times New Roman"/>
        </w:rPr>
      </w:pPr>
      <w:r w:rsidRPr="0039175E">
        <w:rPr>
          <w:rFonts w:cs="Times New Roman"/>
        </w:rPr>
        <w:t>D.3. Grievance Mediation Procedures</w:t>
      </w:r>
    </w:p>
    <w:p w14:paraId="3F24DED4"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Structured processes for conflict resolution among cooperative members</w:t>
      </w:r>
    </w:p>
    <w:p w14:paraId="04854276"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Guidelines for external mediation intervention</w:t>
      </w:r>
    </w:p>
    <w:p w14:paraId="07535B5F"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Escalation protocols and documentation standards</w:t>
      </w:r>
    </w:p>
    <w:p w14:paraId="23E50F53" w14:textId="77777777" w:rsidR="001C54EE" w:rsidRPr="0039175E" w:rsidRDefault="00000000">
      <w:pPr>
        <w:pStyle w:val="Heading2"/>
        <w:rPr>
          <w:rFonts w:cs="Times New Roman"/>
        </w:rPr>
      </w:pPr>
      <w:r w:rsidRPr="0039175E">
        <w:rPr>
          <w:rFonts w:cs="Times New Roman"/>
        </w:rPr>
        <w:t>D.4. Approved Intermediary Provider List (AIPL)</w:t>
      </w:r>
    </w:p>
    <w:p w14:paraId="2589A564"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Certified nonprofit and legal assistance organizations</w:t>
      </w:r>
    </w:p>
    <w:p w14:paraId="2C9AB6AF"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Recommended financial institutions experienced in cooperative finance</w:t>
      </w:r>
    </w:p>
    <w:p w14:paraId="465F2ABF"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Contacts for community organizing and tenant advocacy groups</w:t>
      </w:r>
    </w:p>
    <w:p w14:paraId="4BF7ACB0"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sz w:val="24"/>
          <w:szCs w:val="24"/>
        </w:rPr>
        <w:t>Each module includes facilitation guides, participant handouts, and digital resources to support interactive training and ongoing technical assistance tailored specifically to the needs of newly formed limited-equity co-ops</w:t>
      </w:r>
    </w:p>
    <w:p w14:paraId="77A8CAD4" w14:textId="77777777" w:rsidR="001C54EE" w:rsidRPr="0039175E" w:rsidRDefault="00000000">
      <w:pPr>
        <w:pStyle w:val="Appendix"/>
        <w:rPr>
          <w:rFonts w:cs="Times New Roman"/>
        </w:rPr>
      </w:pPr>
      <w:proofErr w:type="spellStart"/>
      <w:r w:rsidRPr="0039175E">
        <w:rPr>
          <w:rFonts w:cs="Times New Roman"/>
        </w:rPr>
        <w:lastRenderedPageBreak/>
        <w:t>Appendix</w:t>
      </w:r>
      <w:proofErr w:type="spellEnd"/>
      <w:r w:rsidRPr="0039175E">
        <w:rPr>
          <w:rFonts w:cs="Times New Roman"/>
        </w:rPr>
        <w:t xml:space="preserve"> C </w:t>
      </w:r>
      <w:r w:rsidRPr="0039175E">
        <w:rPr>
          <w:rFonts w:cs="Times New Roman"/>
          <w:lang w:val="en-US"/>
        </w:rPr>
        <w:t>— Templates &amp; Agreements</w:t>
      </w:r>
    </w:p>
    <w:p w14:paraId="217A20A0"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sz w:val="24"/>
          <w:szCs w:val="24"/>
        </w:rPr>
        <w:t>This appendix provides the full text of standardized documents essential to implementing TCAP. These templates are designed for customization and legal compliance across a range of cooperative housing conversions in New York City. Each template is stored in its own labeled folder and includes annotations for municipal or nonprofit customization.</w:t>
      </w:r>
    </w:p>
    <w:p w14:paraId="65426C78" w14:textId="77777777" w:rsidR="001C54EE" w:rsidRPr="0039175E" w:rsidRDefault="00000000">
      <w:pPr>
        <w:pStyle w:val="Heading2"/>
        <w:rPr>
          <w:rFonts w:cs="Times New Roman"/>
        </w:rPr>
      </w:pPr>
      <w:r w:rsidRPr="0039175E">
        <w:rPr>
          <w:rFonts w:cs="Times New Roman"/>
        </w:rPr>
        <w:t>Folder 1: Tenant Association Bylaw Template</w:t>
      </w:r>
    </w:p>
    <w:p w14:paraId="40482956"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lang w:val="fr-FR"/>
        </w:rPr>
        <w:t xml:space="preserve">Document </w:t>
      </w:r>
      <w:proofErr w:type="spellStart"/>
      <w:proofErr w:type="gramStart"/>
      <w:r w:rsidRPr="0039175E">
        <w:rPr>
          <w:rFonts w:cs="Times New Roman"/>
          <w:b/>
          <w:bCs/>
          <w:sz w:val="24"/>
          <w:szCs w:val="24"/>
          <w:lang w:val="fr-FR"/>
        </w:rPr>
        <w:t>Title</w:t>
      </w:r>
      <w:proofErr w:type="spellEnd"/>
      <w:r w:rsidRPr="0039175E">
        <w:rPr>
          <w:rFonts w:cs="Times New Roman"/>
          <w:b/>
          <w:bCs/>
          <w:sz w:val="24"/>
          <w:szCs w:val="24"/>
          <w:lang w:val="fr-FR"/>
        </w:rPr>
        <w:t>:</w:t>
      </w:r>
      <w:proofErr w:type="gramEnd"/>
      <w:r w:rsidRPr="0039175E">
        <w:rPr>
          <w:rFonts w:cs="Times New Roman"/>
          <w:sz w:val="24"/>
          <w:szCs w:val="24"/>
        </w:rPr>
        <w:t xml:space="preserve"> Model Bylaws for TCAP-Recognized Tenant Associations</w:t>
      </w:r>
    </w:p>
    <w:p w14:paraId="2B6697BE"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rPr>
        <w:t>Preamble:</w:t>
      </w:r>
      <w:r w:rsidRPr="0039175E">
        <w:rPr>
          <w:rFonts w:cs="Times New Roman"/>
          <w:sz w:val="24"/>
          <w:szCs w:val="24"/>
        </w:rPr>
        <w:t xml:space="preserve"> These bylaws are adopted to govern the operations of a tenant association organized for the purpose of acquiring and operating a limited-equity cooperative under the Tenant Co-op Acquisition Program (TCAP). They are intended to ensure democratic governance, financial transparency, and compliance with affordability requirements.</w:t>
      </w:r>
    </w:p>
    <w:p w14:paraId="19D82326"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rPr>
        <w:t>Article I – Name and Purpose</w:t>
      </w:r>
    </w:p>
    <w:p w14:paraId="13C93B74"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Section 1. Name: The association shall be known as the [Name of Association] Tenant Cooperative.</w:t>
      </w:r>
    </w:p>
    <w:p w14:paraId="29FA9208"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Section 2. Purpose: To manage, maintain, and operate the building in accordance with cooperative principles and TCAP regulations.</w:t>
      </w:r>
    </w:p>
    <w:p w14:paraId="0CC0FBED"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rPr>
        <w:t>Article II – Membership</w:t>
      </w:r>
    </w:p>
    <w:p w14:paraId="628D5D5B"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Section 1. Eligibility: Any tenant residing in the building who meets TCAP eligibility requirements and agrees to the affordability covenant shall be eligible for membership.</w:t>
      </w:r>
    </w:p>
    <w:p w14:paraId="644356FB"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Section 2. Rights: Members shall have the right to vote, participate in meetings, serve on committees, and review financial records.</w:t>
      </w:r>
    </w:p>
    <w:p w14:paraId="066CBCBE"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Section 3. Obligations: Members must comply with payment obligations and cooperative policies.</w:t>
      </w:r>
    </w:p>
    <w:p w14:paraId="14918B89"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lang w:val="fr-FR"/>
        </w:rPr>
        <w:t xml:space="preserve">Article III </w:t>
      </w:r>
      <w:r w:rsidRPr="0039175E">
        <w:rPr>
          <w:rFonts w:cs="Times New Roman"/>
          <w:b/>
          <w:bCs/>
          <w:sz w:val="24"/>
          <w:szCs w:val="24"/>
        </w:rPr>
        <w:t xml:space="preserve">– </w:t>
      </w:r>
      <w:proofErr w:type="spellStart"/>
      <w:r w:rsidRPr="0039175E">
        <w:rPr>
          <w:rFonts w:cs="Times New Roman"/>
          <w:b/>
          <w:bCs/>
          <w:sz w:val="24"/>
          <w:szCs w:val="24"/>
          <w:lang w:val="pt-PT"/>
        </w:rPr>
        <w:t>Governance</w:t>
      </w:r>
      <w:proofErr w:type="spellEnd"/>
    </w:p>
    <w:p w14:paraId="2EA2B753"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Section 1. Board of Directors: A board of five to nine members shall be elected from among the membership.</w:t>
      </w:r>
    </w:p>
    <w:p w14:paraId="335FB99A"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Section 2. Elections: Elections shall be held annually with staggered terms of two years.</w:t>
      </w:r>
    </w:p>
    <w:p w14:paraId="7A602999"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Section 3. Responsibilities: The board shall oversee finances, maintenance, and compliance with TCAP and HPD guidelines.</w:t>
      </w:r>
    </w:p>
    <w:p w14:paraId="5628DEEC"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rPr>
        <w:t>Article IV – Meetings</w:t>
      </w:r>
    </w:p>
    <w:p w14:paraId="78FCE5D0"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Section 1. General Meetings: Held quarterly, with written notice at least 14 days in advance.</w:t>
      </w:r>
    </w:p>
    <w:p w14:paraId="190953DA"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 xml:space="preserve">Section 2. Special Meetings: May be called by </w:t>
      </w:r>
      <w:proofErr w:type="gramStart"/>
      <w:r w:rsidRPr="0039175E">
        <w:rPr>
          <w:rFonts w:cs="Times New Roman"/>
          <w:sz w:val="24"/>
          <w:szCs w:val="24"/>
        </w:rPr>
        <w:t>a majority of</w:t>
      </w:r>
      <w:proofErr w:type="gramEnd"/>
      <w:r w:rsidRPr="0039175E">
        <w:rPr>
          <w:rFonts w:cs="Times New Roman"/>
          <w:sz w:val="24"/>
          <w:szCs w:val="24"/>
        </w:rPr>
        <w:t xml:space="preserve"> the board or petition of 25% of members.</w:t>
      </w:r>
    </w:p>
    <w:p w14:paraId="15E28C45"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lastRenderedPageBreak/>
        <w:t>Section 3. Quorum: A quorum shall consist of one-third of members in good standing.</w:t>
      </w:r>
    </w:p>
    <w:p w14:paraId="2F2BDDC7"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rPr>
        <w:t>Article V – Financial Management</w:t>
      </w:r>
    </w:p>
    <w:p w14:paraId="40E7E34D"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Section 1. Budget: An annual operating budget must be prepared and approved by the board with member input.</w:t>
      </w:r>
    </w:p>
    <w:p w14:paraId="1B07C9CE"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Section 2. Reserve Fund: A cooperative reserve fund shall be maintained as required under the TCAP agreement.</w:t>
      </w:r>
    </w:p>
    <w:p w14:paraId="14D5AC98"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Section 3. Audits: Annual audits shall be conducted by an independent third-party auditor.</w:t>
      </w:r>
    </w:p>
    <w:p w14:paraId="644B0501"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lang w:val="fr-FR"/>
        </w:rPr>
        <w:t xml:space="preserve">Article VI </w:t>
      </w:r>
      <w:r w:rsidRPr="0039175E">
        <w:rPr>
          <w:rFonts w:cs="Times New Roman"/>
          <w:b/>
          <w:bCs/>
          <w:sz w:val="24"/>
          <w:szCs w:val="24"/>
        </w:rPr>
        <w:t>– Conflict Resolution</w:t>
      </w:r>
    </w:p>
    <w:p w14:paraId="2D0BE3A3"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Section 1. Mediation: Conflicts shall first be subject to informal resolution; if unresolved, mediation may be initiated with an approved intermediary.</w:t>
      </w:r>
    </w:p>
    <w:p w14:paraId="3C28A9C0"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Section 2. Appeals: Members may appeal board decisions to a grievance panel or external mediator certified by HPD.</w:t>
      </w:r>
    </w:p>
    <w:p w14:paraId="7F04F3CD"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lang w:val="fr-FR"/>
        </w:rPr>
        <w:t xml:space="preserve">Article VII </w:t>
      </w:r>
      <w:r w:rsidRPr="0039175E">
        <w:rPr>
          <w:rFonts w:cs="Times New Roman"/>
          <w:b/>
          <w:bCs/>
          <w:sz w:val="24"/>
          <w:szCs w:val="24"/>
        </w:rPr>
        <w:t>– Amendments</w:t>
      </w:r>
    </w:p>
    <w:p w14:paraId="7C0A037E"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Section 1. Process: Amendments to these bylaws require a two-thirds vote of members present at a duly noticed meeting.</w:t>
      </w:r>
    </w:p>
    <w:p w14:paraId="2734FAED"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Section 2. Compliance: No amendment shall contravene HPD or TCAP regulatory requirements.</w:t>
      </w:r>
    </w:p>
    <w:p w14:paraId="368B1D35" w14:textId="77777777" w:rsidR="001C54EE" w:rsidRPr="0039175E" w:rsidRDefault="001C54EE">
      <w:pPr>
        <w:pStyle w:val="Default"/>
        <w:suppressAutoHyphens/>
        <w:spacing w:before="0" w:line="240" w:lineRule="auto"/>
        <w:rPr>
          <w:rFonts w:eastAsia="Times Roman" w:cs="Times New Roman"/>
          <w:color w:val="808080"/>
          <w:sz w:val="24"/>
          <w:szCs w:val="24"/>
        </w:rPr>
      </w:pPr>
    </w:p>
    <w:p w14:paraId="11EC3C32"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rPr>
        <w:t>Document Includes:</w:t>
      </w:r>
    </w:p>
    <w:p w14:paraId="2ECDF7A6"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Sample Articles of Incorporation and governance bylaws</w:t>
      </w:r>
    </w:p>
    <w:p w14:paraId="2EA25899"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Procedures for elections, quorum, and board composition</w:t>
      </w:r>
    </w:p>
    <w:p w14:paraId="252DAF63"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Share purchase policies and conflict resolution mechanisms</w:t>
      </w:r>
    </w:p>
    <w:p w14:paraId="64AE3F94" w14:textId="77777777" w:rsidR="001C54EE" w:rsidRPr="0039175E" w:rsidRDefault="00000000">
      <w:pPr>
        <w:pStyle w:val="Default"/>
        <w:suppressAutoHyphens/>
        <w:spacing w:before="0" w:after="240" w:line="240" w:lineRule="auto"/>
        <w:rPr>
          <w:rFonts w:cs="Times New Roman"/>
        </w:rPr>
      </w:pPr>
      <w:r w:rsidRPr="0039175E">
        <w:rPr>
          <w:rFonts w:cs="Times New Roman"/>
          <w:sz w:val="24"/>
          <w:szCs w:val="24"/>
        </w:rPr>
        <w:br w:type="page"/>
      </w:r>
    </w:p>
    <w:p w14:paraId="0BCA1013" w14:textId="77777777" w:rsidR="001C54EE" w:rsidRPr="0039175E" w:rsidRDefault="00000000">
      <w:pPr>
        <w:pStyle w:val="Heading2"/>
        <w:rPr>
          <w:rFonts w:cs="Times New Roman"/>
        </w:rPr>
      </w:pPr>
      <w:r w:rsidRPr="0039175E">
        <w:rPr>
          <w:rFonts w:cs="Times New Roman"/>
        </w:rPr>
        <w:lastRenderedPageBreak/>
        <w:t>Folder 2: Sample Memorandum of Understanding (MOU)</w:t>
      </w:r>
    </w:p>
    <w:p w14:paraId="61D74D51"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lang w:val="fr-FR"/>
        </w:rPr>
        <w:t xml:space="preserve">Document </w:t>
      </w:r>
      <w:proofErr w:type="spellStart"/>
      <w:proofErr w:type="gramStart"/>
      <w:r w:rsidRPr="0039175E">
        <w:rPr>
          <w:rFonts w:cs="Times New Roman"/>
          <w:b/>
          <w:bCs/>
          <w:sz w:val="24"/>
          <w:szCs w:val="24"/>
          <w:lang w:val="fr-FR"/>
        </w:rPr>
        <w:t>Title</w:t>
      </w:r>
      <w:proofErr w:type="spellEnd"/>
      <w:r w:rsidRPr="0039175E">
        <w:rPr>
          <w:rFonts w:cs="Times New Roman"/>
          <w:b/>
          <w:bCs/>
          <w:sz w:val="24"/>
          <w:szCs w:val="24"/>
          <w:lang w:val="fr-FR"/>
        </w:rPr>
        <w:t>:</w:t>
      </w:r>
      <w:proofErr w:type="gramEnd"/>
      <w:r w:rsidRPr="0039175E">
        <w:rPr>
          <w:rFonts w:cs="Times New Roman"/>
          <w:sz w:val="24"/>
          <w:szCs w:val="24"/>
        </w:rPr>
        <w:t xml:space="preserve"> Memorandum of Understanding between HPD, Tenant Association, and Financial Intermediary</w:t>
      </w:r>
    </w:p>
    <w:p w14:paraId="1BBE00E8"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rPr>
        <w:t>Preamble:</w:t>
      </w:r>
      <w:r w:rsidRPr="0039175E">
        <w:rPr>
          <w:rFonts w:cs="Times New Roman"/>
          <w:sz w:val="24"/>
          <w:szCs w:val="24"/>
        </w:rPr>
        <w:t xml:space="preserve"> This Memorandum of Understanding ("MOU") is made and entered into by and between the New York City Department of Housing Preservation and Development ("HPD"), the [Name of Tenant Association] ("Tenant Association"), and [Name of Financial Intermediary] ("Intermediary"). The purpose of this MOU is to facilitate the conversion of a rental building into a limited-equity cooperative through the Tenant Co-op Acquisition Program ("TCAP").</w:t>
      </w:r>
    </w:p>
    <w:p w14:paraId="63358E02"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rPr>
        <w:t>1. Roles and Responsibilities</w:t>
      </w:r>
      <w:r w:rsidRPr="0039175E">
        <w:rPr>
          <w:rFonts w:cs="Times New Roman"/>
          <w:sz w:val="24"/>
          <w:szCs w:val="24"/>
        </w:rPr>
        <w:t xml:space="preserve"> 1.1 HPD shall:</w:t>
      </w:r>
    </w:p>
    <w:p w14:paraId="1895D8BE"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Provide regulatory oversight, technical guidance, and fiscal reporting.</w:t>
      </w:r>
    </w:p>
    <w:p w14:paraId="47A8A7B9"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Approve subsidy redirection and legal compliance.</w:t>
      </w:r>
    </w:p>
    <w:p w14:paraId="2C372E9D"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Coordinate with HUD and NYS HCR as needed.</w:t>
      </w:r>
    </w:p>
    <w:p w14:paraId="5C03FEAC"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sz w:val="24"/>
          <w:szCs w:val="24"/>
        </w:rPr>
        <w:t>1.2 Tenant Association shall:</w:t>
      </w:r>
    </w:p>
    <w:p w14:paraId="204DEAD2"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Organize democratic governance structures and adopt cooperative bylaws.</w:t>
      </w:r>
    </w:p>
    <w:p w14:paraId="68364810"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Participate in training and education required by TCAP.</w:t>
      </w:r>
    </w:p>
    <w:p w14:paraId="05777C7C"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Collaborate in the acquisition process and ensure member compliance.</w:t>
      </w:r>
    </w:p>
    <w:p w14:paraId="53EF5F63"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sz w:val="24"/>
          <w:szCs w:val="24"/>
        </w:rPr>
        <w:t>1.3 Financial Intermediary shall:</w:t>
      </w:r>
    </w:p>
    <w:p w14:paraId="212B379A"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Facilitate acquisition financing and manage escrow disbursements.</w:t>
      </w:r>
    </w:p>
    <w:p w14:paraId="1200D23C"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Assist with budgeting, loan processing, and reserve account management.</w:t>
      </w:r>
    </w:p>
    <w:p w14:paraId="448DFF9E"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Report on financial health and performance metrics quarterly to HPD.</w:t>
      </w:r>
    </w:p>
    <w:p w14:paraId="1694369A"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rPr>
        <w:t>2. Scope of Agreement</w:t>
      </w:r>
    </w:p>
    <w:p w14:paraId="4EFF827E"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This MOU applies to the property located at [address], a [#]-unit building eligible under TCAP.</w:t>
      </w:r>
    </w:p>
    <w:p w14:paraId="3B3DFFBA"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Duration: This agreement shall remain in effect for five years from the execution date or until all TCAP obligations are fulfilled.</w:t>
      </w:r>
    </w:p>
    <w:p w14:paraId="5488683F"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rPr>
        <w:t>3. Subsidy Redirection and Equity Accrual</w:t>
      </w:r>
    </w:p>
    <w:p w14:paraId="10142563"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HPD shall authorize the redirection of eligible subsidies toward cooperative equity accounts.</w:t>
      </w:r>
    </w:p>
    <w:p w14:paraId="6FEAFB0A"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The Intermediary shall document all payments and credit them toward member shares as detailed in the Acquisition Term Sheet.</w:t>
      </w:r>
    </w:p>
    <w:p w14:paraId="24AD91B1"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rPr>
        <w:t>4. Dispute Resolution and Modifications</w:t>
      </w:r>
    </w:p>
    <w:p w14:paraId="31BAEBB9"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lastRenderedPageBreak/>
        <w:t>Disputes shall be mediated through HPD</w:t>
      </w:r>
      <w:r w:rsidRPr="0039175E">
        <w:rPr>
          <w:rFonts w:cs="Times New Roman"/>
          <w:sz w:val="24"/>
          <w:szCs w:val="24"/>
          <w:rtl/>
        </w:rPr>
        <w:t>’</w:t>
      </w:r>
      <w:r w:rsidRPr="0039175E">
        <w:rPr>
          <w:rFonts w:cs="Times New Roman"/>
          <w:sz w:val="24"/>
          <w:szCs w:val="24"/>
        </w:rPr>
        <w:t>s designated TCAP unit.</w:t>
      </w:r>
    </w:p>
    <w:p w14:paraId="6AF1E96D"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Modifications to this agreement must be made in writing and approved by all parties.</w:t>
      </w:r>
    </w:p>
    <w:p w14:paraId="5D94F6E7"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rPr>
        <w:t>5. Signatures</w:t>
      </w:r>
      <w:r w:rsidRPr="0039175E">
        <w:rPr>
          <w:rFonts w:cs="Times New Roman"/>
          <w:sz w:val="24"/>
          <w:szCs w:val="24"/>
        </w:rPr>
        <w:t xml:space="preserve"> Authorized representatives of each party agree to the above terms:</w:t>
      </w:r>
    </w:p>
    <w:p w14:paraId="36D0E2F2"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sz w:val="24"/>
          <w:szCs w:val="24"/>
        </w:rPr>
        <w:t xml:space="preserve">[Signature — </w:t>
      </w:r>
      <w:r w:rsidRPr="0039175E">
        <w:rPr>
          <w:rFonts w:cs="Times New Roman"/>
          <w:sz w:val="24"/>
          <w:szCs w:val="24"/>
          <w:lang w:val="pt-PT"/>
        </w:rPr>
        <w:t xml:space="preserve">HPD </w:t>
      </w:r>
      <w:proofErr w:type="spellStart"/>
      <w:r w:rsidRPr="0039175E">
        <w:rPr>
          <w:rFonts w:cs="Times New Roman"/>
          <w:sz w:val="24"/>
          <w:szCs w:val="24"/>
          <w:lang w:val="pt-PT"/>
        </w:rPr>
        <w:t>Representative</w:t>
      </w:r>
      <w:proofErr w:type="spellEnd"/>
      <w:r w:rsidRPr="0039175E">
        <w:rPr>
          <w:rFonts w:cs="Times New Roman"/>
          <w:sz w:val="24"/>
          <w:szCs w:val="24"/>
          <w:lang w:val="pt-PT"/>
        </w:rPr>
        <w:t>]</w:t>
      </w:r>
      <w:r w:rsidRPr="0039175E">
        <w:rPr>
          <w:rFonts w:eastAsia="Times Roman" w:cs="Times New Roman"/>
          <w:sz w:val="24"/>
          <w:szCs w:val="24"/>
        </w:rPr>
        <w:br/>
      </w:r>
      <w:r w:rsidRPr="0039175E">
        <w:rPr>
          <w:rFonts w:cs="Times New Roman"/>
          <w:sz w:val="24"/>
          <w:szCs w:val="24"/>
          <w:lang w:val="pt-PT"/>
        </w:rPr>
        <w:t>[</w:t>
      </w:r>
      <w:proofErr w:type="spellStart"/>
      <w:r w:rsidRPr="0039175E">
        <w:rPr>
          <w:rFonts w:cs="Times New Roman"/>
          <w:sz w:val="24"/>
          <w:szCs w:val="24"/>
          <w:lang w:val="pt-PT"/>
        </w:rPr>
        <w:t>Title</w:t>
      </w:r>
      <w:proofErr w:type="spellEnd"/>
      <w:r w:rsidRPr="0039175E">
        <w:rPr>
          <w:rFonts w:cs="Times New Roman"/>
          <w:sz w:val="24"/>
          <w:szCs w:val="24"/>
          <w:lang w:val="pt-PT"/>
        </w:rPr>
        <w:t>]</w:t>
      </w:r>
      <w:r w:rsidRPr="0039175E">
        <w:rPr>
          <w:rFonts w:eastAsia="Times Roman" w:cs="Times New Roman"/>
          <w:sz w:val="24"/>
          <w:szCs w:val="24"/>
        </w:rPr>
        <w:br/>
      </w:r>
      <w:r w:rsidRPr="0039175E">
        <w:rPr>
          <w:rFonts w:cs="Times New Roman"/>
          <w:sz w:val="24"/>
          <w:szCs w:val="24"/>
          <w:lang w:val="de-DE"/>
        </w:rPr>
        <w:t>[Date]</w:t>
      </w:r>
    </w:p>
    <w:p w14:paraId="069F2E64"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sz w:val="24"/>
          <w:szCs w:val="24"/>
        </w:rPr>
        <w:t xml:space="preserve">[Signature — </w:t>
      </w:r>
      <w:r w:rsidRPr="0039175E">
        <w:rPr>
          <w:rFonts w:cs="Times New Roman"/>
          <w:sz w:val="24"/>
          <w:szCs w:val="24"/>
          <w:lang w:val="fr-FR"/>
        </w:rPr>
        <w:t xml:space="preserve">Tenant Association </w:t>
      </w:r>
      <w:proofErr w:type="spellStart"/>
      <w:r w:rsidRPr="0039175E">
        <w:rPr>
          <w:rFonts w:cs="Times New Roman"/>
          <w:sz w:val="24"/>
          <w:szCs w:val="24"/>
          <w:lang w:val="fr-FR"/>
        </w:rPr>
        <w:t>President</w:t>
      </w:r>
      <w:proofErr w:type="spellEnd"/>
      <w:r w:rsidRPr="0039175E">
        <w:rPr>
          <w:rFonts w:cs="Times New Roman"/>
          <w:sz w:val="24"/>
          <w:szCs w:val="24"/>
          <w:lang w:val="fr-FR"/>
        </w:rPr>
        <w:t>]</w:t>
      </w:r>
      <w:r w:rsidRPr="0039175E">
        <w:rPr>
          <w:rFonts w:eastAsia="Times Roman" w:cs="Times New Roman"/>
          <w:sz w:val="24"/>
          <w:szCs w:val="24"/>
        </w:rPr>
        <w:br/>
      </w:r>
      <w:r w:rsidRPr="0039175E">
        <w:rPr>
          <w:rFonts w:cs="Times New Roman"/>
          <w:sz w:val="24"/>
          <w:szCs w:val="24"/>
        </w:rPr>
        <w:t>[Name]</w:t>
      </w:r>
      <w:r w:rsidRPr="0039175E">
        <w:rPr>
          <w:rFonts w:eastAsia="Times Roman" w:cs="Times New Roman"/>
          <w:sz w:val="24"/>
          <w:szCs w:val="24"/>
        </w:rPr>
        <w:br/>
      </w:r>
      <w:r w:rsidRPr="0039175E">
        <w:rPr>
          <w:rFonts w:cs="Times New Roman"/>
          <w:sz w:val="24"/>
          <w:szCs w:val="24"/>
          <w:lang w:val="de-DE"/>
        </w:rPr>
        <w:t>[Date]</w:t>
      </w:r>
    </w:p>
    <w:p w14:paraId="23C368F4"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sz w:val="24"/>
          <w:szCs w:val="24"/>
        </w:rPr>
        <w:t>Each of the remaining template folders will follow this level of detail and legal formality. Let me know when you</w:t>
      </w:r>
      <w:r w:rsidRPr="0039175E">
        <w:rPr>
          <w:rFonts w:cs="Times New Roman"/>
          <w:sz w:val="24"/>
          <w:szCs w:val="24"/>
          <w:rtl/>
        </w:rPr>
        <w:t>’</w:t>
      </w:r>
      <w:r w:rsidRPr="0039175E">
        <w:rPr>
          <w:rFonts w:cs="Times New Roman"/>
          <w:sz w:val="24"/>
          <w:szCs w:val="24"/>
        </w:rPr>
        <w:t>re ready to continue with Folder 2: Sample Memorandum of Understanding (MOU).</w:t>
      </w:r>
    </w:p>
    <w:p w14:paraId="1A9E1C14" w14:textId="77777777" w:rsidR="001C54EE" w:rsidRPr="0039175E" w:rsidRDefault="001C54EE">
      <w:pPr>
        <w:pStyle w:val="Default"/>
        <w:suppressAutoHyphens/>
        <w:spacing w:before="0" w:after="240" w:line="240" w:lineRule="auto"/>
        <w:rPr>
          <w:rFonts w:eastAsia="Times Roman" w:cs="Times New Roman"/>
          <w:sz w:val="24"/>
          <w:szCs w:val="24"/>
        </w:rPr>
      </w:pPr>
    </w:p>
    <w:p w14:paraId="3EA7F106" w14:textId="77777777" w:rsidR="001C54EE" w:rsidRPr="0039175E" w:rsidRDefault="00000000">
      <w:pPr>
        <w:pStyle w:val="Default"/>
        <w:suppressAutoHyphens/>
        <w:spacing w:before="0" w:after="281" w:line="240" w:lineRule="auto"/>
        <w:rPr>
          <w:rFonts w:cs="Times New Roman"/>
        </w:rPr>
      </w:pPr>
      <w:r w:rsidRPr="0039175E">
        <w:rPr>
          <w:rFonts w:cs="Times New Roman"/>
          <w:sz w:val="28"/>
          <w:szCs w:val="28"/>
        </w:rPr>
        <w:br w:type="page"/>
      </w:r>
    </w:p>
    <w:p w14:paraId="4BD65124" w14:textId="77777777" w:rsidR="001C54EE" w:rsidRPr="0039175E" w:rsidRDefault="00000000">
      <w:pPr>
        <w:pStyle w:val="Heading2"/>
        <w:rPr>
          <w:rFonts w:cs="Times New Roman"/>
        </w:rPr>
      </w:pPr>
      <w:r w:rsidRPr="0039175E">
        <w:rPr>
          <w:rFonts w:cs="Times New Roman"/>
        </w:rPr>
        <w:lastRenderedPageBreak/>
        <w:t>Folder 3: Acquisition Financing Term Sheet</w:t>
      </w:r>
    </w:p>
    <w:p w14:paraId="77F3A35F"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lang w:val="fr-FR"/>
        </w:rPr>
        <w:t xml:space="preserve">Document </w:t>
      </w:r>
      <w:proofErr w:type="spellStart"/>
      <w:proofErr w:type="gramStart"/>
      <w:r w:rsidRPr="0039175E">
        <w:rPr>
          <w:rFonts w:cs="Times New Roman"/>
          <w:b/>
          <w:bCs/>
          <w:sz w:val="24"/>
          <w:szCs w:val="24"/>
          <w:lang w:val="fr-FR"/>
        </w:rPr>
        <w:t>Title</w:t>
      </w:r>
      <w:proofErr w:type="spellEnd"/>
      <w:r w:rsidRPr="0039175E">
        <w:rPr>
          <w:rFonts w:cs="Times New Roman"/>
          <w:b/>
          <w:bCs/>
          <w:sz w:val="24"/>
          <w:szCs w:val="24"/>
          <w:lang w:val="fr-FR"/>
        </w:rPr>
        <w:t>:</w:t>
      </w:r>
      <w:proofErr w:type="gramEnd"/>
      <w:r w:rsidRPr="0039175E">
        <w:rPr>
          <w:rFonts w:cs="Times New Roman"/>
          <w:sz w:val="24"/>
          <w:szCs w:val="24"/>
          <w:lang w:val="it-IT"/>
        </w:rPr>
        <w:t xml:space="preserve"> TCAP Cooperative </w:t>
      </w:r>
      <w:proofErr w:type="spellStart"/>
      <w:r w:rsidRPr="0039175E">
        <w:rPr>
          <w:rFonts w:cs="Times New Roman"/>
          <w:sz w:val="24"/>
          <w:szCs w:val="24"/>
          <w:lang w:val="it-IT"/>
        </w:rPr>
        <w:t>Acquisition</w:t>
      </w:r>
      <w:proofErr w:type="spellEnd"/>
      <w:r w:rsidRPr="0039175E">
        <w:rPr>
          <w:rFonts w:cs="Times New Roman"/>
          <w:sz w:val="24"/>
          <w:szCs w:val="24"/>
          <w:lang w:val="it-IT"/>
        </w:rPr>
        <w:t xml:space="preserve"> </w:t>
      </w:r>
      <w:proofErr w:type="spellStart"/>
      <w:r w:rsidRPr="0039175E">
        <w:rPr>
          <w:rFonts w:cs="Times New Roman"/>
          <w:sz w:val="24"/>
          <w:szCs w:val="24"/>
          <w:lang w:val="it-IT"/>
        </w:rPr>
        <w:t>Term</w:t>
      </w:r>
      <w:proofErr w:type="spellEnd"/>
      <w:r w:rsidRPr="0039175E">
        <w:rPr>
          <w:rFonts w:cs="Times New Roman"/>
          <w:sz w:val="24"/>
          <w:szCs w:val="24"/>
          <w:lang w:val="it-IT"/>
        </w:rPr>
        <w:t xml:space="preserve"> </w:t>
      </w:r>
      <w:proofErr w:type="spellStart"/>
      <w:r w:rsidRPr="0039175E">
        <w:rPr>
          <w:rFonts w:cs="Times New Roman"/>
          <w:sz w:val="24"/>
          <w:szCs w:val="24"/>
          <w:lang w:val="it-IT"/>
        </w:rPr>
        <w:t>Sheet</w:t>
      </w:r>
      <w:proofErr w:type="spellEnd"/>
    </w:p>
    <w:p w14:paraId="58CF76C9"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rPr>
        <w:t>Borrower:</w:t>
      </w:r>
      <w:r w:rsidRPr="0039175E">
        <w:rPr>
          <w:rFonts w:cs="Times New Roman"/>
          <w:sz w:val="24"/>
          <w:szCs w:val="24"/>
        </w:rPr>
        <w:t xml:space="preserve"> [Name of Tenant Cooperative or Association]</w:t>
      </w:r>
      <w:r w:rsidRPr="0039175E">
        <w:rPr>
          <w:rFonts w:eastAsia="Times Roman" w:cs="Times New Roman"/>
          <w:sz w:val="24"/>
          <w:szCs w:val="24"/>
        </w:rPr>
        <w:br/>
      </w:r>
      <w:proofErr w:type="spellStart"/>
      <w:r w:rsidRPr="0039175E">
        <w:rPr>
          <w:rFonts w:cs="Times New Roman"/>
          <w:b/>
          <w:bCs/>
          <w:sz w:val="24"/>
          <w:szCs w:val="24"/>
          <w:lang w:val="de-DE"/>
        </w:rPr>
        <w:t>Lender</w:t>
      </w:r>
      <w:proofErr w:type="spellEnd"/>
      <w:r w:rsidRPr="0039175E">
        <w:rPr>
          <w:rFonts w:cs="Times New Roman"/>
          <w:b/>
          <w:bCs/>
          <w:sz w:val="24"/>
          <w:szCs w:val="24"/>
          <w:lang w:val="de-DE"/>
        </w:rPr>
        <w:t>:</w:t>
      </w:r>
      <w:r w:rsidRPr="0039175E">
        <w:rPr>
          <w:rFonts w:cs="Times New Roman"/>
          <w:sz w:val="24"/>
          <w:szCs w:val="24"/>
        </w:rPr>
        <w:t xml:space="preserve"> [Designated Community Development Financial Institution (CDFI)]</w:t>
      </w:r>
      <w:r w:rsidRPr="0039175E">
        <w:rPr>
          <w:rFonts w:eastAsia="Times Roman" w:cs="Times New Roman"/>
          <w:sz w:val="24"/>
          <w:szCs w:val="24"/>
        </w:rPr>
        <w:br/>
      </w:r>
      <w:proofErr w:type="spellStart"/>
      <w:r w:rsidRPr="0039175E">
        <w:rPr>
          <w:rFonts w:cs="Times New Roman"/>
          <w:b/>
          <w:bCs/>
          <w:sz w:val="24"/>
          <w:szCs w:val="24"/>
          <w:lang w:val="it-IT"/>
        </w:rPr>
        <w:t>Guarantor</w:t>
      </w:r>
      <w:proofErr w:type="spellEnd"/>
      <w:r w:rsidRPr="0039175E">
        <w:rPr>
          <w:rFonts w:cs="Times New Roman"/>
          <w:b/>
          <w:bCs/>
          <w:sz w:val="24"/>
          <w:szCs w:val="24"/>
          <w:lang w:val="it-IT"/>
        </w:rPr>
        <w:t>:</w:t>
      </w:r>
      <w:r w:rsidRPr="0039175E">
        <w:rPr>
          <w:rFonts w:cs="Times New Roman"/>
          <w:sz w:val="24"/>
          <w:szCs w:val="24"/>
        </w:rPr>
        <w:t xml:space="preserve"> New York City Department of Housing Preservation and Development (HPD)</w:t>
      </w:r>
    </w:p>
    <w:p w14:paraId="2A0CDFDA"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rPr>
        <w:t>Loan Purpose:</w:t>
      </w:r>
      <w:r w:rsidRPr="0039175E">
        <w:rPr>
          <w:rFonts w:cs="Times New Roman"/>
          <w:sz w:val="24"/>
          <w:szCs w:val="24"/>
        </w:rPr>
        <w:t xml:space="preserve"> To finance the acquisition and initial rehabilitation of the residential property located at [property address], in accordance with TCAP policy and affordability standards.</w:t>
      </w:r>
    </w:p>
    <w:p w14:paraId="4AF47813"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rPr>
        <w:t>Loan Amount:</w:t>
      </w:r>
      <w:r w:rsidRPr="0039175E">
        <w:rPr>
          <w:rFonts w:cs="Times New Roman"/>
          <w:sz w:val="24"/>
          <w:szCs w:val="24"/>
        </w:rPr>
        <w:t xml:space="preserve"> Up to $[amount based on valuation], subject to final underwriting approval</w:t>
      </w:r>
    </w:p>
    <w:p w14:paraId="1FAF4E7D"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rPr>
        <w:t>Interest Rate:</w:t>
      </w:r>
      <w:r w:rsidRPr="0039175E">
        <w:rPr>
          <w:rFonts w:cs="Times New Roman"/>
          <w:sz w:val="24"/>
          <w:szCs w:val="24"/>
        </w:rPr>
        <w:t xml:space="preserve"> [Insert fixed </w:t>
      </w:r>
      <w:proofErr w:type="gramStart"/>
      <w:r w:rsidRPr="0039175E">
        <w:rPr>
          <w:rFonts w:cs="Times New Roman"/>
          <w:sz w:val="24"/>
          <w:szCs w:val="24"/>
        </w:rPr>
        <w:t>rate]%</w:t>
      </w:r>
      <w:proofErr w:type="gramEnd"/>
      <w:r w:rsidRPr="0039175E">
        <w:rPr>
          <w:rFonts w:cs="Times New Roman"/>
          <w:sz w:val="24"/>
          <w:szCs w:val="24"/>
        </w:rPr>
        <w:t xml:space="preserve"> annually, fixed for the term of the </w:t>
      </w:r>
      <w:proofErr w:type="gramStart"/>
      <w:r w:rsidRPr="0039175E">
        <w:rPr>
          <w:rFonts w:cs="Times New Roman"/>
          <w:sz w:val="24"/>
          <w:szCs w:val="24"/>
        </w:rPr>
        <w:t>loan</w:t>
      </w:r>
      <w:proofErr w:type="gramEnd"/>
    </w:p>
    <w:p w14:paraId="2362E63B" w14:textId="77777777" w:rsidR="001C54EE" w:rsidRPr="0039175E" w:rsidRDefault="00000000">
      <w:pPr>
        <w:pStyle w:val="Default"/>
        <w:suppressAutoHyphens/>
        <w:spacing w:before="0" w:after="240" w:line="240" w:lineRule="auto"/>
        <w:rPr>
          <w:rFonts w:eastAsia="Times Roman" w:cs="Times New Roman"/>
          <w:sz w:val="24"/>
          <w:szCs w:val="24"/>
        </w:rPr>
      </w:pPr>
      <w:proofErr w:type="spellStart"/>
      <w:r w:rsidRPr="0039175E">
        <w:rPr>
          <w:rFonts w:cs="Times New Roman"/>
          <w:b/>
          <w:bCs/>
          <w:sz w:val="24"/>
          <w:szCs w:val="24"/>
          <w:lang w:val="it-IT"/>
        </w:rPr>
        <w:t>Term</w:t>
      </w:r>
      <w:proofErr w:type="spellEnd"/>
      <w:r w:rsidRPr="0039175E">
        <w:rPr>
          <w:rFonts w:cs="Times New Roman"/>
          <w:b/>
          <w:bCs/>
          <w:sz w:val="24"/>
          <w:szCs w:val="24"/>
          <w:lang w:val="it-IT"/>
        </w:rPr>
        <w:t>:</w:t>
      </w:r>
      <w:r w:rsidRPr="0039175E">
        <w:rPr>
          <w:rFonts w:cs="Times New Roman"/>
          <w:sz w:val="24"/>
          <w:szCs w:val="24"/>
        </w:rPr>
        <w:t xml:space="preserve"> [Insert] years, fully amortizing</w:t>
      </w:r>
    </w:p>
    <w:p w14:paraId="24273097"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rPr>
        <w:t>Repayment Schedule:</w:t>
      </w:r>
    </w:p>
    <w:p w14:paraId="0E7FCB74"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Monthly payments due on the first of each month</w:t>
      </w:r>
    </w:p>
    <w:p w14:paraId="57ACD643"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Grace period: 12-month interest-only period post-closing</w:t>
      </w:r>
    </w:p>
    <w:p w14:paraId="1CA4C03A"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Amortization begins in year 2 with equal monthly principal and interest payments</w:t>
      </w:r>
    </w:p>
    <w:p w14:paraId="776F3C85"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rPr>
        <w:t>Security:</w:t>
      </w:r>
    </w:p>
    <w:p w14:paraId="0171B727"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First lien mortgage on the property</w:t>
      </w:r>
    </w:p>
    <w:p w14:paraId="028BF7D0"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Assignment of all subsidy conversion credits and cooperative share pledge agreements</w:t>
      </w:r>
    </w:p>
    <w:p w14:paraId="4EAE9338"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Reserve account held in escrow by lender, minimum initial balance: 5% of total loan</w:t>
      </w:r>
    </w:p>
    <w:p w14:paraId="1A52BA93"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rPr>
        <w:t>Conditions Precedent:</w:t>
      </w:r>
    </w:p>
    <w:p w14:paraId="72CC61DB"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Board formation and bylaw adoption</w:t>
      </w:r>
    </w:p>
    <w:p w14:paraId="25D30133"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Completion of technical assistance and governance training</w:t>
      </w:r>
    </w:p>
    <w:p w14:paraId="2AE1D7EC"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HPD certification of eligibility and compliance with affordability covenant</w:t>
      </w:r>
    </w:p>
    <w:p w14:paraId="35253CC5"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rPr>
        <w:t xml:space="preserve">Disbursement </w:t>
      </w:r>
      <w:proofErr w:type="spellStart"/>
      <w:proofErr w:type="gramStart"/>
      <w:r w:rsidRPr="0039175E">
        <w:rPr>
          <w:rFonts w:cs="Times New Roman"/>
          <w:b/>
          <w:bCs/>
          <w:sz w:val="24"/>
          <w:szCs w:val="24"/>
        </w:rPr>
        <w:t>Schedule:ip</w:t>
      </w:r>
      <w:proofErr w:type="spellEnd"/>
      <w:proofErr w:type="gramEnd"/>
      <w:r w:rsidRPr="0039175E">
        <w:rPr>
          <w:rFonts w:cs="Times New Roman"/>
          <w:b/>
          <w:bCs/>
          <w:sz w:val="24"/>
          <w:szCs w:val="24"/>
        </w:rPr>
        <w:t>. in8b70]</w:t>
      </w:r>
    </w:p>
    <w:p w14:paraId="709928B5"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50% at closing</w:t>
      </w:r>
    </w:p>
    <w:p w14:paraId="3EBB8B1C"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25% upon completion of legal transfer and co-op incorporation</w:t>
      </w:r>
    </w:p>
    <w:p w14:paraId="3BD48577"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25% upon submission of first-year operating budget and proof of reserve account</w:t>
      </w:r>
    </w:p>
    <w:p w14:paraId="63110D54"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rPr>
        <w:t>Default Triggers:</w:t>
      </w:r>
    </w:p>
    <w:p w14:paraId="20394D53"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lastRenderedPageBreak/>
        <w:t>Breach of affordability term</w:t>
      </w:r>
      <w:proofErr w:type="gramStart"/>
      <w:r w:rsidRPr="0039175E">
        <w:rPr>
          <w:rFonts w:cs="Times New Roman"/>
          <w:sz w:val="24"/>
          <w:szCs w:val="24"/>
        </w:rPr>
        <w:t>":......................</w:t>
      </w:r>
      <w:proofErr w:type="gramEnd"/>
      <w:r w:rsidRPr="0039175E">
        <w:rPr>
          <w:rFonts w:cs="Times New Roman"/>
          <w:sz w:val="24"/>
          <w:szCs w:val="24"/>
        </w:rPr>
        <w:t>////////</w:t>
      </w:r>
      <w:proofErr w:type="spellStart"/>
      <w:r w:rsidRPr="0039175E">
        <w:rPr>
          <w:rFonts w:cs="Times New Roman"/>
          <w:sz w:val="24"/>
          <w:szCs w:val="24"/>
        </w:rPr>
        <w:t>ve</w:t>
      </w:r>
      <w:proofErr w:type="spellEnd"/>
      <w:r w:rsidRPr="0039175E">
        <w:rPr>
          <w:rFonts w:cs="Times New Roman"/>
          <w:sz w:val="24"/>
          <w:szCs w:val="24"/>
        </w:rPr>
        <w:t>............../</w:t>
      </w:r>
      <w:r w:rsidRPr="0039175E">
        <w:rPr>
          <w:rFonts w:cs="Times New Roman"/>
          <w:sz w:val="24"/>
          <w:szCs w:val="24"/>
          <w:lang w:val="pt-PT"/>
        </w:rPr>
        <w:t xml:space="preserve"> </w:t>
      </w:r>
      <w:proofErr w:type="spellStart"/>
      <w:r w:rsidRPr="0039175E">
        <w:rPr>
          <w:rFonts w:cs="Times New Roman"/>
          <w:sz w:val="24"/>
          <w:szCs w:val="24"/>
          <w:lang w:val="pt-PT"/>
        </w:rPr>
        <w:t>governance</w:t>
      </w:r>
      <w:proofErr w:type="spellEnd"/>
      <w:r w:rsidRPr="0039175E">
        <w:rPr>
          <w:rFonts w:cs="Times New Roman"/>
          <w:sz w:val="24"/>
          <w:szCs w:val="24"/>
          <w:lang w:val="pt-PT"/>
        </w:rPr>
        <w:t xml:space="preserve"> </w:t>
      </w:r>
      <w:proofErr w:type="spellStart"/>
      <w:r w:rsidRPr="0039175E">
        <w:rPr>
          <w:rFonts w:cs="Times New Roman"/>
          <w:sz w:val="24"/>
          <w:szCs w:val="24"/>
          <w:lang w:val="pt-PT"/>
        </w:rPr>
        <w:t>compliance</w:t>
      </w:r>
      <w:proofErr w:type="spellEnd"/>
    </w:p>
    <w:p w14:paraId="51581BA7"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Missed payments exceeding 90 days</w:t>
      </w:r>
    </w:p>
    <w:p w14:paraId="3C29BFD8" w14:textId="77777777" w:rsidR="001C54EE" w:rsidRPr="0039175E" w:rsidRDefault="00000000">
      <w:pPr>
        <w:pStyle w:val="Default"/>
        <w:suppressAutoHyphens/>
        <w:spacing w:before="0" w:after="240" w:line="240" w:lineRule="auto"/>
        <w:rPr>
          <w:rFonts w:eastAsia="Times Roman" w:cs="Times New Roman"/>
          <w:sz w:val="24"/>
          <w:szCs w:val="24"/>
        </w:rPr>
      </w:pPr>
      <w:proofErr w:type="gramStart"/>
      <w:r w:rsidRPr="0039175E">
        <w:rPr>
          <w:rFonts w:cs="Times New Roman"/>
          <w:b/>
          <w:bCs/>
          <w:sz w:val="24"/>
          <w:szCs w:val="24"/>
          <w:lang w:val="fr-FR"/>
        </w:rPr>
        <w:t>Covenants:</w:t>
      </w:r>
      <w:proofErr w:type="gramEnd"/>
    </w:p>
    <w:p w14:paraId="28B183B5"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Annual audit submission to lender and HPD</w:t>
      </w:r>
    </w:p>
    <w:p w14:paraId="3D16801C"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Participation in mid-term cooperative health check conducted by approved intermediary</w:t>
      </w:r>
    </w:p>
    <w:p w14:paraId="233D8558"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rPr>
        <w:t>Signatures:</w:t>
      </w:r>
      <w:r w:rsidRPr="0039175E">
        <w:rPr>
          <w:rFonts w:cs="Times New Roman"/>
          <w:sz w:val="24"/>
          <w:szCs w:val="24"/>
        </w:rPr>
        <w:t xml:space="preserve"> [Authorized Cooperative Officer]</w:t>
      </w:r>
      <w:r w:rsidRPr="0039175E">
        <w:rPr>
          <w:rFonts w:eastAsia="Times Roman" w:cs="Times New Roman"/>
          <w:sz w:val="24"/>
          <w:szCs w:val="24"/>
        </w:rPr>
        <w:br/>
      </w:r>
      <w:r w:rsidRPr="0039175E">
        <w:rPr>
          <w:rFonts w:cs="Times New Roman"/>
          <w:sz w:val="24"/>
          <w:szCs w:val="24"/>
          <w:lang w:val="de-DE"/>
        </w:rPr>
        <w:t>[Date]</w:t>
      </w:r>
    </w:p>
    <w:p w14:paraId="0A314C46"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sz w:val="24"/>
          <w:szCs w:val="24"/>
        </w:rPr>
        <w:t>[Authorized CDFI Officer]</w:t>
      </w:r>
      <w:r w:rsidRPr="0039175E">
        <w:rPr>
          <w:rFonts w:eastAsia="Times Roman" w:cs="Times New Roman"/>
          <w:sz w:val="24"/>
          <w:szCs w:val="24"/>
        </w:rPr>
        <w:br/>
      </w:r>
      <w:r w:rsidRPr="0039175E">
        <w:rPr>
          <w:rFonts w:cs="Times New Roman"/>
          <w:sz w:val="24"/>
          <w:szCs w:val="24"/>
          <w:lang w:val="de-DE"/>
        </w:rPr>
        <w:t>[Date]</w:t>
      </w:r>
    </w:p>
    <w:p w14:paraId="2047E1F6"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sz w:val="24"/>
          <w:szCs w:val="24"/>
        </w:rPr>
        <w:t>Each of the remaining template folders will follow this level of detail and legal formality. Let me know when you</w:t>
      </w:r>
      <w:r w:rsidRPr="0039175E">
        <w:rPr>
          <w:rFonts w:cs="Times New Roman"/>
          <w:sz w:val="24"/>
          <w:szCs w:val="24"/>
          <w:rtl/>
        </w:rPr>
        <w:t>’</w:t>
      </w:r>
      <w:r w:rsidRPr="0039175E">
        <w:rPr>
          <w:rFonts w:cs="Times New Roman"/>
          <w:sz w:val="24"/>
          <w:szCs w:val="24"/>
        </w:rPr>
        <w:t>re ready to continue with Folder 2: Sample Memorandum of Understanding (MOU).</w:t>
      </w:r>
    </w:p>
    <w:p w14:paraId="00B46D9E" w14:textId="77777777" w:rsidR="001C54EE" w:rsidRPr="0039175E" w:rsidRDefault="001C54EE">
      <w:pPr>
        <w:pStyle w:val="Default"/>
        <w:suppressAutoHyphens/>
        <w:spacing w:before="0" w:after="240" w:line="240" w:lineRule="auto"/>
        <w:rPr>
          <w:rFonts w:eastAsia="Times Roman" w:cs="Times New Roman"/>
          <w:sz w:val="24"/>
          <w:szCs w:val="24"/>
        </w:rPr>
      </w:pPr>
    </w:p>
    <w:p w14:paraId="24DDF24F" w14:textId="77777777" w:rsidR="001C54EE" w:rsidRPr="0039175E" w:rsidRDefault="00000000">
      <w:pPr>
        <w:pStyle w:val="Default"/>
        <w:suppressAutoHyphens/>
        <w:spacing w:before="0" w:after="281" w:line="240" w:lineRule="auto"/>
        <w:rPr>
          <w:rFonts w:cs="Times New Roman"/>
        </w:rPr>
      </w:pPr>
      <w:r w:rsidRPr="0039175E">
        <w:rPr>
          <w:rFonts w:cs="Times New Roman"/>
          <w:sz w:val="28"/>
          <w:szCs w:val="28"/>
        </w:rPr>
        <w:br w:type="page"/>
      </w:r>
    </w:p>
    <w:p w14:paraId="71A5851B" w14:textId="77777777" w:rsidR="001C54EE" w:rsidRPr="0039175E" w:rsidRDefault="00000000">
      <w:pPr>
        <w:pStyle w:val="Heading2"/>
        <w:rPr>
          <w:rFonts w:cs="Times New Roman"/>
        </w:rPr>
      </w:pPr>
      <w:r w:rsidRPr="0039175E">
        <w:rPr>
          <w:rFonts w:cs="Times New Roman"/>
        </w:rPr>
        <w:lastRenderedPageBreak/>
        <w:t>Folder 4: Affordability Covenant Agreement</w:t>
      </w:r>
    </w:p>
    <w:p w14:paraId="75F0624A"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lang w:val="fr-FR"/>
        </w:rPr>
        <w:t xml:space="preserve">Document </w:t>
      </w:r>
      <w:proofErr w:type="spellStart"/>
      <w:proofErr w:type="gramStart"/>
      <w:r w:rsidRPr="0039175E">
        <w:rPr>
          <w:rFonts w:cs="Times New Roman"/>
          <w:b/>
          <w:bCs/>
          <w:sz w:val="24"/>
          <w:szCs w:val="24"/>
          <w:lang w:val="fr-FR"/>
        </w:rPr>
        <w:t>Title</w:t>
      </w:r>
      <w:proofErr w:type="spellEnd"/>
      <w:r w:rsidRPr="0039175E">
        <w:rPr>
          <w:rFonts w:cs="Times New Roman"/>
          <w:b/>
          <w:bCs/>
          <w:sz w:val="24"/>
          <w:szCs w:val="24"/>
          <w:lang w:val="fr-FR"/>
        </w:rPr>
        <w:t>:</w:t>
      </w:r>
      <w:proofErr w:type="gramEnd"/>
      <w:r w:rsidRPr="0039175E">
        <w:rPr>
          <w:rFonts w:cs="Times New Roman"/>
          <w:sz w:val="24"/>
          <w:szCs w:val="24"/>
        </w:rPr>
        <w:t xml:space="preserve"> TCAP Affordability Covenant Agreement</w:t>
      </w:r>
    </w:p>
    <w:p w14:paraId="21F7B4AF" w14:textId="77777777" w:rsidR="001C54EE" w:rsidRPr="0039175E" w:rsidRDefault="00000000">
      <w:pPr>
        <w:pStyle w:val="Default"/>
        <w:suppressAutoHyphens/>
        <w:spacing w:before="0" w:after="240" w:line="240" w:lineRule="auto"/>
        <w:rPr>
          <w:rFonts w:eastAsia="Times Roman" w:cs="Times New Roman"/>
          <w:sz w:val="24"/>
          <w:szCs w:val="24"/>
        </w:rPr>
      </w:pPr>
      <w:proofErr w:type="gramStart"/>
      <w:r w:rsidRPr="0039175E">
        <w:rPr>
          <w:rFonts w:cs="Times New Roman"/>
          <w:b/>
          <w:bCs/>
          <w:sz w:val="24"/>
          <w:szCs w:val="24"/>
          <w:lang w:val="fr-FR"/>
        </w:rPr>
        <w:t>Parties:</w:t>
      </w:r>
      <w:proofErr w:type="gramEnd"/>
      <w:r w:rsidRPr="0039175E">
        <w:rPr>
          <w:rFonts w:eastAsia="Times Roman" w:cs="Times New Roman"/>
          <w:sz w:val="24"/>
          <w:szCs w:val="24"/>
        </w:rPr>
        <w:br/>
      </w:r>
      <w:r w:rsidRPr="0039175E">
        <w:rPr>
          <w:rFonts w:cs="Times New Roman"/>
          <w:sz w:val="24"/>
          <w:szCs w:val="24"/>
        </w:rPr>
        <w:t>New York City Department of Housing Preservation and Development ("HPD")</w:t>
      </w:r>
      <w:r w:rsidRPr="0039175E">
        <w:rPr>
          <w:rFonts w:eastAsia="Times Roman" w:cs="Times New Roman"/>
          <w:sz w:val="24"/>
          <w:szCs w:val="24"/>
        </w:rPr>
        <w:br/>
      </w:r>
      <w:r w:rsidRPr="0039175E">
        <w:rPr>
          <w:rFonts w:cs="Times New Roman"/>
          <w:sz w:val="24"/>
          <w:szCs w:val="24"/>
        </w:rPr>
        <w:t>[Name of Limited-Equity Cooperative] ("Cooperative")</w:t>
      </w:r>
    </w:p>
    <w:p w14:paraId="36DB6488"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rPr>
        <w:t>Preamble:</w:t>
      </w:r>
      <w:r w:rsidRPr="0039175E">
        <w:rPr>
          <w:rFonts w:cs="Times New Roman"/>
          <w:sz w:val="24"/>
          <w:szCs w:val="24"/>
        </w:rPr>
        <w:t xml:space="preserve"> This agreement establishes binding affordability and governance conditions in exchange for public subsidy participation under the Tenant Co-op Acquisition Program ("TCAP"). It is intended to ensure permanent affordability and cooperative compliance.</w:t>
      </w:r>
    </w:p>
    <w:p w14:paraId="19AC8FC6"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rPr>
        <w:t>1. Duration of Affordability</w:t>
      </w:r>
    </w:p>
    <w:p w14:paraId="0C1454A8"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The Cooperative shall maintain affordability for no less than thirty (30) years from the date of conversion.</w:t>
      </w:r>
    </w:p>
    <w:p w14:paraId="03006D94"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The affordability period may be extended in any renewal financing or covenant renegotiation.</w:t>
      </w:r>
    </w:p>
    <w:p w14:paraId="42787140"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rPr>
        <w:t>2. Shareholder Eligibility and Resale Restrictions</w:t>
      </w:r>
    </w:p>
    <w:p w14:paraId="219D7DB8"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All units shall be occupied by individuals or households at or below 100% of area median income (AMI).</w:t>
      </w:r>
    </w:p>
    <w:p w14:paraId="31ECC1AE"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Share sales must be approved by the Cooperative Board and HPD.</w:t>
      </w:r>
    </w:p>
    <w:p w14:paraId="62CEEEC6"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Resale prices shall be capped at original purchase price plus a maximum 2% annual increase, compounded.</w:t>
      </w:r>
    </w:p>
    <w:p w14:paraId="37AB1578"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Shareholders may not lease or sublet units without prior board approval and HPD notification.</w:t>
      </w:r>
    </w:p>
    <w:p w14:paraId="396379E1"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rPr>
        <w:t>3. Capital Reserve and Maintenance Obligations</w:t>
      </w:r>
    </w:p>
    <w:p w14:paraId="38478C0C"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The Cooperative shall maintain a minimum capital reserve balance equivalent to 3 months of operating expenses.</w:t>
      </w:r>
    </w:p>
    <w:p w14:paraId="2BD48400"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Annual operating budgets and reserve status reports must be submitted to HPD.</w:t>
      </w:r>
    </w:p>
    <w:p w14:paraId="12D8AD19"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rPr>
        <w:t>4. Monitoring and Compliance</w:t>
      </w:r>
    </w:p>
    <w:p w14:paraId="1D755B4C"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HPD shall conduct affordability compliance reviews every three years.</w:t>
      </w:r>
    </w:p>
    <w:p w14:paraId="3A3C2377"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Cooperatives shall submit annual self-certification forms confirming occupancy, governance, and affordability conditions.</w:t>
      </w:r>
    </w:p>
    <w:p w14:paraId="30295031"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 xml:space="preserve">Failure to comply may trigger corrective action plans, subsidy </w:t>
      </w:r>
      <w:proofErr w:type="spellStart"/>
      <w:r w:rsidRPr="0039175E">
        <w:rPr>
          <w:rFonts w:cs="Times New Roman"/>
          <w:sz w:val="24"/>
          <w:szCs w:val="24"/>
        </w:rPr>
        <w:t>clawbacks</w:t>
      </w:r>
      <w:proofErr w:type="spellEnd"/>
      <w:r w:rsidRPr="0039175E">
        <w:rPr>
          <w:rFonts w:cs="Times New Roman"/>
          <w:sz w:val="24"/>
          <w:szCs w:val="24"/>
        </w:rPr>
        <w:t>, or reclassification of cooperative status.</w:t>
      </w:r>
    </w:p>
    <w:p w14:paraId="3BF637FA"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rPr>
        <w:t>5. Enforcement and Remedies</w:t>
      </w:r>
    </w:p>
    <w:p w14:paraId="6FCE32EE"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lastRenderedPageBreak/>
        <w:t>HPD retains the right to enforce this agreement through injunctive relief, financial penalties, or cooperative oversight takeover.</w:t>
      </w:r>
    </w:p>
    <w:p w14:paraId="5484CEBE"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The Cooperative waives any claims against the city for enforcement actions made in good faith pursuant to this covenant.</w:t>
      </w:r>
    </w:p>
    <w:p w14:paraId="05FC39A6"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rPr>
        <w:t>6. Amendment and Transfer</w:t>
      </w:r>
    </w:p>
    <w:p w14:paraId="383C5AFD"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This covenant shall bind all successors and assigns.</w:t>
      </w:r>
    </w:p>
    <w:p w14:paraId="7E7B72E6"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 xml:space="preserve">Amendments require written approval by </w:t>
      </w:r>
      <w:proofErr w:type="gramStart"/>
      <w:r w:rsidRPr="0039175E">
        <w:rPr>
          <w:rFonts w:cs="Times New Roman"/>
          <w:sz w:val="24"/>
          <w:szCs w:val="24"/>
        </w:rPr>
        <w:t>HPD</w:t>
      </w:r>
      <w:proofErr w:type="gramEnd"/>
      <w:r w:rsidRPr="0039175E">
        <w:rPr>
          <w:rFonts w:cs="Times New Roman"/>
          <w:sz w:val="24"/>
          <w:szCs w:val="24"/>
        </w:rPr>
        <w:t xml:space="preserve"> and a two-thirds vote of the Cooperative Board.</w:t>
      </w:r>
    </w:p>
    <w:p w14:paraId="60F3DD56"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rPr>
        <w:t>Signatures:</w:t>
      </w:r>
      <w:r w:rsidRPr="0039175E">
        <w:rPr>
          <w:rFonts w:cs="Times New Roman"/>
          <w:sz w:val="24"/>
          <w:szCs w:val="24"/>
        </w:rPr>
        <w:t xml:space="preserve"> [Authorized HPD Representative]</w:t>
      </w:r>
      <w:r w:rsidRPr="0039175E">
        <w:rPr>
          <w:rFonts w:eastAsia="Times Roman" w:cs="Times New Roman"/>
          <w:sz w:val="24"/>
          <w:szCs w:val="24"/>
        </w:rPr>
        <w:br/>
      </w:r>
      <w:r w:rsidRPr="0039175E">
        <w:rPr>
          <w:rFonts w:cs="Times New Roman"/>
          <w:sz w:val="24"/>
          <w:szCs w:val="24"/>
          <w:lang w:val="pt-PT"/>
        </w:rPr>
        <w:t>[</w:t>
      </w:r>
      <w:proofErr w:type="spellStart"/>
      <w:r w:rsidRPr="0039175E">
        <w:rPr>
          <w:rFonts w:cs="Times New Roman"/>
          <w:sz w:val="24"/>
          <w:szCs w:val="24"/>
          <w:lang w:val="pt-PT"/>
        </w:rPr>
        <w:t>Title</w:t>
      </w:r>
      <w:proofErr w:type="spellEnd"/>
      <w:r w:rsidRPr="0039175E">
        <w:rPr>
          <w:rFonts w:cs="Times New Roman"/>
          <w:sz w:val="24"/>
          <w:szCs w:val="24"/>
          <w:lang w:val="pt-PT"/>
        </w:rPr>
        <w:t>]</w:t>
      </w:r>
      <w:r w:rsidRPr="0039175E">
        <w:rPr>
          <w:rFonts w:eastAsia="Times Roman" w:cs="Times New Roman"/>
          <w:sz w:val="24"/>
          <w:szCs w:val="24"/>
        </w:rPr>
        <w:br/>
      </w:r>
      <w:r w:rsidRPr="0039175E">
        <w:rPr>
          <w:rFonts w:cs="Times New Roman"/>
          <w:sz w:val="24"/>
          <w:szCs w:val="24"/>
          <w:lang w:val="de-DE"/>
        </w:rPr>
        <w:t>[Date]</w:t>
      </w:r>
    </w:p>
    <w:p w14:paraId="067F08C8" w14:textId="77777777" w:rsidR="001C54EE" w:rsidRPr="0039175E" w:rsidRDefault="00000000">
      <w:pPr>
        <w:pStyle w:val="Default"/>
        <w:suppressAutoHyphens/>
        <w:spacing w:before="0" w:after="281" w:line="240" w:lineRule="auto"/>
        <w:rPr>
          <w:rFonts w:cs="Times New Roman"/>
        </w:rPr>
      </w:pPr>
      <w:r w:rsidRPr="0039175E">
        <w:rPr>
          <w:rFonts w:cs="Times New Roman"/>
          <w:sz w:val="28"/>
          <w:szCs w:val="28"/>
        </w:rPr>
        <w:br w:type="page"/>
      </w:r>
    </w:p>
    <w:p w14:paraId="5280A0A5" w14:textId="77777777" w:rsidR="001C54EE" w:rsidRPr="0039175E" w:rsidRDefault="00000000">
      <w:pPr>
        <w:pStyle w:val="Heading2"/>
        <w:rPr>
          <w:rFonts w:cs="Times New Roman"/>
        </w:rPr>
      </w:pPr>
      <w:r w:rsidRPr="0039175E">
        <w:rPr>
          <w:rFonts w:cs="Times New Roman"/>
        </w:rPr>
        <w:lastRenderedPageBreak/>
        <w:t>Folder 5: Technical Assistance Provider Contract</w:t>
      </w:r>
    </w:p>
    <w:p w14:paraId="2B9FB86D"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lang w:val="fr-FR"/>
        </w:rPr>
        <w:t xml:space="preserve">Document </w:t>
      </w:r>
      <w:proofErr w:type="spellStart"/>
      <w:proofErr w:type="gramStart"/>
      <w:r w:rsidRPr="0039175E">
        <w:rPr>
          <w:rFonts w:cs="Times New Roman"/>
          <w:b/>
          <w:bCs/>
          <w:sz w:val="24"/>
          <w:szCs w:val="24"/>
          <w:lang w:val="fr-FR"/>
        </w:rPr>
        <w:t>Title</w:t>
      </w:r>
      <w:proofErr w:type="spellEnd"/>
      <w:r w:rsidRPr="0039175E">
        <w:rPr>
          <w:rFonts w:cs="Times New Roman"/>
          <w:b/>
          <w:bCs/>
          <w:sz w:val="24"/>
          <w:szCs w:val="24"/>
          <w:lang w:val="fr-FR"/>
        </w:rPr>
        <w:t>:</w:t>
      </w:r>
      <w:proofErr w:type="gramEnd"/>
      <w:r w:rsidRPr="0039175E">
        <w:rPr>
          <w:rFonts w:cs="Times New Roman"/>
          <w:sz w:val="24"/>
          <w:szCs w:val="24"/>
        </w:rPr>
        <w:t xml:space="preserve"> Agreement for Technical Assistance Services for TCAP Cooperative Conversions</w:t>
      </w:r>
    </w:p>
    <w:p w14:paraId="29730950" w14:textId="77777777" w:rsidR="001C54EE" w:rsidRPr="0039175E" w:rsidRDefault="00000000">
      <w:pPr>
        <w:pStyle w:val="Default"/>
        <w:suppressAutoHyphens/>
        <w:spacing w:before="0" w:after="240" w:line="240" w:lineRule="auto"/>
        <w:rPr>
          <w:rFonts w:eastAsia="Times Roman" w:cs="Times New Roman"/>
          <w:sz w:val="24"/>
          <w:szCs w:val="24"/>
        </w:rPr>
      </w:pPr>
      <w:proofErr w:type="gramStart"/>
      <w:r w:rsidRPr="0039175E">
        <w:rPr>
          <w:rFonts w:cs="Times New Roman"/>
          <w:b/>
          <w:bCs/>
          <w:sz w:val="24"/>
          <w:szCs w:val="24"/>
          <w:lang w:val="fr-FR"/>
        </w:rPr>
        <w:t>Parties:</w:t>
      </w:r>
      <w:proofErr w:type="gramEnd"/>
      <w:r w:rsidRPr="0039175E">
        <w:rPr>
          <w:rFonts w:cs="Times New Roman"/>
          <w:sz w:val="24"/>
          <w:szCs w:val="24"/>
        </w:rPr>
        <w:t xml:space="preserve"> This contract is entered into by and between the New York City Department of Housing Preservation and Development ("HPD") and [Name of Technical Assistance Provider] ("Provider").</w:t>
      </w:r>
    </w:p>
    <w:p w14:paraId="3D390220"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rPr>
        <w:t>1. Purpose</w:t>
      </w:r>
      <w:r w:rsidRPr="0039175E">
        <w:rPr>
          <w:rFonts w:cs="Times New Roman"/>
          <w:sz w:val="24"/>
          <w:szCs w:val="24"/>
        </w:rPr>
        <w:t xml:space="preserve"> To provide organizational development, governance training, and compliance support for tenant associations undergoing cooperative conversion through TCAP.</w:t>
      </w:r>
    </w:p>
    <w:p w14:paraId="4F136B14"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rPr>
        <w:t>2. Scope of Services</w:t>
      </w:r>
    </w:p>
    <w:p w14:paraId="36FFB5DC"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Deliver cooperative governance training modules to tenant associations.</w:t>
      </w:r>
    </w:p>
    <w:p w14:paraId="0AF0795D"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Facilitate board formation, bylaw adoption, and meeting facilitation.</w:t>
      </w:r>
    </w:p>
    <w:p w14:paraId="466CA05A"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Provide financial literacy education and assistance with operating budget development.</w:t>
      </w:r>
    </w:p>
    <w:p w14:paraId="5050860B"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Submit monthly progress reports to HPD, including attendance logs and compliance milestones.</w:t>
      </w:r>
    </w:p>
    <w:p w14:paraId="3C333CAC"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rPr>
        <w:t>3. Deliverables and Milestones</w:t>
      </w:r>
    </w:p>
    <w:p w14:paraId="14AB62CF"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Phase 1 (0–3 months): Conduct orientation, tenant readiness assessments, and leadership onboarding.</w:t>
      </w:r>
    </w:p>
    <w:p w14:paraId="0DFA6E40"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Phase 2 (4–9 months): Support incorporation of tenant cooperative and draft governance documents.</w:t>
      </w:r>
    </w:p>
    <w:p w14:paraId="5B6458ED"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Phase 3 (10–18 months): Provide ongoing technical assistance and quarterly compliance coaching.</w:t>
      </w:r>
    </w:p>
    <w:p w14:paraId="33B46779"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rPr>
        <w:t>4. Term and Termination</w:t>
      </w:r>
    </w:p>
    <w:p w14:paraId="2AF24B99"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Initial term of 18 months from contract execution date.</w:t>
      </w:r>
    </w:p>
    <w:p w14:paraId="2C4B00BA"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HPD may terminate the agreement with 30 days' notice for cause, including nonperformance or noncompliance.</w:t>
      </w:r>
    </w:p>
    <w:p w14:paraId="5467B8BC"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rPr>
        <w:t>5. Payment Terms</w:t>
      </w:r>
    </w:p>
    <w:p w14:paraId="2A26E3FB"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Compensation: $[insert amount] per unit supported, payable in installments.</w:t>
      </w:r>
    </w:p>
    <w:p w14:paraId="3104EC4D"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Reimbursement for pre-approved training materials and meeting expenses.</w:t>
      </w:r>
    </w:p>
    <w:p w14:paraId="24EA10D4"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rPr>
        <w:t>6. Monitoring and Evaluation</w:t>
      </w:r>
    </w:p>
    <w:p w14:paraId="42945A1A"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Provider shall cooperate with HPD site visits and file reviews.</w:t>
      </w:r>
    </w:p>
    <w:p w14:paraId="50515D0E"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HPD reserves the right to audit all financial and programmatic records.</w:t>
      </w:r>
    </w:p>
    <w:p w14:paraId="5C6BB21C"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Renewal contingent on satisfactory performance evaluations.</w:t>
      </w:r>
    </w:p>
    <w:p w14:paraId="2A9CB5B6"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rPr>
        <w:t>7. Non-Discrimination and Accessibility</w:t>
      </w:r>
    </w:p>
    <w:p w14:paraId="58F3E347"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lastRenderedPageBreak/>
        <w:t>Provider agrees to comply with all federal, state, and city non-discrimination and language access laws.</w:t>
      </w:r>
    </w:p>
    <w:p w14:paraId="1F6304AB"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All training and printed materials must be made available in English, Spanish, and additional languages as required by HPD.</w:t>
      </w:r>
    </w:p>
    <w:p w14:paraId="34B6E0D9"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rPr>
        <w:t>Signatures:</w:t>
      </w:r>
      <w:r w:rsidRPr="0039175E">
        <w:rPr>
          <w:rFonts w:cs="Times New Roman"/>
          <w:sz w:val="24"/>
          <w:szCs w:val="24"/>
        </w:rPr>
        <w:t xml:space="preserve"> [Authorized HPD Official]</w:t>
      </w:r>
      <w:r w:rsidRPr="0039175E">
        <w:rPr>
          <w:rFonts w:eastAsia="Times Roman" w:cs="Times New Roman"/>
          <w:sz w:val="24"/>
          <w:szCs w:val="24"/>
        </w:rPr>
        <w:br/>
      </w:r>
      <w:r w:rsidRPr="0039175E">
        <w:rPr>
          <w:rFonts w:cs="Times New Roman"/>
          <w:sz w:val="24"/>
          <w:szCs w:val="24"/>
          <w:lang w:val="pt-PT"/>
        </w:rPr>
        <w:t>[</w:t>
      </w:r>
      <w:proofErr w:type="spellStart"/>
      <w:r w:rsidRPr="0039175E">
        <w:rPr>
          <w:rFonts w:cs="Times New Roman"/>
          <w:sz w:val="24"/>
          <w:szCs w:val="24"/>
          <w:lang w:val="pt-PT"/>
        </w:rPr>
        <w:t>Title</w:t>
      </w:r>
      <w:proofErr w:type="spellEnd"/>
      <w:r w:rsidRPr="0039175E">
        <w:rPr>
          <w:rFonts w:cs="Times New Roman"/>
          <w:sz w:val="24"/>
          <w:szCs w:val="24"/>
          <w:lang w:val="pt-PT"/>
        </w:rPr>
        <w:t>]</w:t>
      </w:r>
      <w:r w:rsidRPr="0039175E">
        <w:rPr>
          <w:rFonts w:eastAsia="Times Roman" w:cs="Times New Roman"/>
          <w:sz w:val="24"/>
          <w:szCs w:val="24"/>
        </w:rPr>
        <w:br/>
      </w:r>
      <w:r w:rsidRPr="0039175E">
        <w:rPr>
          <w:rFonts w:cs="Times New Roman"/>
          <w:sz w:val="24"/>
          <w:szCs w:val="24"/>
          <w:lang w:val="de-DE"/>
        </w:rPr>
        <w:t>[Date]</w:t>
      </w:r>
    </w:p>
    <w:p w14:paraId="66DCBEAB"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sz w:val="24"/>
          <w:szCs w:val="24"/>
        </w:rPr>
        <w:t>[Authorized Representative, Technical Assistance Provider]</w:t>
      </w:r>
      <w:r w:rsidRPr="0039175E">
        <w:rPr>
          <w:rFonts w:eastAsia="Times Roman" w:cs="Times New Roman"/>
          <w:sz w:val="24"/>
          <w:szCs w:val="24"/>
        </w:rPr>
        <w:br/>
      </w:r>
      <w:r w:rsidRPr="0039175E">
        <w:rPr>
          <w:rFonts w:cs="Times New Roman"/>
          <w:sz w:val="24"/>
          <w:szCs w:val="24"/>
        </w:rPr>
        <w:t>[Name]</w:t>
      </w:r>
      <w:r w:rsidRPr="0039175E">
        <w:rPr>
          <w:rFonts w:eastAsia="Times Roman" w:cs="Times New Roman"/>
          <w:sz w:val="24"/>
          <w:szCs w:val="24"/>
        </w:rPr>
        <w:br/>
      </w:r>
      <w:r w:rsidRPr="0039175E">
        <w:rPr>
          <w:rFonts w:cs="Times New Roman"/>
          <w:sz w:val="24"/>
          <w:szCs w:val="24"/>
        </w:rPr>
        <w:t>[Date]---</w:t>
      </w:r>
    </w:p>
    <w:p w14:paraId="3D8B9E28"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sz w:val="24"/>
          <w:szCs w:val="24"/>
        </w:rPr>
        <w:t>Each of the remaining template folders will follow this level of detail and legal formality. Let me know when you</w:t>
      </w:r>
      <w:r w:rsidRPr="0039175E">
        <w:rPr>
          <w:rFonts w:cs="Times New Roman"/>
          <w:sz w:val="24"/>
          <w:szCs w:val="24"/>
          <w:rtl/>
        </w:rPr>
        <w:t>’</w:t>
      </w:r>
      <w:r w:rsidRPr="0039175E">
        <w:rPr>
          <w:rFonts w:cs="Times New Roman"/>
          <w:sz w:val="24"/>
          <w:szCs w:val="24"/>
        </w:rPr>
        <w:t>re ready to continue with Folder 2: Sample Memorandum of Understanding (MOU</w:t>
      </w:r>
      <w:proofErr w:type="gramStart"/>
      <w:r w:rsidRPr="0039175E">
        <w:rPr>
          <w:rFonts w:cs="Times New Roman"/>
          <w:sz w:val="24"/>
          <w:szCs w:val="24"/>
        </w:rPr>
        <w:t>).s</w:t>
      </w:r>
      <w:proofErr w:type="gramEnd"/>
    </w:p>
    <w:p w14:paraId="303F3DEC" w14:textId="77777777" w:rsidR="001C54EE" w:rsidRPr="0039175E" w:rsidRDefault="001C54EE">
      <w:pPr>
        <w:pStyle w:val="Default"/>
        <w:tabs>
          <w:tab w:val="left" w:pos="220"/>
          <w:tab w:val="left" w:pos="720"/>
        </w:tabs>
        <w:suppressAutoHyphens/>
        <w:spacing w:before="0" w:after="240" w:line="240" w:lineRule="auto"/>
        <w:ind w:left="720" w:hanging="720"/>
        <w:rPr>
          <w:rFonts w:eastAsia="Times Roman" w:cs="Times New Roman"/>
          <w:sz w:val="24"/>
          <w:szCs w:val="24"/>
        </w:rPr>
      </w:pPr>
    </w:p>
    <w:p w14:paraId="053754F7" w14:textId="77777777" w:rsidR="001C54EE" w:rsidRPr="0039175E" w:rsidRDefault="001C54EE">
      <w:pPr>
        <w:pStyle w:val="Default"/>
        <w:tabs>
          <w:tab w:val="left" w:pos="220"/>
          <w:tab w:val="left" w:pos="720"/>
        </w:tabs>
        <w:suppressAutoHyphens/>
        <w:spacing w:before="0" w:after="240" w:line="240" w:lineRule="auto"/>
        <w:ind w:left="720" w:hanging="720"/>
        <w:rPr>
          <w:rFonts w:eastAsia="Times Roman" w:cs="Times New Roman"/>
          <w:sz w:val="24"/>
          <w:szCs w:val="24"/>
        </w:rPr>
      </w:pPr>
    </w:p>
    <w:p w14:paraId="36C32D1F" w14:textId="77777777" w:rsidR="001C54EE" w:rsidRPr="0039175E" w:rsidRDefault="001C54EE">
      <w:pPr>
        <w:pStyle w:val="Default"/>
        <w:tabs>
          <w:tab w:val="left" w:pos="220"/>
          <w:tab w:val="left" w:pos="720"/>
        </w:tabs>
        <w:suppressAutoHyphens/>
        <w:spacing w:before="0" w:after="240" w:line="240" w:lineRule="auto"/>
        <w:ind w:left="720" w:hanging="720"/>
        <w:rPr>
          <w:rFonts w:eastAsia="Times Roman" w:cs="Times New Roman"/>
          <w:sz w:val="24"/>
          <w:szCs w:val="24"/>
        </w:rPr>
      </w:pPr>
    </w:p>
    <w:p w14:paraId="78A6CA3C" w14:textId="77777777" w:rsidR="001C54EE" w:rsidRPr="0039175E" w:rsidRDefault="00000000">
      <w:pPr>
        <w:pStyle w:val="Default"/>
        <w:tabs>
          <w:tab w:val="left" w:pos="220"/>
          <w:tab w:val="left" w:pos="720"/>
        </w:tabs>
        <w:suppressAutoHyphens/>
        <w:spacing w:before="0" w:after="240" w:line="240" w:lineRule="auto"/>
        <w:ind w:left="720" w:hanging="720"/>
        <w:rPr>
          <w:rFonts w:cs="Times New Roman"/>
        </w:rPr>
      </w:pPr>
      <w:r w:rsidRPr="0039175E">
        <w:rPr>
          <w:rFonts w:cs="Times New Roman"/>
          <w:sz w:val="24"/>
          <w:szCs w:val="24"/>
        </w:rPr>
        <w:br w:type="page"/>
      </w:r>
    </w:p>
    <w:p w14:paraId="31A9670B" w14:textId="77777777" w:rsidR="001C54EE" w:rsidRPr="0039175E" w:rsidRDefault="00000000">
      <w:pPr>
        <w:pStyle w:val="Appendix"/>
        <w:rPr>
          <w:rFonts w:cs="Times New Roman"/>
        </w:rPr>
      </w:pPr>
      <w:proofErr w:type="spellStart"/>
      <w:r w:rsidRPr="0039175E">
        <w:rPr>
          <w:rFonts w:cs="Times New Roman"/>
        </w:rPr>
        <w:lastRenderedPageBreak/>
        <w:t>Appendix</w:t>
      </w:r>
      <w:proofErr w:type="spellEnd"/>
      <w:r w:rsidRPr="0039175E">
        <w:rPr>
          <w:rFonts w:cs="Times New Roman"/>
        </w:rPr>
        <w:t xml:space="preserve"> D </w:t>
      </w:r>
      <w:r w:rsidRPr="0039175E">
        <w:rPr>
          <w:rFonts w:cs="Times New Roman"/>
          <w:lang w:val="en-US"/>
        </w:rPr>
        <w:t>— Training &amp; Technical Assistance Toolkit</w:t>
      </w:r>
    </w:p>
    <w:p w14:paraId="4AE2E597"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sz w:val="24"/>
          <w:szCs w:val="24"/>
        </w:rPr>
        <w:t>This appendix provides detailed instructional and support materials for tenant associations, cooperative board members, and approved technical assistance providers. The toolkit is intended to ensure long-term governance capacity, regulatory compliance, and sustainable stewardship of TCAP-funded cooperatives.</w:t>
      </w:r>
    </w:p>
    <w:p w14:paraId="7D8EAE77" w14:textId="77777777" w:rsidR="001C54EE" w:rsidRPr="0039175E" w:rsidRDefault="001C54EE">
      <w:pPr>
        <w:pStyle w:val="Default"/>
        <w:suppressAutoHyphens/>
        <w:spacing w:before="0" w:line="240" w:lineRule="auto"/>
        <w:rPr>
          <w:rFonts w:eastAsia="Times Roman" w:cs="Times New Roman"/>
          <w:color w:val="808080"/>
          <w:sz w:val="24"/>
          <w:szCs w:val="24"/>
        </w:rPr>
      </w:pPr>
    </w:p>
    <w:p w14:paraId="65C7F88D" w14:textId="77777777" w:rsidR="001C54EE" w:rsidRPr="0039175E" w:rsidRDefault="00000000">
      <w:pPr>
        <w:pStyle w:val="Heading2"/>
        <w:rPr>
          <w:rFonts w:cs="Times New Roman"/>
        </w:rPr>
      </w:pPr>
      <w:r w:rsidRPr="0039175E">
        <w:rPr>
          <w:rFonts w:cs="Times New Roman"/>
        </w:rPr>
        <w:t>Folder 1: TCAP Orientation Curriculum</w:t>
      </w:r>
    </w:p>
    <w:p w14:paraId="439713A9"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rPr>
        <w:t>Purpose:</w:t>
      </w:r>
      <w:r w:rsidRPr="0039175E">
        <w:rPr>
          <w:rFonts w:cs="Times New Roman"/>
          <w:sz w:val="24"/>
          <w:szCs w:val="24"/>
        </w:rPr>
        <w:t xml:space="preserve"> Introduces tenants to the TCAP model, cooperative ownership principles, and their legal rights and responsibilities under the program.</w:t>
      </w:r>
    </w:p>
    <w:p w14:paraId="15DA1D74"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lang w:val="fr-FR"/>
        </w:rPr>
        <w:t xml:space="preserve">Document </w:t>
      </w:r>
      <w:proofErr w:type="spellStart"/>
      <w:proofErr w:type="gramStart"/>
      <w:r w:rsidRPr="0039175E">
        <w:rPr>
          <w:rFonts w:cs="Times New Roman"/>
          <w:b/>
          <w:bCs/>
          <w:sz w:val="24"/>
          <w:szCs w:val="24"/>
          <w:lang w:val="fr-FR"/>
        </w:rPr>
        <w:t>Title</w:t>
      </w:r>
      <w:proofErr w:type="spellEnd"/>
      <w:r w:rsidRPr="0039175E">
        <w:rPr>
          <w:rFonts w:cs="Times New Roman"/>
          <w:b/>
          <w:bCs/>
          <w:sz w:val="24"/>
          <w:szCs w:val="24"/>
          <w:lang w:val="fr-FR"/>
        </w:rPr>
        <w:t>:</w:t>
      </w:r>
      <w:proofErr w:type="gramEnd"/>
      <w:r w:rsidRPr="0039175E">
        <w:rPr>
          <w:rFonts w:cs="Times New Roman"/>
          <w:sz w:val="24"/>
          <w:szCs w:val="24"/>
        </w:rPr>
        <w:t xml:space="preserve"> TCAP Orientation Handbook — Introduction to Cooperative Conversion</w:t>
      </w:r>
    </w:p>
    <w:p w14:paraId="6BA8A38F"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rPr>
        <w:t>Module 1: Welcome &amp; Program Overview</w:t>
      </w:r>
    </w:p>
    <w:p w14:paraId="3F979C89"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Slide deck and facilitator script</w:t>
      </w:r>
    </w:p>
    <w:p w14:paraId="365D09B7"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Overview of TCAP goals, benefits, and eligibility criteria</w:t>
      </w:r>
    </w:p>
    <w:p w14:paraId="2A4A7212"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Comparison of rental subsidy vs. cooperative equity contributions</w:t>
      </w:r>
    </w:p>
    <w:p w14:paraId="0506E60C"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rPr>
        <w:t>Module 2: Tenants</w:t>
      </w:r>
      <w:r w:rsidRPr="0039175E">
        <w:rPr>
          <w:rFonts w:cs="Times New Roman"/>
          <w:b/>
          <w:bCs/>
          <w:sz w:val="24"/>
          <w:szCs w:val="24"/>
          <w:rtl/>
        </w:rPr>
        <w:t xml:space="preserve">’ </w:t>
      </w:r>
      <w:r w:rsidRPr="0039175E">
        <w:rPr>
          <w:rFonts w:cs="Times New Roman"/>
          <w:b/>
          <w:bCs/>
          <w:sz w:val="24"/>
          <w:szCs w:val="24"/>
        </w:rPr>
        <w:t>Rights and Responsibilities</w:t>
      </w:r>
    </w:p>
    <w:p w14:paraId="74B4151A"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Summary of the Tenants</w:t>
      </w:r>
      <w:r w:rsidRPr="0039175E">
        <w:rPr>
          <w:rFonts w:cs="Times New Roman"/>
          <w:sz w:val="24"/>
          <w:szCs w:val="24"/>
          <w:rtl/>
        </w:rPr>
        <w:t xml:space="preserve">’ </w:t>
      </w:r>
      <w:r w:rsidRPr="0039175E">
        <w:rPr>
          <w:rFonts w:cs="Times New Roman"/>
          <w:sz w:val="24"/>
          <w:szCs w:val="24"/>
        </w:rPr>
        <w:t>Bill of Rights under TCAP</w:t>
      </w:r>
    </w:p>
    <w:p w14:paraId="3B9A6FDF"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Key legal protections during cooperative conversion</w:t>
      </w:r>
    </w:p>
    <w:p w14:paraId="2EC2875E"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Responsibilities of members in good standing</w:t>
      </w:r>
    </w:p>
    <w:p w14:paraId="77CFF451"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rPr>
        <w:t>Module 3: Equity Ownership Basics</w:t>
      </w:r>
    </w:p>
    <w:p w14:paraId="7FDCB917"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What is a limited-equity cooperative?</w:t>
      </w:r>
    </w:p>
    <w:p w14:paraId="51B59653"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Overview of shareholding, equity caps, and resale formulas</w:t>
      </w:r>
    </w:p>
    <w:p w14:paraId="3E54C871"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Sample timeline from subsidy conversion to ownership accrual</w:t>
      </w:r>
    </w:p>
    <w:p w14:paraId="559A6C2B"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rPr>
        <w:t>Module 4: Program Timeline and Milestones</w:t>
      </w:r>
    </w:p>
    <w:p w14:paraId="203494A6"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Pilot phases and required participation benchmarks</w:t>
      </w:r>
    </w:p>
    <w:p w14:paraId="1C3774C8"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Timeline from organizing to cooperative board formation</w:t>
      </w:r>
    </w:p>
    <w:p w14:paraId="1687D348"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Overview of HPD compliance reviews and training requirements</w:t>
      </w:r>
    </w:p>
    <w:p w14:paraId="73C13497"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rPr>
        <w:t>Handouts &amp; Support Materials:</w:t>
      </w:r>
    </w:p>
    <w:p w14:paraId="560B70FA"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lastRenderedPageBreak/>
        <w:t>TCAP FAQ Sheet</w:t>
      </w:r>
    </w:p>
    <w:p w14:paraId="0FFA04DC"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Glossary of Cooperative Terms</w:t>
      </w:r>
    </w:p>
    <w:p w14:paraId="05991DD4"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Calendar of Required Meetings &amp; Trainings</w:t>
      </w:r>
    </w:p>
    <w:p w14:paraId="5E1A0071"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Contact list for legal support, mediation, and HPD liaisons</w:t>
      </w:r>
    </w:p>
    <w:p w14:paraId="268FD242" w14:textId="77777777" w:rsidR="001C54EE" w:rsidRPr="0039175E" w:rsidRDefault="00000000">
      <w:pPr>
        <w:pStyle w:val="Default"/>
        <w:suppressAutoHyphens/>
        <w:spacing w:before="0" w:after="240" w:line="240" w:lineRule="auto"/>
        <w:rPr>
          <w:rFonts w:eastAsia="Times Roman" w:cs="Times New Roman"/>
          <w:i/>
          <w:iCs/>
          <w:sz w:val="24"/>
          <w:szCs w:val="24"/>
        </w:rPr>
      </w:pPr>
      <w:r w:rsidRPr="0039175E">
        <w:rPr>
          <w:rFonts w:cs="Times New Roman"/>
          <w:i/>
          <w:iCs/>
          <w:sz w:val="24"/>
          <w:szCs w:val="24"/>
        </w:rPr>
        <w:t>Translations provided in Spanish, Simplified Chinese, Haitian Creole, and Bengali to comply with NYC Local Law 30.</w:t>
      </w:r>
    </w:p>
    <w:p w14:paraId="7681F455" w14:textId="77777777" w:rsidR="001C54EE" w:rsidRPr="0039175E" w:rsidRDefault="001C54EE">
      <w:pPr>
        <w:pStyle w:val="Default"/>
        <w:suppressAutoHyphens/>
        <w:spacing w:before="0" w:line="240" w:lineRule="auto"/>
        <w:rPr>
          <w:rFonts w:eastAsia="Times Roman" w:cs="Times New Roman"/>
          <w:color w:val="808080"/>
          <w:sz w:val="24"/>
          <w:szCs w:val="24"/>
        </w:rPr>
      </w:pPr>
    </w:p>
    <w:p w14:paraId="72875038" w14:textId="77777777" w:rsidR="001C54EE" w:rsidRPr="0039175E" w:rsidRDefault="00000000">
      <w:pPr>
        <w:pStyle w:val="Default"/>
        <w:suppressAutoHyphens/>
        <w:spacing w:before="0" w:after="281" w:line="240" w:lineRule="auto"/>
        <w:rPr>
          <w:rFonts w:cs="Times New Roman"/>
        </w:rPr>
      </w:pPr>
      <w:r w:rsidRPr="0039175E">
        <w:rPr>
          <w:rFonts w:cs="Times New Roman"/>
          <w:sz w:val="28"/>
          <w:szCs w:val="28"/>
        </w:rPr>
        <w:br w:type="page"/>
      </w:r>
    </w:p>
    <w:p w14:paraId="4C1D7166" w14:textId="77777777" w:rsidR="001C54EE" w:rsidRPr="0039175E" w:rsidRDefault="00000000">
      <w:pPr>
        <w:pStyle w:val="Heading2"/>
        <w:rPr>
          <w:rFonts w:cs="Times New Roman"/>
        </w:rPr>
      </w:pPr>
      <w:r w:rsidRPr="0039175E">
        <w:rPr>
          <w:rFonts w:cs="Times New Roman"/>
        </w:rPr>
        <w:lastRenderedPageBreak/>
        <w:t>Folder 2: Financial Literacy &amp; Governance Training Modules</w:t>
      </w:r>
    </w:p>
    <w:p w14:paraId="2094360A"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rPr>
        <w:t>Purpose:</w:t>
      </w:r>
      <w:r w:rsidRPr="0039175E">
        <w:rPr>
          <w:rFonts w:cs="Times New Roman"/>
          <w:sz w:val="24"/>
          <w:szCs w:val="24"/>
        </w:rPr>
        <w:t xml:space="preserve"> To ensure tenant leaders and boards understand basic financial management and cooperative governance obligations.</w:t>
      </w:r>
    </w:p>
    <w:p w14:paraId="70E9EB42"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lang w:val="fr-FR"/>
        </w:rPr>
        <w:t xml:space="preserve">Document </w:t>
      </w:r>
      <w:proofErr w:type="spellStart"/>
      <w:proofErr w:type="gramStart"/>
      <w:r w:rsidRPr="0039175E">
        <w:rPr>
          <w:rFonts w:cs="Times New Roman"/>
          <w:b/>
          <w:bCs/>
          <w:sz w:val="24"/>
          <w:szCs w:val="24"/>
          <w:lang w:val="fr-FR"/>
        </w:rPr>
        <w:t>Title</w:t>
      </w:r>
      <w:proofErr w:type="spellEnd"/>
      <w:r w:rsidRPr="0039175E">
        <w:rPr>
          <w:rFonts w:cs="Times New Roman"/>
          <w:b/>
          <w:bCs/>
          <w:sz w:val="24"/>
          <w:szCs w:val="24"/>
          <w:lang w:val="fr-FR"/>
        </w:rPr>
        <w:t>:</w:t>
      </w:r>
      <w:proofErr w:type="gramEnd"/>
      <w:r w:rsidRPr="0039175E">
        <w:rPr>
          <w:rFonts w:cs="Times New Roman"/>
          <w:sz w:val="24"/>
          <w:szCs w:val="24"/>
        </w:rPr>
        <w:t xml:space="preserve"> Financial &amp; Governance Training Curriculum for TCAP Co-ops</w:t>
      </w:r>
    </w:p>
    <w:p w14:paraId="58F323B5"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rPr>
        <w:t>Module A: Cooperative Financial Literacy</w:t>
      </w:r>
    </w:p>
    <w:p w14:paraId="02ADC3C7"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Introduction to cooperative accounting and fiscal responsibility</w:t>
      </w:r>
    </w:p>
    <w:p w14:paraId="5F3C67C8"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Building an annual operating budget</w:t>
      </w:r>
    </w:p>
    <w:p w14:paraId="2B66503B"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Managing capital reserve funds and understanding funding thresholds</w:t>
      </w:r>
    </w:p>
    <w:p w14:paraId="0F20B97C"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How redirected subsidies contribute to equity and sustainability</w:t>
      </w:r>
    </w:p>
    <w:p w14:paraId="7578798C"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Recognizing the difference between fixed and variable expenses</w:t>
      </w:r>
    </w:p>
    <w:p w14:paraId="29DBF635"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rPr>
        <w:t>Module B: Maintenance Fees &amp; Revenue Strategy</w:t>
      </w:r>
    </w:p>
    <w:p w14:paraId="76811CF4"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Principles for setting fair and equitable maintenance fees</w:t>
      </w:r>
    </w:p>
    <w:p w14:paraId="5240A457"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Aligning maintenance structures with affordability covenants</w:t>
      </w:r>
    </w:p>
    <w:p w14:paraId="14ED866F"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Strategies to plan for inflation, repairs, and unexpected costs</w:t>
      </w:r>
    </w:p>
    <w:p w14:paraId="774B0838"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Transparency in fee adjustments and cooperative member communication</w:t>
      </w:r>
    </w:p>
    <w:p w14:paraId="14873984"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rPr>
        <w:t>Module C: Governance &amp; Legal Responsibilities</w:t>
      </w:r>
    </w:p>
    <w:p w14:paraId="22B64975"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Overview of board roles, fiduciary duty, and internal accountability</w:t>
      </w:r>
    </w:p>
    <w:p w14:paraId="462CD270"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Conducting board elections and preventing governance burnout</w:t>
      </w:r>
    </w:p>
    <w:p w14:paraId="4091F0B9"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Complying with HPD audit schedules and PETF rules</w:t>
      </w:r>
    </w:p>
    <w:p w14:paraId="39CCC179"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Maintaining internal controls and fiscal documentation</w:t>
      </w:r>
    </w:p>
    <w:p w14:paraId="7F2717BE"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rPr>
        <w:t>Module D: Internal Policies &amp; Ethics</w:t>
      </w:r>
    </w:p>
    <w:p w14:paraId="19C6DD98"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Writing and enforcing conflict of interest policies</w:t>
      </w:r>
    </w:p>
    <w:p w14:paraId="7D2FD693"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Transparency in procurement and hiring decisions</w:t>
      </w:r>
    </w:p>
    <w:p w14:paraId="2F47B4BF"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Recordkeeping and documentation for compliance</w:t>
      </w:r>
    </w:p>
    <w:p w14:paraId="6CEDDA14"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Addressing violations: from informal complaints to formal censure</w:t>
      </w:r>
    </w:p>
    <w:p w14:paraId="7BD4112C"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rPr>
        <w:t>Supplemental Training Aids:</w:t>
      </w:r>
    </w:p>
    <w:p w14:paraId="11A3B202"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lastRenderedPageBreak/>
        <w:t>Sample co-op operating budget template (Excel &amp; PDF)</w:t>
      </w:r>
    </w:p>
    <w:p w14:paraId="4FF0B54B"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Maintenance fee calculator tool</w:t>
      </w:r>
    </w:p>
    <w:p w14:paraId="6067CB6C"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Governance calendar template (elections, audits, training)</w:t>
      </w:r>
    </w:p>
    <w:p w14:paraId="08F3CB86"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Annual board self-evaluation form</w:t>
      </w:r>
    </w:p>
    <w:p w14:paraId="0BD38CA1"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sz w:val="24"/>
          <w:szCs w:val="24"/>
        </w:rPr>
        <w:t xml:space="preserve">Materials are adaptable for in-person workshops, remote self-guided instruction, or hybrid implementation. Language access, ADA-compliance, and facilitator guides are provided for approved training </w:t>
      </w:r>
      <w:proofErr w:type="gramStart"/>
      <w:r w:rsidRPr="0039175E">
        <w:rPr>
          <w:rFonts w:cs="Times New Roman"/>
          <w:sz w:val="24"/>
          <w:szCs w:val="24"/>
        </w:rPr>
        <w:t>vendors.---</w:t>
      </w:r>
      <w:proofErr w:type="gramEnd"/>
    </w:p>
    <w:p w14:paraId="4DC6B1C3" w14:textId="77777777" w:rsidR="001C54EE" w:rsidRPr="0039175E" w:rsidRDefault="00000000">
      <w:pPr>
        <w:pStyle w:val="Default"/>
        <w:suppressAutoHyphens/>
        <w:spacing w:before="0" w:after="281" w:line="240" w:lineRule="auto"/>
        <w:rPr>
          <w:rFonts w:cs="Times New Roman"/>
        </w:rPr>
      </w:pPr>
      <w:r w:rsidRPr="0039175E">
        <w:rPr>
          <w:rFonts w:cs="Times New Roman"/>
          <w:sz w:val="28"/>
          <w:szCs w:val="28"/>
        </w:rPr>
        <w:br w:type="page"/>
      </w:r>
    </w:p>
    <w:p w14:paraId="5A9E654C" w14:textId="77777777" w:rsidR="001C54EE" w:rsidRPr="0039175E" w:rsidRDefault="00000000">
      <w:pPr>
        <w:pStyle w:val="Heading2"/>
        <w:rPr>
          <w:rFonts w:cs="Times New Roman"/>
        </w:rPr>
      </w:pPr>
      <w:r w:rsidRPr="0039175E">
        <w:rPr>
          <w:rFonts w:cs="Times New Roman"/>
        </w:rPr>
        <w:lastRenderedPageBreak/>
        <w:t>Folder 3: Grievance Mediation Procedures</w:t>
      </w:r>
    </w:p>
    <w:p w14:paraId="09A0FE30"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sz w:val="24"/>
          <w:szCs w:val="24"/>
        </w:rPr>
        <w:t xml:space="preserve"> </w:t>
      </w:r>
      <w:r w:rsidRPr="0039175E">
        <w:rPr>
          <w:rFonts w:cs="Times New Roman"/>
          <w:b/>
          <w:bCs/>
          <w:sz w:val="24"/>
          <w:szCs w:val="24"/>
        </w:rPr>
        <w:t>Purpose:</w:t>
      </w:r>
      <w:r w:rsidRPr="0039175E">
        <w:rPr>
          <w:rFonts w:cs="Times New Roman"/>
          <w:sz w:val="24"/>
          <w:szCs w:val="24"/>
        </w:rPr>
        <w:t xml:space="preserve"> To provide an accessible, fair, and transparent process for resolving internal disputes within tenant cooperatives formed through TCAP, minimizing litigation and maintaining cooperative cohesion.</w:t>
      </w:r>
    </w:p>
    <w:p w14:paraId="0044284C"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lang w:val="fr-FR"/>
        </w:rPr>
        <w:t xml:space="preserve">Document </w:t>
      </w:r>
      <w:proofErr w:type="spellStart"/>
      <w:proofErr w:type="gramStart"/>
      <w:r w:rsidRPr="0039175E">
        <w:rPr>
          <w:rFonts w:cs="Times New Roman"/>
          <w:b/>
          <w:bCs/>
          <w:sz w:val="24"/>
          <w:szCs w:val="24"/>
          <w:lang w:val="fr-FR"/>
        </w:rPr>
        <w:t>Title</w:t>
      </w:r>
      <w:proofErr w:type="spellEnd"/>
      <w:r w:rsidRPr="0039175E">
        <w:rPr>
          <w:rFonts w:cs="Times New Roman"/>
          <w:b/>
          <w:bCs/>
          <w:sz w:val="24"/>
          <w:szCs w:val="24"/>
          <w:lang w:val="fr-FR"/>
        </w:rPr>
        <w:t>:</w:t>
      </w:r>
      <w:proofErr w:type="gramEnd"/>
      <w:r w:rsidRPr="0039175E">
        <w:rPr>
          <w:rFonts w:cs="Times New Roman"/>
          <w:sz w:val="24"/>
          <w:szCs w:val="24"/>
        </w:rPr>
        <w:t xml:space="preserve"> Grievance Mediation Framework for TCAP Cooperatives</w:t>
      </w:r>
    </w:p>
    <w:p w14:paraId="51CA8935"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rPr>
        <w:t>1. Informal Conflict Resolution Guide</w:t>
      </w:r>
    </w:p>
    <w:p w14:paraId="61FE866D"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Encourage direct communication between parties as the first step</w:t>
      </w:r>
    </w:p>
    <w:p w14:paraId="7C77F975"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Offer written guidance on active listening and compromise</w:t>
      </w:r>
    </w:p>
    <w:p w14:paraId="21A9F2FE"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Recommend appointing a neutral co-op member as peer mediator</w:t>
      </w:r>
    </w:p>
    <w:p w14:paraId="0FDBCCEC"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rPr>
        <w:t>2. Internal Grievance Policy Template</w:t>
      </w:r>
    </w:p>
    <w:p w14:paraId="7E513A9E"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Step-by-step grievance filing procedure</w:t>
      </w:r>
    </w:p>
    <w:p w14:paraId="0D42CB25"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Sample forms for documenting complaints and outcomes</w:t>
      </w:r>
    </w:p>
    <w:p w14:paraId="5677F4C6"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Response timeline expectations (e.g., acknowledgment within 7 days, resolution within 30 days)</w:t>
      </w:r>
    </w:p>
    <w:p w14:paraId="52F641D2"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lang w:val="it-IT"/>
        </w:rPr>
        <w:t xml:space="preserve">3. Escalation </w:t>
      </w:r>
      <w:proofErr w:type="spellStart"/>
      <w:r w:rsidRPr="0039175E">
        <w:rPr>
          <w:rFonts w:cs="Times New Roman"/>
          <w:b/>
          <w:bCs/>
          <w:sz w:val="24"/>
          <w:szCs w:val="24"/>
          <w:lang w:val="it-IT"/>
        </w:rPr>
        <w:t>Procedures</w:t>
      </w:r>
      <w:proofErr w:type="spellEnd"/>
    </w:p>
    <w:p w14:paraId="4C47F2B9"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When informal efforts fail, parties may request board intervention</w:t>
      </w:r>
    </w:p>
    <w:p w14:paraId="7F379073"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Clear rules for when and how the board must recuse itself from conflicts of interest</w:t>
      </w:r>
    </w:p>
    <w:p w14:paraId="11AD858A"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Options for appealing to an independent grievance panel or HPD</w:t>
      </w:r>
    </w:p>
    <w:p w14:paraId="48E8B90D"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rPr>
        <w:t>4. External Mediation Access</w:t>
      </w:r>
    </w:p>
    <w:p w14:paraId="23101139"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Criteria for involving an HPD-certified mediation partner</w:t>
      </w:r>
    </w:p>
    <w:p w14:paraId="3A7187F5"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List of approved nonprofit and legal mediation services</w:t>
      </w:r>
    </w:p>
    <w:p w14:paraId="30798A16"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Sliding scale fee policies and language access accommodations</w:t>
      </w:r>
    </w:p>
    <w:p w14:paraId="41B33DCB"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rPr>
        <w:t>5. Documentation and Reporting</w:t>
      </w:r>
    </w:p>
    <w:p w14:paraId="14565962"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All formal grievances and resolutions must be recorded in co-op minutes</w:t>
      </w:r>
    </w:p>
    <w:p w14:paraId="4FAFC6C3"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Quarterly reports submitted to HPD including dispute trends and resolution rates</w:t>
      </w:r>
    </w:p>
    <w:p w14:paraId="25690F97"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Protection from retaliation for good-faith grievance participation</w:t>
      </w:r>
    </w:p>
    <w:p w14:paraId="4A87EB26"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lang w:val="de-DE"/>
        </w:rPr>
        <w:t>Attachments:</w:t>
      </w:r>
    </w:p>
    <w:p w14:paraId="5B54DBBB"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Sample grievance form (fillable PDF)</w:t>
      </w:r>
    </w:p>
    <w:p w14:paraId="617E8759"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lastRenderedPageBreak/>
        <w:t>Mediation request letter template</w:t>
      </w:r>
    </w:p>
    <w:p w14:paraId="4E1B492F"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Conflict-of-interest disclosure form</w:t>
      </w:r>
    </w:p>
    <w:p w14:paraId="07D3607A"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sz w:val="24"/>
          <w:szCs w:val="24"/>
        </w:rPr>
        <w:t xml:space="preserve">All materials available in English and translated into Spanish, Haitian Creole, Chinese, and Bengali. Printed copies available upon request for residents without internet </w:t>
      </w:r>
      <w:proofErr w:type="gramStart"/>
      <w:r w:rsidRPr="0039175E">
        <w:rPr>
          <w:rFonts w:cs="Times New Roman"/>
          <w:sz w:val="24"/>
          <w:szCs w:val="24"/>
        </w:rPr>
        <w:t>access.---</w:t>
      </w:r>
      <w:proofErr w:type="gramEnd"/>
    </w:p>
    <w:p w14:paraId="5328D7F9" w14:textId="77777777" w:rsidR="001C54EE" w:rsidRPr="0039175E" w:rsidRDefault="00000000">
      <w:pPr>
        <w:pStyle w:val="Default"/>
        <w:suppressAutoHyphens/>
        <w:spacing w:before="0" w:after="281" w:line="240" w:lineRule="auto"/>
        <w:rPr>
          <w:rFonts w:cs="Times New Roman"/>
        </w:rPr>
      </w:pPr>
      <w:r w:rsidRPr="0039175E">
        <w:rPr>
          <w:rFonts w:cs="Times New Roman"/>
          <w:sz w:val="28"/>
          <w:szCs w:val="28"/>
        </w:rPr>
        <w:br w:type="page"/>
      </w:r>
    </w:p>
    <w:p w14:paraId="60F25960" w14:textId="77777777" w:rsidR="001C54EE" w:rsidRPr="0039175E" w:rsidRDefault="00000000">
      <w:pPr>
        <w:pStyle w:val="Heading2"/>
        <w:rPr>
          <w:rFonts w:cs="Times New Roman"/>
        </w:rPr>
      </w:pPr>
      <w:r w:rsidRPr="0039175E">
        <w:rPr>
          <w:rFonts w:cs="Times New Roman"/>
        </w:rPr>
        <w:lastRenderedPageBreak/>
        <w:t>Folder 4: Approved Intermediary Provider List (AIPL)</w:t>
      </w:r>
    </w:p>
    <w:p w14:paraId="4C5BA39F"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rPr>
        <w:t>Purpose:</w:t>
      </w:r>
      <w:r w:rsidRPr="0039175E">
        <w:rPr>
          <w:rFonts w:cs="Times New Roman"/>
          <w:sz w:val="24"/>
          <w:szCs w:val="24"/>
        </w:rPr>
        <w:t xml:space="preserve"> To provide HPD-recognized nonprofit, legal, and financial organizations qualified to support tenant associations through the cooperative conversion process. Providers on this list must meet annual certification and performance criteria.</w:t>
      </w:r>
    </w:p>
    <w:p w14:paraId="72A0EC3E"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lang w:val="fr-FR"/>
        </w:rPr>
        <w:t xml:space="preserve">Document </w:t>
      </w:r>
      <w:proofErr w:type="spellStart"/>
      <w:proofErr w:type="gramStart"/>
      <w:r w:rsidRPr="0039175E">
        <w:rPr>
          <w:rFonts w:cs="Times New Roman"/>
          <w:b/>
          <w:bCs/>
          <w:sz w:val="24"/>
          <w:szCs w:val="24"/>
          <w:lang w:val="fr-FR"/>
        </w:rPr>
        <w:t>Title</w:t>
      </w:r>
      <w:proofErr w:type="spellEnd"/>
      <w:r w:rsidRPr="0039175E">
        <w:rPr>
          <w:rFonts w:cs="Times New Roman"/>
          <w:b/>
          <w:bCs/>
          <w:sz w:val="24"/>
          <w:szCs w:val="24"/>
          <w:lang w:val="fr-FR"/>
        </w:rPr>
        <w:t>:</w:t>
      </w:r>
      <w:proofErr w:type="gramEnd"/>
      <w:r w:rsidRPr="0039175E">
        <w:rPr>
          <w:rFonts w:cs="Times New Roman"/>
          <w:sz w:val="24"/>
          <w:szCs w:val="24"/>
        </w:rPr>
        <w:t xml:space="preserve"> TCAP Approved Intermediary Provider Directory (AIPL)</w:t>
      </w:r>
    </w:p>
    <w:p w14:paraId="2293EC6E"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rPr>
        <w:t>1. Provider Directory Format</w:t>
      </w:r>
    </w:p>
    <w:p w14:paraId="1FE1ECA3"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Name of Organization</w:t>
      </w:r>
    </w:p>
    <w:p w14:paraId="393FF74A"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Primary Contact &amp; Email</w:t>
      </w:r>
    </w:p>
    <w:p w14:paraId="65FEB60F"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Borough(s) Served</w:t>
      </w:r>
    </w:p>
    <w:p w14:paraId="779B5807"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Services Offered (e.g., organizing, legal aid, governance, financing)</w:t>
      </w:r>
    </w:p>
    <w:p w14:paraId="1D8D0B0B"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Certification Date / Expiration</w:t>
      </w:r>
    </w:p>
    <w:p w14:paraId="46ED5A45"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rPr>
        <w:t>2. Sample Entry</w:t>
      </w:r>
    </w:p>
    <w:tbl>
      <w:tblPr>
        <w:tblW w:w="10792"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681"/>
        <w:gridCol w:w="2450"/>
        <w:gridCol w:w="1330"/>
        <w:gridCol w:w="3243"/>
        <w:gridCol w:w="1044"/>
        <w:gridCol w:w="1044"/>
      </w:tblGrid>
      <w:tr w:rsidR="001C54EE" w:rsidRPr="0039175E" w14:paraId="10ADFC90" w14:textId="77777777">
        <w:trPr>
          <w:trHeight w:val="567"/>
        </w:trPr>
        <w:tc>
          <w:tcPr>
            <w:tcW w:w="168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AACE887" w14:textId="77777777" w:rsidR="001C54EE" w:rsidRPr="0039175E" w:rsidRDefault="00000000">
            <w:pPr>
              <w:pStyle w:val="TableStyle2"/>
              <w:suppressAutoHyphens/>
              <w:jc w:val="center"/>
            </w:pPr>
            <w:r w:rsidRPr="0039175E">
              <w:rPr>
                <w:b/>
                <w:bCs/>
                <w:sz w:val="24"/>
                <w:szCs w:val="24"/>
              </w:rPr>
              <w:t>Organization</w:t>
            </w:r>
          </w:p>
        </w:tc>
        <w:tc>
          <w:tcPr>
            <w:tcW w:w="245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6614640" w14:textId="77777777" w:rsidR="001C54EE" w:rsidRPr="0039175E" w:rsidRDefault="00000000">
            <w:pPr>
              <w:pStyle w:val="TableStyle2"/>
              <w:suppressAutoHyphens/>
              <w:jc w:val="center"/>
            </w:pPr>
            <w:r w:rsidRPr="0039175E">
              <w:rPr>
                <w:b/>
                <w:bCs/>
                <w:sz w:val="24"/>
                <w:szCs w:val="24"/>
              </w:rPr>
              <w:t>Contact</w:t>
            </w:r>
          </w:p>
        </w:tc>
        <w:tc>
          <w:tcPr>
            <w:tcW w:w="133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CD102D5" w14:textId="77777777" w:rsidR="001C54EE" w:rsidRPr="0039175E" w:rsidRDefault="00000000">
            <w:pPr>
              <w:pStyle w:val="TableStyle2"/>
              <w:suppressAutoHyphens/>
              <w:jc w:val="center"/>
            </w:pPr>
            <w:r w:rsidRPr="0039175E">
              <w:rPr>
                <w:b/>
                <w:bCs/>
                <w:sz w:val="24"/>
                <w:szCs w:val="24"/>
              </w:rPr>
              <w:t>Boroughs</w:t>
            </w:r>
          </w:p>
        </w:tc>
        <w:tc>
          <w:tcPr>
            <w:tcW w:w="324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9666957" w14:textId="77777777" w:rsidR="001C54EE" w:rsidRPr="0039175E" w:rsidRDefault="00000000">
            <w:pPr>
              <w:pStyle w:val="TableStyle2"/>
              <w:suppressAutoHyphens/>
              <w:jc w:val="center"/>
            </w:pPr>
            <w:r w:rsidRPr="0039175E">
              <w:rPr>
                <w:b/>
                <w:bCs/>
                <w:sz w:val="24"/>
                <w:szCs w:val="24"/>
              </w:rPr>
              <w:t>Services</w:t>
            </w:r>
          </w:p>
        </w:tc>
        <w:tc>
          <w:tcPr>
            <w:tcW w:w="104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8E3FEC7" w14:textId="77777777" w:rsidR="001C54EE" w:rsidRPr="0039175E" w:rsidRDefault="00000000">
            <w:pPr>
              <w:pStyle w:val="TableStyle2"/>
              <w:suppressAutoHyphens/>
              <w:jc w:val="center"/>
            </w:pPr>
            <w:r w:rsidRPr="0039175E">
              <w:rPr>
                <w:b/>
                <w:bCs/>
                <w:sz w:val="24"/>
                <w:szCs w:val="24"/>
              </w:rPr>
              <w:t>Cert. Date</w:t>
            </w:r>
          </w:p>
        </w:tc>
        <w:tc>
          <w:tcPr>
            <w:tcW w:w="104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DB1FFC4" w14:textId="77777777" w:rsidR="001C54EE" w:rsidRPr="0039175E" w:rsidRDefault="00000000">
            <w:pPr>
              <w:pStyle w:val="TableStyle2"/>
              <w:suppressAutoHyphens/>
              <w:jc w:val="center"/>
            </w:pPr>
            <w:r w:rsidRPr="0039175E">
              <w:rPr>
                <w:b/>
                <w:bCs/>
                <w:sz w:val="24"/>
                <w:szCs w:val="24"/>
              </w:rPr>
              <w:t>Exp. Date</w:t>
            </w:r>
          </w:p>
        </w:tc>
      </w:tr>
      <w:tr w:rsidR="001C54EE" w:rsidRPr="0039175E" w14:paraId="6ED17F2D" w14:textId="77777777">
        <w:trPr>
          <w:trHeight w:val="567"/>
        </w:trPr>
        <w:tc>
          <w:tcPr>
            <w:tcW w:w="168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DBEEB89" w14:textId="77777777" w:rsidR="001C54EE" w:rsidRPr="0039175E" w:rsidRDefault="00000000">
            <w:pPr>
              <w:pStyle w:val="TableStyle2"/>
              <w:suppressAutoHyphens/>
            </w:pPr>
            <w:r w:rsidRPr="0039175E">
              <w:rPr>
                <w:sz w:val="24"/>
                <w:szCs w:val="24"/>
              </w:rPr>
              <w:t>Cooper Square Committee</w:t>
            </w:r>
          </w:p>
        </w:tc>
        <w:tc>
          <w:tcPr>
            <w:tcW w:w="245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05EF510" w14:textId="77777777" w:rsidR="001C54EE" w:rsidRPr="0039175E" w:rsidRDefault="00000000">
            <w:pPr>
              <w:pStyle w:val="TableStyle2"/>
              <w:suppressAutoHyphens/>
            </w:pPr>
            <w:r w:rsidRPr="0039175E">
              <w:rPr>
                <w:sz w:val="24"/>
                <w:szCs w:val="24"/>
              </w:rPr>
              <w:t>info@coopersquare.org</w:t>
            </w:r>
          </w:p>
        </w:tc>
        <w:tc>
          <w:tcPr>
            <w:tcW w:w="133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5EC17E3" w14:textId="77777777" w:rsidR="001C54EE" w:rsidRPr="0039175E" w:rsidRDefault="00000000">
            <w:pPr>
              <w:pStyle w:val="TableStyle2"/>
              <w:suppressAutoHyphens/>
            </w:pPr>
            <w:r w:rsidRPr="0039175E">
              <w:rPr>
                <w:sz w:val="24"/>
                <w:szCs w:val="24"/>
              </w:rPr>
              <w:t>Manhattan</w:t>
            </w:r>
          </w:p>
        </w:tc>
        <w:tc>
          <w:tcPr>
            <w:tcW w:w="324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D5D5EB1" w14:textId="77777777" w:rsidR="001C54EE" w:rsidRPr="0039175E" w:rsidRDefault="00000000">
            <w:pPr>
              <w:pStyle w:val="TableStyle2"/>
              <w:suppressAutoHyphens/>
            </w:pPr>
            <w:r w:rsidRPr="0039175E">
              <w:rPr>
                <w:sz w:val="24"/>
                <w:szCs w:val="24"/>
              </w:rPr>
              <w:t>Tenant organizing, legal navigation</w:t>
            </w:r>
          </w:p>
        </w:tc>
        <w:tc>
          <w:tcPr>
            <w:tcW w:w="104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206967A" w14:textId="77777777" w:rsidR="001C54EE" w:rsidRPr="0039175E" w:rsidRDefault="00000000">
            <w:pPr>
              <w:pStyle w:val="TableStyle2"/>
              <w:suppressAutoHyphens/>
            </w:pPr>
            <w:r w:rsidRPr="0039175E">
              <w:rPr>
                <w:sz w:val="24"/>
                <w:szCs w:val="24"/>
              </w:rPr>
              <w:t>01/01/2025</w:t>
            </w:r>
          </w:p>
        </w:tc>
        <w:tc>
          <w:tcPr>
            <w:tcW w:w="104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1C788A2" w14:textId="77777777" w:rsidR="001C54EE" w:rsidRPr="0039175E" w:rsidRDefault="00000000">
            <w:pPr>
              <w:pStyle w:val="TableStyle2"/>
              <w:suppressAutoHyphens/>
            </w:pPr>
            <w:r w:rsidRPr="0039175E">
              <w:rPr>
                <w:sz w:val="24"/>
                <w:szCs w:val="24"/>
              </w:rPr>
              <w:t>12/31/2025</w:t>
            </w:r>
          </w:p>
        </w:tc>
      </w:tr>
      <w:tr w:rsidR="001C54EE" w:rsidRPr="0039175E" w14:paraId="2F8B807B" w14:textId="77777777">
        <w:trPr>
          <w:trHeight w:val="567"/>
        </w:trPr>
        <w:tc>
          <w:tcPr>
            <w:tcW w:w="168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608C766" w14:textId="77777777" w:rsidR="001C54EE" w:rsidRPr="0039175E" w:rsidRDefault="00000000">
            <w:pPr>
              <w:pStyle w:val="TableStyle2"/>
              <w:suppressAutoHyphens/>
            </w:pPr>
            <w:r w:rsidRPr="0039175E">
              <w:rPr>
                <w:sz w:val="24"/>
                <w:szCs w:val="24"/>
              </w:rPr>
              <w:t>UHAB</w:t>
            </w:r>
          </w:p>
        </w:tc>
        <w:tc>
          <w:tcPr>
            <w:tcW w:w="245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9D67D07" w14:textId="77777777" w:rsidR="001C54EE" w:rsidRPr="0039175E" w:rsidRDefault="00000000">
            <w:pPr>
              <w:pStyle w:val="TableStyle2"/>
              <w:suppressAutoHyphens/>
            </w:pPr>
            <w:r w:rsidRPr="0039175E">
              <w:rPr>
                <w:sz w:val="24"/>
                <w:szCs w:val="24"/>
              </w:rPr>
              <w:t>tcap@uhab.org</w:t>
            </w:r>
          </w:p>
        </w:tc>
        <w:tc>
          <w:tcPr>
            <w:tcW w:w="133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48761D0" w14:textId="77777777" w:rsidR="001C54EE" w:rsidRPr="0039175E" w:rsidRDefault="00000000">
            <w:pPr>
              <w:pStyle w:val="TableStyle2"/>
              <w:suppressAutoHyphens/>
            </w:pPr>
            <w:r w:rsidRPr="0039175E">
              <w:rPr>
                <w:sz w:val="24"/>
                <w:szCs w:val="24"/>
              </w:rPr>
              <w:t>Citywide</w:t>
            </w:r>
          </w:p>
        </w:tc>
        <w:tc>
          <w:tcPr>
            <w:tcW w:w="324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8C05476" w14:textId="77777777" w:rsidR="001C54EE" w:rsidRPr="0039175E" w:rsidRDefault="00000000">
            <w:pPr>
              <w:pStyle w:val="TableStyle2"/>
              <w:suppressAutoHyphens/>
            </w:pPr>
            <w:r w:rsidRPr="0039175E">
              <w:rPr>
                <w:sz w:val="24"/>
                <w:szCs w:val="24"/>
              </w:rPr>
              <w:t>Governance training, budgeting help</w:t>
            </w:r>
          </w:p>
        </w:tc>
        <w:tc>
          <w:tcPr>
            <w:tcW w:w="104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574FBED" w14:textId="77777777" w:rsidR="001C54EE" w:rsidRPr="0039175E" w:rsidRDefault="00000000">
            <w:pPr>
              <w:pStyle w:val="TableStyle2"/>
              <w:suppressAutoHyphens/>
            </w:pPr>
            <w:r w:rsidRPr="0039175E">
              <w:rPr>
                <w:sz w:val="24"/>
                <w:szCs w:val="24"/>
              </w:rPr>
              <w:t>01/01/2025</w:t>
            </w:r>
          </w:p>
        </w:tc>
        <w:tc>
          <w:tcPr>
            <w:tcW w:w="104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3F16A66" w14:textId="77777777" w:rsidR="001C54EE" w:rsidRPr="0039175E" w:rsidRDefault="00000000">
            <w:pPr>
              <w:pStyle w:val="TableStyle2"/>
              <w:suppressAutoHyphens/>
            </w:pPr>
            <w:r w:rsidRPr="0039175E">
              <w:rPr>
                <w:sz w:val="24"/>
                <w:szCs w:val="24"/>
              </w:rPr>
              <w:t>12/31/2025</w:t>
            </w:r>
          </w:p>
        </w:tc>
      </w:tr>
      <w:tr w:rsidR="001C54EE" w:rsidRPr="0039175E" w14:paraId="7805168F" w14:textId="77777777">
        <w:trPr>
          <w:trHeight w:val="567"/>
        </w:trPr>
        <w:tc>
          <w:tcPr>
            <w:tcW w:w="168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5CCB5B8" w14:textId="77777777" w:rsidR="001C54EE" w:rsidRPr="0039175E" w:rsidRDefault="00000000">
            <w:pPr>
              <w:pStyle w:val="TableStyle2"/>
              <w:suppressAutoHyphens/>
            </w:pPr>
            <w:r w:rsidRPr="0039175E">
              <w:rPr>
                <w:sz w:val="24"/>
                <w:szCs w:val="24"/>
              </w:rPr>
              <w:t>Brooklyn Legal Services</w:t>
            </w:r>
          </w:p>
        </w:tc>
        <w:tc>
          <w:tcPr>
            <w:tcW w:w="245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9640ECF" w14:textId="77777777" w:rsidR="001C54EE" w:rsidRPr="0039175E" w:rsidRDefault="00000000">
            <w:pPr>
              <w:pStyle w:val="TableStyle2"/>
              <w:suppressAutoHyphens/>
            </w:pPr>
            <w:r w:rsidRPr="0039175E">
              <w:rPr>
                <w:sz w:val="24"/>
                <w:szCs w:val="24"/>
              </w:rPr>
              <w:t>intake@blsnyc.org</w:t>
            </w:r>
          </w:p>
        </w:tc>
        <w:tc>
          <w:tcPr>
            <w:tcW w:w="133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E991987" w14:textId="77777777" w:rsidR="001C54EE" w:rsidRPr="0039175E" w:rsidRDefault="00000000">
            <w:pPr>
              <w:pStyle w:val="TableStyle2"/>
              <w:suppressAutoHyphens/>
            </w:pPr>
            <w:r w:rsidRPr="0039175E">
              <w:rPr>
                <w:sz w:val="24"/>
                <w:szCs w:val="24"/>
              </w:rPr>
              <w:t>Brooklyn</w:t>
            </w:r>
          </w:p>
        </w:tc>
        <w:tc>
          <w:tcPr>
            <w:tcW w:w="324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2753353" w14:textId="77777777" w:rsidR="001C54EE" w:rsidRPr="0039175E" w:rsidRDefault="00000000">
            <w:pPr>
              <w:pStyle w:val="TableStyle2"/>
              <w:suppressAutoHyphens/>
            </w:pPr>
            <w:r w:rsidRPr="0039175E">
              <w:rPr>
                <w:sz w:val="24"/>
                <w:szCs w:val="24"/>
              </w:rPr>
              <w:t>Eviction prevention, legal mediation</w:t>
            </w:r>
          </w:p>
        </w:tc>
        <w:tc>
          <w:tcPr>
            <w:tcW w:w="104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53EC47B" w14:textId="77777777" w:rsidR="001C54EE" w:rsidRPr="0039175E" w:rsidRDefault="00000000">
            <w:pPr>
              <w:pStyle w:val="TableStyle2"/>
              <w:suppressAutoHyphens/>
            </w:pPr>
            <w:r w:rsidRPr="0039175E">
              <w:rPr>
                <w:sz w:val="24"/>
                <w:szCs w:val="24"/>
              </w:rPr>
              <w:t>01/01/2025</w:t>
            </w:r>
          </w:p>
        </w:tc>
        <w:tc>
          <w:tcPr>
            <w:tcW w:w="104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404678B" w14:textId="77777777" w:rsidR="001C54EE" w:rsidRPr="0039175E" w:rsidRDefault="00000000">
            <w:pPr>
              <w:pStyle w:val="TableStyle2"/>
              <w:suppressAutoHyphens/>
            </w:pPr>
            <w:r w:rsidRPr="0039175E">
              <w:rPr>
                <w:sz w:val="24"/>
                <w:szCs w:val="24"/>
              </w:rPr>
              <w:t>12/31/2025</w:t>
            </w:r>
          </w:p>
        </w:tc>
      </w:tr>
    </w:tbl>
    <w:p w14:paraId="763F6EB2" w14:textId="77777777" w:rsidR="001C54EE" w:rsidRPr="0039175E" w:rsidRDefault="001C54EE">
      <w:pPr>
        <w:pStyle w:val="Default"/>
        <w:suppressAutoHyphens/>
        <w:spacing w:before="0" w:after="240" w:line="240" w:lineRule="auto"/>
        <w:rPr>
          <w:rFonts w:eastAsia="Times Roman" w:cs="Times New Roman"/>
          <w:sz w:val="24"/>
          <w:szCs w:val="24"/>
        </w:rPr>
      </w:pPr>
    </w:p>
    <w:p w14:paraId="7A86A184"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rPr>
        <w:t>3. Certification Requirements</w:t>
      </w:r>
    </w:p>
    <w:p w14:paraId="19EF32BA"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At least 3 years of experience in housing justice or cooperative support</w:t>
      </w:r>
    </w:p>
    <w:p w14:paraId="0879C119"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Documentation of language access and cultural competency</w:t>
      </w:r>
    </w:p>
    <w:p w14:paraId="41F1800C"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Compliance with HPD reporting, ethics, and data privacy guidelines</w:t>
      </w:r>
    </w:p>
    <w:p w14:paraId="68CA2D64"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rPr>
        <w:t>4. Monitoring and Evaluation</w:t>
      </w:r>
    </w:p>
    <w:p w14:paraId="2F3C37C9"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Annual provider scorecard submitted by HPD</w:t>
      </w:r>
    </w:p>
    <w:p w14:paraId="3434E76C"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Tenant satisfaction surveys and community board feedback</w:t>
      </w:r>
    </w:p>
    <w:p w14:paraId="6C9EE60F"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Grounds for suspension include failure to meet benchmarks or verified complaints</w:t>
      </w:r>
    </w:p>
    <w:p w14:paraId="26ECC6C3"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lang w:val="de-DE"/>
        </w:rPr>
        <w:lastRenderedPageBreak/>
        <w:t>Attachments:</w:t>
      </w:r>
    </w:p>
    <w:p w14:paraId="6491DD50"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Blank AIPL Evaluation Scorecard (fillable)</w:t>
      </w:r>
    </w:p>
    <w:p w14:paraId="4AE421ED"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Sample Provider Intake &amp; Assignment Form</w:t>
      </w:r>
    </w:p>
    <w:p w14:paraId="2CF64F19" w14:textId="77777777" w:rsidR="001C54EE" w:rsidRPr="0039175E" w:rsidRDefault="00000000">
      <w:pPr>
        <w:pStyle w:val="Default"/>
        <w:numPr>
          <w:ilvl w:val="0"/>
          <w:numId w:val="3"/>
        </w:numPr>
        <w:suppressAutoHyphens/>
        <w:spacing w:before="0" w:after="240" w:line="240" w:lineRule="auto"/>
        <w:rPr>
          <w:rFonts w:cs="Times New Roman"/>
          <w:sz w:val="24"/>
          <w:szCs w:val="24"/>
        </w:rPr>
      </w:pPr>
      <w:r w:rsidRPr="0039175E">
        <w:rPr>
          <w:rFonts w:cs="Times New Roman"/>
          <w:sz w:val="24"/>
          <w:szCs w:val="24"/>
        </w:rPr>
        <w:t>Annual Recertification Checklist---</w:t>
      </w:r>
    </w:p>
    <w:p w14:paraId="00454F4C" w14:textId="77777777" w:rsidR="001C54EE" w:rsidRPr="0039175E" w:rsidRDefault="00000000">
      <w:pPr>
        <w:pStyle w:val="Default"/>
        <w:suppressAutoHyphens/>
        <w:spacing w:before="0" w:after="299" w:line="240" w:lineRule="auto"/>
        <w:rPr>
          <w:rFonts w:cs="Times New Roman"/>
        </w:rPr>
      </w:pPr>
      <w:r w:rsidRPr="0039175E">
        <w:rPr>
          <w:rFonts w:cs="Times New Roman"/>
          <w:sz w:val="36"/>
          <w:szCs w:val="36"/>
        </w:rPr>
        <w:br w:type="page"/>
      </w:r>
    </w:p>
    <w:p w14:paraId="7DFFC895" w14:textId="77777777" w:rsidR="001C54EE" w:rsidRPr="0039175E" w:rsidRDefault="00000000">
      <w:pPr>
        <w:pStyle w:val="Appendix"/>
        <w:rPr>
          <w:rFonts w:cs="Times New Roman"/>
        </w:rPr>
      </w:pPr>
      <w:proofErr w:type="spellStart"/>
      <w:r w:rsidRPr="0039175E">
        <w:rPr>
          <w:rFonts w:cs="Times New Roman"/>
        </w:rPr>
        <w:lastRenderedPageBreak/>
        <w:t>Appendix</w:t>
      </w:r>
      <w:proofErr w:type="spellEnd"/>
      <w:r w:rsidRPr="0039175E">
        <w:rPr>
          <w:rFonts w:cs="Times New Roman"/>
        </w:rPr>
        <w:t xml:space="preserve"> E </w:t>
      </w:r>
      <w:r w:rsidRPr="0039175E">
        <w:rPr>
          <w:rFonts w:cs="Times New Roman"/>
          <w:lang w:val="en-US"/>
        </w:rPr>
        <w:t xml:space="preserve">— </w:t>
      </w:r>
      <w:r w:rsidRPr="0039175E">
        <w:rPr>
          <w:rFonts w:cs="Times New Roman"/>
          <w:lang w:val="it-IT"/>
        </w:rPr>
        <w:t xml:space="preserve">Visual Data </w:t>
      </w:r>
      <w:proofErr w:type="spellStart"/>
      <w:r w:rsidRPr="0039175E">
        <w:rPr>
          <w:rFonts w:cs="Times New Roman"/>
          <w:lang w:val="it-IT"/>
        </w:rPr>
        <w:t>Supplement</w:t>
      </w:r>
      <w:proofErr w:type="spellEnd"/>
    </w:p>
    <w:p w14:paraId="58BF0240"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sz w:val="24"/>
          <w:szCs w:val="24"/>
        </w:rPr>
        <w:t>This appendix contains supporting charts, data tables, and program timelines referenced throughout the TCAP policy proposal. It provides detailed statistical summaries and geographic visualizations that reinforce the report</w:t>
      </w:r>
      <w:r w:rsidRPr="0039175E">
        <w:rPr>
          <w:rFonts w:cs="Times New Roman"/>
          <w:sz w:val="24"/>
          <w:szCs w:val="24"/>
          <w:rtl/>
        </w:rPr>
        <w:t>’</w:t>
      </w:r>
      <w:proofErr w:type="spellStart"/>
      <w:r w:rsidRPr="0039175E">
        <w:rPr>
          <w:rFonts w:cs="Times New Roman"/>
          <w:sz w:val="24"/>
          <w:szCs w:val="24"/>
        </w:rPr>
        <w:t>s core</w:t>
      </w:r>
      <w:proofErr w:type="spellEnd"/>
      <w:r w:rsidRPr="0039175E">
        <w:rPr>
          <w:rFonts w:cs="Times New Roman"/>
          <w:sz w:val="24"/>
          <w:szCs w:val="24"/>
        </w:rPr>
        <w:t xml:space="preserve"> arguments, cost-benefit analyses, and demographic targeting strategy.</w:t>
      </w:r>
    </w:p>
    <w:p w14:paraId="32C63EB9" w14:textId="77777777" w:rsidR="001C54EE" w:rsidRPr="0039175E" w:rsidRDefault="001C54EE">
      <w:pPr>
        <w:pStyle w:val="Default"/>
        <w:suppressAutoHyphens/>
        <w:spacing w:before="0" w:line="240" w:lineRule="auto"/>
        <w:rPr>
          <w:rFonts w:eastAsia="Times Roman" w:cs="Times New Roman"/>
          <w:color w:val="808080"/>
          <w:sz w:val="24"/>
          <w:szCs w:val="24"/>
        </w:rPr>
      </w:pPr>
    </w:p>
    <w:p w14:paraId="7A610124" w14:textId="77777777" w:rsidR="001C54EE" w:rsidRPr="0039175E" w:rsidRDefault="00000000">
      <w:pPr>
        <w:pStyle w:val="Heading2"/>
        <w:rPr>
          <w:rFonts w:cs="Times New Roman"/>
        </w:rPr>
      </w:pPr>
      <w:r w:rsidRPr="0039175E">
        <w:rPr>
          <w:rFonts w:cs="Times New Roman"/>
        </w:rPr>
        <w:t>E.1. Comparative Public Cost Analysis Table</w:t>
      </w:r>
    </w:p>
    <w:tbl>
      <w:tblPr>
        <w:tblW w:w="867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148"/>
        <w:gridCol w:w="2814"/>
        <w:gridCol w:w="2713"/>
      </w:tblGrid>
      <w:tr w:rsidR="001C54EE" w:rsidRPr="0039175E" w14:paraId="0E0A808D" w14:textId="77777777">
        <w:trPr>
          <w:trHeight w:val="567"/>
        </w:trPr>
        <w:tc>
          <w:tcPr>
            <w:tcW w:w="314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675BC48" w14:textId="77777777" w:rsidR="001C54EE" w:rsidRPr="0039175E" w:rsidRDefault="00000000">
            <w:pPr>
              <w:pStyle w:val="TableStyle2"/>
              <w:suppressAutoHyphens/>
              <w:jc w:val="center"/>
            </w:pPr>
            <w:r w:rsidRPr="0039175E">
              <w:rPr>
                <w:b/>
                <w:bCs/>
                <w:sz w:val="24"/>
                <w:szCs w:val="24"/>
              </w:rPr>
              <w:t>Category</w:t>
            </w:r>
          </w:p>
        </w:tc>
        <w:tc>
          <w:tcPr>
            <w:tcW w:w="281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DC52040" w14:textId="77777777" w:rsidR="001C54EE" w:rsidRPr="0039175E" w:rsidRDefault="00000000">
            <w:pPr>
              <w:pStyle w:val="TableStyle2"/>
              <w:suppressAutoHyphens/>
              <w:jc w:val="center"/>
            </w:pPr>
            <w:r w:rsidRPr="0039175E">
              <w:rPr>
                <w:b/>
                <w:bCs/>
                <w:sz w:val="24"/>
                <w:szCs w:val="24"/>
              </w:rPr>
              <w:t>Status Quo Rental Subsidy</w:t>
            </w:r>
          </w:p>
        </w:tc>
        <w:tc>
          <w:tcPr>
            <w:tcW w:w="271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E730819" w14:textId="77777777" w:rsidR="001C54EE" w:rsidRPr="0039175E" w:rsidRDefault="00000000">
            <w:pPr>
              <w:pStyle w:val="TableStyle2"/>
              <w:suppressAutoHyphens/>
              <w:jc w:val="center"/>
            </w:pPr>
            <w:r w:rsidRPr="0039175E">
              <w:rPr>
                <w:b/>
                <w:bCs/>
                <w:sz w:val="24"/>
                <w:szCs w:val="24"/>
              </w:rPr>
              <w:t>TCAP Model (Converted)</w:t>
            </w:r>
          </w:p>
        </w:tc>
      </w:tr>
      <w:tr w:rsidR="001C54EE" w:rsidRPr="0039175E" w14:paraId="63224E86" w14:textId="77777777">
        <w:trPr>
          <w:trHeight w:val="380"/>
        </w:trPr>
        <w:tc>
          <w:tcPr>
            <w:tcW w:w="314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3F2500E" w14:textId="77777777" w:rsidR="001C54EE" w:rsidRPr="0039175E" w:rsidRDefault="00000000">
            <w:pPr>
              <w:pStyle w:val="TableStyle2"/>
              <w:suppressAutoHyphens/>
            </w:pPr>
            <w:r w:rsidRPr="0039175E">
              <w:rPr>
                <w:sz w:val="24"/>
                <w:szCs w:val="24"/>
              </w:rPr>
              <w:t>Avg. Annual Public Cost/Unit</w:t>
            </w:r>
          </w:p>
        </w:tc>
        <w:tc>
          <w:tcPr>
            <w:tcW w:w="281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1F5F0B8" w14:textId="77777777" w:rsidR="001C54EE" w:rsidRPr="0039175E" w:rsidRDefault="00000000">
            <w:pPr>
              <w:suppressAutoHyphens/>
              <w:jc w:val="right"/>
            </w:pPr>
            <w:r w:rsidRPr="0039175E">
              <w:rPr>
                <w:color w:val="000000"/>
                <w14:textOutline w14:w="0" w14:cap="flat" w14:cmpd="sng" w14:algn="ctr">
                  <w14:noFill/>
                  <w14:prstDash w14:val="solid"/>
                  <w14:bevel/>
                </w14:textOutline>
              </w:rPr>
              <w:t>$32,800</w:t>
            </w:r>
          </w:p>
        </w:tc>
        <w:tc>
          <w:tcPr>
            <w:tcW w:w="271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3208F33" w14:textId="77777777" w:rsidR="001C54EE" w:rsidRPr="0039175E" w:rsidRDefault="00000000">
            <w:pPr>
              <w:suppressAutoHyphens/>
              <w:jc w:val="right"/>
            </w:pPr>
            <w:r w:rsidRPr="0039175E">
              <w:rPr>
                <w:color w:val="000000"/>
                <w14:textOutline w14:w="0" w14:cap="flat" w14:cmpd="sng" w14:algn="ctr">
                  <w14:noFill/>
                  <w14:prstDash w14:val="solid"/>
                  <w14:bevel/>
                </w14:textOutline>
              </w:rPr>
              <w:t>$26,200</w:t>
            </w:r>
          </w:p>
        </w:tc>
      </w:tr>
      <w:tr w:rsidR="001C54EE" w:rsidRPr="0039175E" w14:paraId="0BA87BDC" w14:textId="77777777">
        <w:trPr>
          <w:trHeight w:val="380"/>
        </w:trPr>
        <w:tc>
          <w:tcPr>
            <w:tcW w:w="314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62B50F5" w14:textId="77777777" w:rsidR="001C54EE" w:rsidRPr="0039175E" w:rsidRDefault="00000000">
            <w:pPr>
              <w:pStyle w:val="TableStyle2"/>
              <w:suppressAutoHyphens/>
            </w:pPr>
            <w:r w:rsidRPr="0039175E">
              <w:rPr>
                <w:sz w:val="24"/>
                <w:szCs w:val="24"/>
              </w:rPr>
              <w:t>Projected 5-Year Cost/Unit</w:t>
            </w:r>
          </w:p>
        </w:tc>
        <w:tc>
          <w:tcPr>
            <w:tcW w:w="281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6CD9E85" w14:textId="77777777" w:rsidR="001C54EE" w:rsidRPr="0039175E" w:rsidRDefault="00000000">
            <w:pPr>
              <w:suppressAutoHyphens/>
              <w:jc w:val="right"/>
            </w:pPr>
            <w:r w:rsidRPr="0039175E">
              <w:rPr>
                <w:color w:val="000000"/>
                <w14:textOutline w14:w="0" w14:cap="flat" w14:cmpd="sng" w14:algn="ctr">
                  <w14:noFill/>
                  <w14:prstDash w14:val="solid"/>
                  <w14:bevel/>
                </w14:textOutline>
              </w:rPr>
              <w:t>$164,000</w:t>
            </w:r>
          </w:p>
        </w:tc>
        <w:tc>
          <w:tcPr>
            <w:tcW w:w="271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9473427" w14:textId="77777777" w:rsidR="001C54EE" w:rsidRPr="0039175E" w:rsidRDefault="00000000">
            <w:pPr>
              <w:suppressAutoHyphens/>
              <w:jc w:val="right"/>
            </w:pPr>
            <w:r w:rsidRPr="0039175E">
              <w:rPr>
                <w:color w:val="000000"/>
                <w14:textOutline w14:w="0" w14:cap="flat" w14:cmpd="sng" w14:algn="ctr">
                  <w14:noFill/>
                  <w14:prstDash w14:val="solid"/>
                  <w14:bevel/>
                </w14:textOutline>
              </w:rPr>
              <w:t>$131,000</w:t>
            </w:r>
          </w:p>
        </w:tc>
      </w:tr>
      <w:tr w:rsidR="001C54EE" w:rsidRPr="0039175E" w14:paraId="614BF88D" w14:textId="77777777">
        <w:trPr>
          <w:trHeight w:val="567"/>
        </w:trPr>
        <w:tc>
          <w:tcPr>
            <w:tcW w:w="314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9A46988" w14:textId="77777777" w:rsidR="001C54EE" w:rsidRPr="0039175E" w:rsidRDefault="00000000">
            <w:pPr>
              <w:pStyle w:val="TableStyle2"/>
              <w:suppressAutoHyphens/>
            </w:pPr>
            <w:r w:rsidRPr="0039175E">
              <w:rPr>
                <w:sz w:val="24"/>
                <w:szCs w:val="24"/>
              </w:rPr>
              <w:t>Shelter &amp; RTC Cost Offset/Unit</w:t>
            </w:r>
          </w:p>
        </w:tc>
        <w:tc>
          <w:tcPr>
            <w:tcW w:w="281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371729B" w14:textId="77777777" w:rsidR="001C54EE" w:rsidRPr="0039175E" w:rsidRDefault="00000000">
            <w:pPr>
              <w:pStyle w:val="TableStyle2"/>
              <w:suppressAutoHyphens/>
            </w:pPr>
            <w:r w:rsidRPr="0039175E">
              <w:rPr>
                <w:sz w:val="24"/>
                <w:szCs w:val="24"/>
              </w:rPr>
              <w:t>—</w:t>
            </w:r>
          </w:p>
        </w:tc>
        <w:tc>
          <w:tcPr>
            <w:tcW w:w="271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24662E1" w14:textId="77777777" w:rsidR="001C54EE" w:rsidRPr="0039175E" w:rsidRDefault="00000000">
            <w:pPr>
              <w:suppressAutoHyphens/>
              <w:jc w:val="right"/>
            </w:pPr>
            <w:r w:rsidRPr="0039175E">
              <w:rPr>
                <w:color w:val="000000"/>
                <w14:textOutline w14:w="0" w14:cap="flat" w14:cmpd="sng" w14:algn="ctr">
                  <w14:noFill/>
                  <w14:prstDash w14:val="solid"/>
                  <w14:bevel/>
                </w14:textOutline>
              </w:rPr>
              <w:t>$16,000</w:t>
            </w:r>
          </w:p>
        </w:tc>
      </w:tr>
      <w:tr w:rsidR="001C54EE" w:rsidRPr="0039175E" w14:paraId="6E2080AC" w14:textId="77777777">
        <w:trPr>
          <w:trHeight w:val="380"/>
        </w:trPr>
        <w:tc>
          <w:tcPr>
            <w:tcW w:w="314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A8B1683" w14:textId="77777777" w:rsidR="001C54EE" w:rsidRPr="0039175E" w:rsidRDefault="00000000">
            <w:pPr>
              <w:pStyle w:val="TableStyle2"/>
              <w:suppressAutoHyphens/>
            </w:pPr>
            <w:r w:rsidRPr="0039175E">
              <w:rPr>
                <w:sz w:val="24"/>
                <w:szCs w:val="24"/>
              </w:rPr>
              <w:t>Annual Savings (Net)</w:t>
            </w:r>
          </w:p>
        </w:tc>
        <w:tc>
          <w:tcPr>
            <w:tcW w:w="281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4EB6F8B" w14:textId="77777777" w:rsidR="001C54EE" w:rsidRPr="0039175E" w:rsidRDefault="00000000">
            <w:pPr>
              <w:pStyle w:val="TableStyle2"/>
              <w:suppressAutoHyphens/>
            </w:pPr>
            <w:r w:rsidRPr="0039175E">
              <w:rPr>
                <w:sz w:val="24"/>
                <w:szCs w:val="24"/>
              </w:rPr>
              <w:t>—</w:t>
            </w:r>
          </w:p>
        </w:tc>
        <w:tc>
          <w:tcPr>
            <w:tcW w:w="271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722D3B4" w14:textId="77777777" w:rsidR="001C54EE" w:rsidRPr="0039175E" w:rsidRDefault="00000000">
            <w:pPr>
              <w:suppressAutoHyphens/>
              <w:jc w:val="right"/>
            </w:pPr>
            <w:r w:rsidRPr="0039175E">
              <w:rPr>
                <w:color w:val="000000"/>
                <w14:textOutline w14:w="0" w14:cap="flat" w14:cmpd="sng" w14:algn="ctr">
                  <w14:noFill/>
                  <w14:prstDash w14:val="solid"/>
                  <w14:bevel/>
                </w14:textOutline>
              </w:rPr>
              <w:t>$6,600</w:t>
            </w:r>
          </w:p>
        </w:tc>
      </w:tr>
    </w:tbl>
    <w:p w14:paraId="6FF52FFB" w14:textId="77777777" w:rsidR="001C54EE" w:rsidRPr="0039175E" w:rsidRDefault="001C54EE">
      <w:pPr>
        <w:pStyle w:val="Default"/>
        <w:suppressAutoHyphens/>
        <w:spacing w:before="0" w:line="240" w:lineRule="auto"/>
        <w:rPr>
          <w:rFonts w:eastAsia="Times Roman" w:cs="Times New Roman"/>
          <w:color w:val="808080"/>
          <w:sz w:val="24"/>
          <w:szCs w:val="24"/>
        </w:rPr>
      </w:pPr>
    </w:p>
    <w:p w14:paraId="2C3EA6CC" w14:textId="77777777" w:rsidR="001C54EE" w:rsidRPr="0039175E" w:rsidRDefault="001C54EE">
      <w:pPr>
        <w:pStyle w:val="Default"/>
        <w:suppressAutoHyphens/>
        <w:spacing w:before="0" w:line="240" w:lineRule="auto"/>
        <w:rPr>
          <w:rFonts w:eastAsia="Times Roman" w:cs="Times New Roman"/>
          <w:color w:val="808080"/>
          <w:sz w:val="24"/>
          <w:szCs w:val="24"/>
        </w:rPr>
      </w:pPr>
    </w:p>
    <w:p w14:paraId="7A91A843" w14:textId="77777777" w:rsidR="001C54EE" w:rsidRPr="0039175E" w:rsidRDefault="00000000">
      <w:pPr>
        <w:pStyle w:val="Heading2"/>
        <w:rPr>
          <w:rFonts w:cs="Times New Roman"/>
        </w:rPr>
      </w:pPr>
      <w:r w:rsidRPr="0039175E">
        <w:rPr>
          <w:rFonts w:cs="Times New Roman"/>
        </w:rPr>
        <w:t>E.2. Return on Investment (ROI) Projection Table</w:t>
      </w:r>
    </w:p>
    <w:tbl>
      <w:tblPr>
        <w:tblW w:w="8017"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607"/>
        <w:gridCol w:w="1130"/>
        <w:gridCol w:w="1050"/>
        <w:gridCol w:w="1522"/>
        <w:gridCol w:w="1708"/>
      </w:tblGrid>
      <w:tr w:rsidR="001C54EE" w:rsidRPr="0039175E" w14:paraId="53417C86" w14:textId="77777777">
        <w:trPr>
          <w:trHeight w:val="567"/>
        </w:trPr>
        <w:tc>
          <w:tcPr>
            <w:tcW w:w="260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0F10F78" w14:textId="77777777" w:rsidR="001C54EE" w:rsidRPr="0039175E" w:rsidRDefault="00000000">
            <w:pPr>
              <w:pStyle w:val="TableStyle2"/>
              <w:suppressAutoHyphens/>
            </w:pPr>
            <w:r w:rsidRPr="0039175E">
              <w:rPr>
                <w:sz w:val="24"/>
                <w:szCs w:val="24"/>
              </w:rPr>
              <w:t>Pilot Site</w:t>
            </w:r>
          </w:p>
        </w:tc>
        <w:tc>
          <w:tcPr>
            <w:tcW w:w="113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AEB5578" w14:textId="77777777" w:rsidR="001C54EE" w:rsidRPr="0039175E" w:rsidRDefault="00000000">
            <w:pPr>
              <w:pStyle w:val="TableStyle2"/>
              <w:suppressAutoHyphens/>
            </w:pPr>
            <w:r w:rsidRPr="0039175E">
              <w:rPr>
                <w:sz w:val="24"/>
                <w:szCs w:val="24"/>
              </w:rPr>
              <w:t>Total Units</w:t>
            </w:r>
          </w:p>
        </w:tc>
        <w:tc>
          <w:tcPr>
            <w:tcW w:w="105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13AC57F" w14:textId="77777777" w:rsidR="001C54EE" w:rsidRPr="0039175E" w:rsidRDefault="00000000">
            <w:pPr>
              <w:pStyle w:val="TableStyle2"/>
              <w:suppressAutoHyphens/>
            </w:pPr>
            <w:r w:rsidRPr="0039175E">
              <w:rPr>
                <w:sz w:val="24"/>
                <w:szCs w:val="24"/>
              </w:rPr>
              <w:t>Total Cost</w:t>
            </w:r>
          </w:p>
        </w:tc>
        <w:tc>
          <w:tcPr>
            <w:tcW w:w="152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6B75801" w14:textId="77777777" w:rsidR="001C54EE" w:rsidRPr="0039175E" w:rsidRDefault="00000000">
            <w:pPr>
              <w:pStyle w:val="TableStyle2"/>
              <w:suppressAutoHyphens/>
            </w:pPr>
            <w:r w:rsidRPr="0039175E">
              <w:rPr>
                <w:sz w:val="24"/>
                <w:szCs w:val="24"/>
              </w:rPr>
              <w:t>5-Year Savings</w:t>
            </w:r>
          </w:p>
        </w:tc>
        <w:tc>
          <w:tcPr>
            <w:tcW w:w="170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2B7E10D" w14:textId="77777777" w:rsidR="001C54EE" w:rsidRPr="0039175E" w:rsidRDefault="00000000">
            <w:pPr>
              <w:pStyle w:val="TableStyle2"/>
              <w:suppressAutoHyphens/>
            </w:pPr>
            <w:r w:rsidRPr="0039175E">
              <w:rPr>
                <w:sz w:val="24"/>
                <w:szCs w:val="24"/>
              </w:rPr>
              <w:t>Break-Even Year</w:t>
            </w:r>
          </w:p>
        </w:tc>
      </w:tr>
      <w:tr w:rsidR="001C54EE" w:rsidRPr="0039175E" w14:paraId="1CB3DC6F" w14:textId="77777777">
        <w:trPr>
          <w:trHeight w:val="380"/>
        </w:trPr>
        <w:tc>
          <w:tcPr>
            <w:tcW w:w="260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253017D" w14:textId="77777777" w:rsidR="001C54EE" w:rsidRPr="0039175E" w:rsidRDefault="00000000">
            <w:pPr>
              <w:pStyle w:val="TableStyle2"/>
              <w:suppressAutoHyphens/>
            </w:pPr>
            <w:r w:rsidRPr="0039175E">
              <w:rPr>
                <w:sz w:val="24"/>
                <w:szCs w:val="24"/>
              </w:rPr>
              <w:t>Bronx CD 6</w:t>
            </w:r>
          </w:p>
        </w:tc>
        <w:tc>
          <w:tcPr>
            <w:tcW w:w="113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56CE5F7" w14:textId="77777777" w:rsidR="001C54EE" w:rsidRPr="0039175E" w:rsidRDefault="00000000">
            <w:pPr>
              <w:suppressAutoHyphens/>
              <w:jc w:val="right"/>
            </w:pPr>
            <w:r w:rsidRPr="0039175E">
              <w:rPr>
                <w:color w:val="000000"/>
                <w14:textOutline w14:w="0" w14:cap="flat" w14:cmpd="sng" w14:algn="ctr">
                  <w14:noFill/>
                  <w14:prstDash w14:val="solid"/>
                  <w14:bevel/>
                </w14:textOutline>
              </w:rPr>
              <w:t>24</w:t>
            </w:r>
          </w:p>
        </w:tc>
        <w:tc>
          <w:tcPr>
            <w:tcW w:w="105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DBEE822" w14:textId="77777777" w:rsidR="001C54EE" w:rsidRPr="0039175E" w:rsidRDefault="00000000">
            <w:pPr>
              <w:pStyle w:val="TableStyle2"/>
              <w:suppressAutoHyphens/>
            </w:pPr>
            <w:r w:rsidRPr="0039175E">
              <w:rPr>
                <w:sz w:val="24"/>
                <w:szCs w:val="24"/>
              </w:rPr>
              <w:t>$1.03M</w:t>
            </w:r>
          </w:p>
        </w:tc>
        <w:tc>
          <w:tcPr>
            <w:tcW w:w="152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FDC2B0D" w14:textId="77777777" w:rsidR="001C54EE" w:rsidRPr="0039175E" w:rsidRDefault="00000000">
            <w:pPr>
              <w:pStyle w:val="TableStyle2"/>
              <w:suppressAutoHyphens/>
            </w:pPr>
            <w:r w:rsidRPr="0039175E">
              <w:rPr>
                <w:sz w:val="24"/>
                <w:szCs w:val="24"/>
              </w:rPr>
              <w:t>$1.5M</w:t>
            </w:r>
          </w:p>
        </w:tc>
        <w:tc>
          <w:tcPr>
            <w:tcW w:w="170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C6C9598" w14:textId="77777777" w:rsidR="001C54EE" w:rsidRPr="0039175E" w:rsidRDefault="00000000">
            <w:pPr>
              <w:pStyle w:val="TableStyle2"/>
              <w:suppressAutoHyphens/>
            </w:pPr>
            <w:r w:rsidRPr="0039175E">
              <w:rPr>
                <w:sz w:val="24"/>
                <w:szCs w:val="24"/>
              </w:rPr>
              <w:t>Year 3.4</w:t>
            </w:r>
          </w:p>
        </w:tc>
      </w:tr>
      <w:tr w:rsidR="001C54EE" w:rsidRPr="0039175E" w14:paraId="51C6A4FC" w14:textId="77777777">
        <w:trPr>
          <w:trHeight w:val="380"/>
        </w:trPr>
        <w:tc>
          <w:tcPr>
            <w:tcW w:w="260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B1C5DAD" w14:textId="77777777" w:rsidR="001C54EE" w:rsidRPr="0039175E" w:rsidRDefault="00000000">
            <w:pPr>
              <w:pStyle w:val="TableStyle2"/>
              <w:suppressAutoHyphens/>
            </w:pPr>
            <w:r w:rsidRPr="0039175E">
              <w:rPr>
                <w:sz w:val="24"/>
                <w:szCs w:val="24"/>
              </w:rPr>
              <w:t>Brooklyn CD 33</w:t>
            </w:r>
          </w:p>
        </w:tc>
        <w:tc>
          <w:tcPr>
            <w:tcW w:w="113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A427709" w14:textId="77777777" w:rsidR="001C54EE" w:rsidRPr="0039175E" w:rsidRDefault="00000000">
            <w:pPr>
              <w:suppressAutoHyphens/>
              <w:jc w:val="right"/>
            </w:pPr>
            <w:r w:rsidRPr="0039175E">
              <w:rPr>
                <w:color w:val="000000"/>
                <w14:textOutline w14:w="0" w14:cap="flat" w14:cmpd="sng" w14:algn="ctr">
                  <w14:noFill/>
                  <w14:prstDash w14:val="solid"/>
                  <w14:bevel/>
                </w14:textOutline>
              </w:rPr>
              <w:t>42</w:t>
            </w:r>
          </w:p>
        </w:tc>
        <w:tc>
          <w:tcPr>
            <w:tcW w:w="105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2DD6F28" w14:textId="77777777" w:rsidR="001C54EE" w:rsidRPr="0039175E" w:rsidRDefault="00000000">
            <w:pPr>
              <w:pStyle w:val="TableStyle2"/>
              <w:suppressAutoHyphens/>
            </w:pPr>
            <w:r w:rsidRPr="0039175E">
              <w:rPr>
                <w:sz w:val="24"/>
                <w:szCs w:val="24"/>
              </w:rPr>
              <w:t>$1.98M</w:t>
            </w:r>
          </w:p>
        </w:tc>
        <w:tc>
          <w:tcPr>
            <w:tcW w:w="152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3FE3809" w14:textId="77777777" w:rsidR="001C54EE" w:rsidRPr="0039175E" w:rsidRDefault="00000000">
            <w:pPr>
              <w:pStyle w:val="TableStyle2"/>
              <w:suppressAutoHyphens/>
            </w:pPr>
            <w:r w:rsidRPr="0039175E">
              <w:rPr>
                <w:sz w:val="24"/>
                <w:szCs w:val="24"/>
              </w:rPr>
              <w:t>$2.9M</w:t>
            </w:r>
          </w:p>
        </w:tc>
        <w:tc>
          <w:tcPr>
            <w:tcW w:w="170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AB87754" w14:textId="77777777" w:rsidR="001C54EE" w:rsidRPr="0039175E" w:rsidRDefault="00000000">
            <w:pPr>
              <w:pStyle w:val="TableStyle2"/>
              <w:suppressAutoHyphens/>
            </w:pPr>
            <w:r w:rsidRPr="0039175E">
              <w:rPr>
                <w:sz w:val="24"/>
                <w:szCs w:val="24"/>
              </w:rPr>
              <w:t>Year 2.9</w:t>
            </w:r>
          </w:p>
        </w:tc>
      </w:tr>
      <w:tr w:rsidR="001C54EE" w:rsidRPr="0039175E" w14:paraId="3FD6E701" w14:textId="77777777">
        <w:trPr>
          <w:trHeight w:val="567"/>
        </w:trPr>
        <w:tc>
          <w:tcPr>
            <w:tcW w:w="260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CB43EB9" w14:textId="77777777" w:rsidR="001C54EE" w:rsidRPr="0039175E" w:rsidRDefault="00000000">
            <w:pPr>
              <w:pStyle w:val="TableStyle2"/>
              <w:suppressAutoHyphens/>
            </w:pPr>
            <w:r w:rsidRPr="0039175E">
              <w:rPr>
                <w:sz w:val="24"/>
                <w:szCs w:val="24"/>
              </w:rPr>
              <w:t>Upper Manhattan (HDFC)</w:t>
            </w:r>
          </w:p>
        </w:tc>
        <w:tc>
          <w:tcPr>
            <w:tcW w:w="113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9D71D9E" w14:textId="77777777" w:rsidR="001C54EE" w:rsidRPr="0039175E" w:rsidRDefault="00000000">
            <w:pPr>
              <w:suppressAutoHyphens/>
              <w:jc w:val="right"/>
            </w:pPr>
            <w:r w:rsidRPr="0039175E">
              <w:rPr>
                <w:color w:val="000000"/>
                <w14:textOutline w14:w="0" w14:cap="flat" w14:cmpd="sng" w14:algn="ctr">
                  <w14:noFill/>
                  <w14:prstDash w14:val="solid"/>
                  <w14:bevel/>
                </w14:textOutline>
              </w:rPr>
              <w:t>18</w:t>
            </w:r>
          </w:p>
        </w:tc>
        <w:tc>
          <w:tcPr>
            <w:tcW w:w="105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C980B25" w14:textId="77777777" w:rsidR="001C54EE" w:rsidRPr="0039175E" w:rsidRDefault="00000000">
            <w:pPr>
              <w:pStyle w:val="TableStyle2"/>
              <w:suppressAutoHyphens/>
            </w:pPr>
            <w:r w:rsidRPr="0039175E">
              <w:rPr>
                <w:sz w:val="24"/>
                <w:szCs w:val="24"/>
              </w:rPr>
              <w:t>$875K</w:t>
            </w:r>
          </w:p>
        </w:tc>
        <w:tc>
          <w:tcPr>
            <w:tcW w:w="152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FF04EA0" w14:textId="77777777" w:rsidR="001C54EE" w:rsidRPr="0039175E" w:rsidRDefault="00000000">
            <w:pPr>
              <w:pStyle w:val="TableStyle2"/>
              <w:suppressAutoHyphens/>
            </w:pPr>
            <w:r w:rsidRPr="0039175E">
              <w:rPr>
                <w:sz w:val="24"/>
                <w:szCs w:val="24"/>
              </w:rPr>
              <w:t>$1.14M</w:t>
            </w:r>
          </w:p>
        </w:tc>
        <w:tc>
          <w:tcPr>
            <w:tcW w:w="170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1053535" w14:textId="77777777" w:rsidR="001C54EE" w:rsidRPr="0039175E" w:rsidRDefault="00000000">
            <w:pPr>
              <w:pStyle w:val="TableStyle2"/>
              <w:suppressAutoHyphens/>
            </w:pPr>
            <w:r w:rsidRPr="0039175E">
              <w:rPr>
                <w:sz w:val="24"/>
                <w:szCs w:val="24"/>
              </w:rPr>
              <w:t>Year 3.1</w:t>
            </w:r>
          </w:p>
        </w:tc>
      </w:tr>
    </w:tbl>
    <w:p w14:paraId="3268E669" w14:textId="77777777" w:rsidR="001C54EE" w:rsidRPr="0039175E" w:rsidRDefault="001C54EE">
      <w:pPr>
        <w:pStyle w:val="Default"/>
        <w:suppressAutoHyphens/>
        <w:spacing w:before="0" w:line="240" w:lineRule="auto"/>
        <w:rPr>
          <w:rFonts w:eastAsia="Times Roman" w:cs="Times New Roman"/>
          <w:color w:val="808080"/>
          <w:sz w:val="24"/>
          <w:szCs w:val="24"/>
        </w:rPr>
      </w:pPr>
    </w:p>
    <w:p w14:paraId="7D5C0F4D" w14:textId="77777777" w:rsidR="001C54EE" w:rsidRPr="0039175E" w:rsidRDefault="001C54EE">
      <w:pPr>
        <w:pStyle w:val="Default"/>
        <w:suppressAutoHyphens/>
        <w:spacing w:before="0" w:line="240" w:lineRule="auto"/>
        <w:rPr>
          <w:rFonts w:eastAsia="Times Roman" w:cs="Times New Roman"/>
          <w:color w:val="808080"/>
          <w:sz w:val="24"/>
          <w:szCs w:val="24"/>
        </w:rPr>
      </w:pPr>
    </w:p>
    <w:p w14:paraId="4FC3EFE9" w14:textId="77777777" w:rsidR="001C54EE" w:rsidRPr="0039175E" w:rsidRDefault="00000000">
      <w:pPr>
        <w:pStyle w:val="Heading2"/>
        <w:rPr>
          <w:rFonts w:cs="Times New Roman"/>
        </w:rPr>
      </w:pPr>
      <w:r w:rsidRPr="0039175E">
        <w:rPr>
          <w:rFonts w:cs="Times New Roman"/>
        </w:rPr>
        <w:t>E.3. NYC Homeownership Disparities by Race (2022)</w:t>
      </w:r>
    </w:p>
    <w:tbl>
      <w:tblPr>
        <w:tblW w:w="3632"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86"/>
        <w:gridCol w:w="2146"/>
      </w:tblGrid>
      <w:tr w:rsidR="001C54EE" w:rsidRPr="0039175E" w14:paraId="031FE198" w14:textId="77777777">
        <w:trPr>
          <w:trHeight w:val="567"/>
        </w:trPr>
        <w:tc>
          <w:tcPr>
            <w:tcW w:w="148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AD7AFE9" w14:textId="77777777" w:rsidR="001C54EE" w:rsidRPr="0039175E" w:rsidRDefault="00000000">
            <w:pPr>
              <w:pStyle w:val="TableStyle2"/>
              <w:suppressAutoHyphens/>
            </w:pPr>
            <w:r w:rsidRPr="0039175E">
              <w:rPr>
                <w:sz w:val="24"/>
                <w:szCs w:val="24"/>
              </w:rPr>
              <w:t>Race/Ethnicity</w:t>
            </w:r>
          </w:p>
        </w:tc>
        <w:tc>
          <w:tcPr>
            <w:tcW w:w="214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F84578F" w14:textId="77777777" w:rsidR="001C54EE" w:rsidRPr="0039175E" w:rsidRDefault="00000000">
            <w:pPr>
              <w:pStyle w:val="TableStyle2"/>
              <w:suppressAutoHyphens/>
            </w:pPr>
            <w:r w:rsidRPr="0039175E">
              <w:rPr>
                <w:sz w:val="24"/>
                <w:szCs w:val="24"/>
              </w:rPr>
              <w:t>Homeownership Rate</w:t>
            </w:r>
          </w:p>
        </w:tc>
      </w:tr>
      <w:tr w:rsidR="001C54EE" w:rsidRPr="0039175E" w14:paraId="7EB38D4D" w14:textId="77777777">
        <w:trPr>
          <w:trHeight w:val="380"/>
        </w:trPr>
        <w:tc>
          <w:tcPr>
            <w:tcW w:w="148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91E331F" w14:textId="77777777" w:rsidR="001C54EE" w:rsidRPr="0039175E" w:rsidRDefault="00000000">
            <w:pPr>
              <w:pStyle w:val="TableStyle2"/>
              <w:suppressAutoHyphens/>
            </w:pPr>
            <w:r w:rsidRPr="0039175E">
              <w:rPr>
                <w:sz w:val="24"/>
                <w:szCs w:val="24"/>
              </w:rPr>
              <w:t>White</w:t>
            </w:r>
          </w:p>
        </w:tc>
        <w:tc>
          <w:tcPr>
            <w:tcW w:w="214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69C213B" w14:textId="77777777" w:rsidR="001C54EE" w:rsidRPr="0039175E" w:rsidRDefault="00000000">
            <w:pPr>
              <w:suppressAutoHyphens/>
              <w:jc w:val="right"/>
            </w:pPr>
            <w:r w:rsidRPr="0039175E">
              <w:rPr>
                <w:color w:val="000000"/>
                <w14:textOutline w14:w="0" w14:cap="flat" w14:cmpd="sng" w14:algn="ctr">
                  <w14:noFill/>
                  <w14:prstDash w14:val="solid"/>
                  <w14:bevel/>
                </w14:textOutline>
              </w:rPr>
              <w:t>44%</w:t>
            </w:r>
          </w:p>
        </w:tc>
      </w:tr>
      <w:tr w:rsidR="001C54EE" w:rsidRPr="0039175E" w14:paraId="705E79BF" w14:textId="77777777">
        <w:trPr>
          <w:trHeight w:val="380"/>
        </w:trPr>
        <w:tc>
          <w:tcPr>
            <w:tcW w:w="148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940BE01" w14:textId="77777777" w:rsidR="001C54EE" w:rsidRPr="0039175E" w:rsidRDefault="00000000">
            <w:pPr>
              <w:pStyle w:val="TableStyle2"/>
              <w:suppressAutoHyphens/>
            </w:pPr>
            <w:r w:rsidRPr="0039175E">
              <w:rPr>
                <w:sz w:val="24"/>
                <w:szCs w:val="24"/>
              </w:rPr>
              <w:t>Black</w:t>
            </w:r>
          </w:p>
        </w:tc>
        <w:tc>
          <w:tcPr>
            <w:tcW w:w="214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3C60FF1" w14:textId="77777777" w:rsidR="001C54EE" w:rsidRPr="0039175E" w:rsidRDefault="00000000">
            <w:pPr>
              <w:suppressAutoHyphens/>
              <w:jc w:val="right"/>
            </w:pPr>
            <w:r w:rsidRPr="0039175E">
              <w:rPr>
                <w:color w:val="000000"/>
                <w14:textOutline w14:w="0" w14:cap="flat" w14:cmpd="sng" w14:algn="ctr">
                  <w14:noFill/>
                  <w14:prstDash w14:val="solid"/>
                  <w14:bevel/>
                </w14:textOutline>
              </w:rPr>
              <w:t>27%</w:t>
            </w:r>
          </w:p>
        </w:tc>
      </w:tr>
      <w:tr w:rsidR="001C54EE" w:rsidRPr="0039175E" w14:paraId="4FAE8911" w14:textId="77777777">
        <w:trPr>
          <w:trHeight w:val="380"/>
        </w:trPr>
        <w:tc>
          <w:tcPr>
            <w:tcW w:w="148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371957C" w14:textId="77777777" w:rsidR="001C54EE" w:rsidRPr="0039175E" w:rsidRDefault="00000000">
            <w:pPr>
              <w:pStyle w:val="TableStyle2"/>
              <w:suppressAutoHyphens/>
            </w:pPr>
            <w:r w:rsidRPr="0039175E">
              <w:rPr>
                <w:sz w:val="24"/>
                <w:szCs w:val="24"/>
              </w:rPr>
              <w:t>Latino</w:t>
            </w:r>
          </w:p>
        </w:tc>
        <w:tc>
          <w:tcPr>
            <w:tcW w:w="214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780B50C" w14:textId="77777777" w:rsidR="001C54EE" w:rsidRPr="0039175E" w:rsidRDefault="00000000">
            <w:pPr>
              <w:suppressAutoHyphens/>
              <w:jc w:val="right"/>
            </w:pPr>
            <w:r w:rsidRPr="0039175E">
              <w:rPr>
                <w:color w:val="000000"/>
                <w14:textOutline w14:w="0" w14:cap="flat" w14:cmpd="sng" w14:algn="ctr">
                  <w14:noFill/>
                  <w14:prstDash w14:val="solid"/>
                  <w14:bevel/>
                </w14:textOutline>
              </w:rPr>
              <w:t>17%</w:t>
            </w:r>
          </w:p>
        </w:tc>
      </w:tr>
      <w:tr w:rsidR="001C54EE" w:rsidRPr="0039175E" w14:paraId="6AFBB352" w14:textId="77777777">
        <w:trPr>
          <w:trHeight w:val="380"/>
        </w:trPr>
        <w:tc>
          <w:tcPr>
            <w:tcW w:w="148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5CD26BE" w14:textId="77777777" w:rsidR="001C54EE" w:rsidRPr="0039175E" w:rsidRDefault="00000000">
            <w:pPr>
              <w:pStyle w:val="TableStyle2"/>
              <w:suppressAutoHyphens/>
            </w:pPr>
            <w:r w:rsidRPr="0039175E">
              <w:rPr>
                <w:sz w:val="24"/>
                <w:szCs w:val="24"/>
              </w:rPr>
              <w:t>Asian</w:t>
            </w:r>
          </w:p>
        </w:tc>
        <w:tc>
          <w:tcPr>
            <w:tcW w:w="214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A54317F" w14:textId="77777777" w:rsidR="001C54EE" w:rsidRPr="0039175E" w:rsidRDefault="00000000">
            <w:pPr>
              <w:suppressAutoHyphens/>
              <w:jc w:val="right"/>
            </w:pPr>
            <w:r w:rsidRPr="0039175E">
              <w:rPr>
                <w:color w:val="000000"/>
                <w14:textOutline w14:w="0" w14:cap="flat" w14:cmpd="sng" w14:algn="ctr">
                  <w14:noFill/>
                  <w14:prstDash w14:val="solid"/>
                  <w14:bevel/>
                </w14:textOutline>
              </w:rPr>
              <w:t>34%</w:t>
            </w:r>
          </w:p>
        </w:tc>
      </w:tr>
    </w:tbl>
    <w:p w14:paraId="551B36FE" w14:textId="77777777" w:rsidR="001C54EE" w:rsidRPr="0039175E" w:rsidRDefault="001C54EE">
      <w:pPr>
        <w:pStyle w:val="Default"/>
        <w:suppressAutoHyphens/>
        <w:spacing w:before="0" w:after="240" w:line="240" w:lineRule="auto"/>
        <w:rPr>
          <w:rFonts w:eastAsia="Times Roman" w:cs="Times New Roman"/>
          <w:i/>
          <w:iCs/>
          <w:sz w:val="24"/>
          <w:szCs w:val="24"/>
        </w:rPr>
      </w:pPr>
    </w:p>
    <w:p w14:paraId="10197ED3" w14:textId="77777777" w:rsidR="001C54EE" w:rsidRPr="0039175E" w:rsidRDefault="00000000">
      <w:pPr>
        <w:pStyle w:val="Default"/>
        <w:suppressAutoHyphens/>
        <w:spacing w:before="0" w:after="240" w:line="240" w:lineRule="auto"/>
        <w:rPr>
          <w:rFonts w:eastAsia="Times Roman" w:cs="Times New Roman"/>
          <w:i/>
          <w:iCs/>
          <w:sz w:val="24"/>
          <w:szCs w:val="24"/>
        </w:rPr>
      </w:pPr>
      <w:r w:rsidRPr="0039175E">
        <w:rPr>
          <w:rFonts w:cs="Times New Roman"/>
          <w:i/>
          <w:iCs/>
          <w:sz w:val="24"/>
          <w:szCs w:val="24"/>
        </w:rPr>
        <w:lastRenderedPageBreak/>
        <w:t>Source: NYU Furman Center, 2022</w:t>
      </w:r>
    </w:p>
    <w:p w14:paraId="3D23223E" w14:textId="77777777" w:rsidR="001C54EE" w:rsidRPr="0039175E" w:rsidRDefault="00000000">
      <w:pPr>
        <w:pStyle w:val="Heading2"/>
        <w:rPr>
          <w:rFonts w:cs="Times New Roman"/>
        </w:rPr>
      </w:pPr>
      <w:r w:rsidRPr="0039175E">
        <w:rPr>
          <w:rFonts w:cs="Times New Roman"/>
        </w:rPr>
        <w:t>E.4. Targeted Violation Density Map</w:t>
      </w:r>
    </w:p>
    <w:p w14:paraId="07E58A34"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i/>
          <w:iCs/>
          <w:sz w:val="24"/>
          <w:szCs w:val="24"/>
        </w:rPr>
        <w:t>(Map Placeholder: Overlay of HPD Housing Maintenance Code violations by NYC Council District. Highlighted districts include Bronx CD 6, Brooklyn CD 33, and Manhattan CD 9.)</w:t>
      </w:r>
    </w:p>
    <w:p w14:paraId="0BF3B307" w14:textId="77777777" w:rsidR="001C54EE" w:rsidRPr="0039175E" w:rsidRDefault="001C54EE">
      <w:pPr>
        <w:pStyle w:val="Default"/>
        <w:suppressAutoHyphens/>
        <w:spacing w:before="0" w:line="240" w:lineRule="auto"/>
        <w:rPr>
          <w:rFonts w:eastAsia="Times Roman" w:cs="Times New Roman"/>
          <w:color w:val="808080"/>
          <w:sz w:val="24"/>
          <w:szCs w:val="24"/>
        </w:rPr>
      </w:pPr>
    </w:p>
    <w:p w14:paraId="1F27C79F" w14:textId="77777777" w:rsidR="001C54EE" w:rsidRPr="0039175E" w:rsidRDefault="00000000">
      <w:pPr>
        <w:pStyle w:val="Heading2"/>
        <w:rPr>
          <w:rFonts w:cs="Times New Roman"/>
        </w:rPr>
      </w:pPr>
      <w:r w:rsidRPr="0039175E">
        <w:rPr>
          <w:rFonts w:cs="Times New Roman"/>
        </w:rPr>
        <w:t>E.5. TCAP Conversion Process Timeline</w:t>
      </w:r>
    </w:p>
    <w:p w14:paraId="5421DB74"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rPr>
        <w:t>Year 0:</w:t>
      </w:r>
      <w:r w:rsidRPr="0039175E">
        <w:rPr>
          <w:rFonts w:cs="Times New Roman"/>
          <w:sz w:val="24"/>
          <w:szCs w:val="24"/>
        </w:rPr>
        <w:t xml:space="preserve"> Tenant organizing &amp; TA onboarding</w:t>
      </w:r>
      <w:r w:rsidRPr="0039175E">
        <w:rPr>
          <w:rFonts w:eastAsia="Times Roman" w:cs="Times New Roman"/>
          <w:sz w:val="24"/>
          <w:szCs w:val="24"/>
        </w:rPr>
        <w:br/>
      </w:r>
      <w:r w:rsidRPr="0039175E">
        <w:rPr>
          <w:rFonts w:cs="Times New Roman"/>
          <w:b/>
          <w:bCs/>
          <w:sz w:val="24"/>
          <w:szCs w:val="24"/>
        </w:rPr>
        <w:t>Year 1:</w:t>
      </w:r>
      <w:r w:rsidRPr="0039175E">
        <w:rPr>
          <w:rFonts w:cs="Times New Roman"/>
          <w:sz w:val="24"/>
          <w:szCs w:val="24"/>
        </w:rPr>
        <w:t xml:space="preserve"> Legal formation + acquisition closing</w:t>
      </w:r>
      <w:r w:rsidRPr="0039175E">
        <w:rPr>
          <w:rFonts w:eastAsia="Times Roman" w:cs="Times New Roman"/>
          <w:sz w:val="24"/>
          <w:szCs w:val="24"/>
        </w:rPr>
        <w:br/>
      </w:r>
      <w:r w:rsidRPr="0039175E">
        <w:rPr>
          <w:rFonts w:cs="Times New Roman"/>
          <w:b/>
          <w:bCs/>
          <w:sz w:val="24"/>
          <w:szCs w:val="24"/>
        </w:rPr>
        <w:t>Year 2–</w:t>
      </w:r>
      <w:r w:rsidRPr="0039175E">
        <w:rPr>
          <w:rFonts w:cs="Times New Roman"/>
          <w:b/>
          <w:bCs/>
          <w:sz w:val="24"/>
          <w:szCs w:val="24"/>
          <w:lang w:val="ru-RU"/>
        </w:rPr>
        <w:t>3:</w:t>
      </w:r>
      <w:r w:rsidRPr="0039175E">
        <w:rPr>
          <w:rFonts w:cs="Times New Roman"/>
          <w:sz w:val="24"/>
          <w:szCs w:val="24"/>
        </w:rPr>
        <w:t xml:space="preserve"> Subsidy redirection phase &amp; board governance training</w:t>
      </w:r>
      <w:r w:rsidRPr="0039175E">
        <w:rPr>
          <w:rFonts w:eastAsia="Times Roman" w:cs="Times New Roman"/>
          <w:sz w:val="24"/>
          <w:szCs w:val="24"/>
        </w:rPr>
        <w:br/>
      </w:r>
      <w:r w:rsidRPr="0039175E">
        <w:rPr>
          <w:rFonts w:cs="Times New Roman"/>
          <w:b/>
          <w:bCs/>
          <w:sz w:val="24"/>
          <w:szCs w:val="24"/>
        </w:rPr>
        <w:t>Year 4–5:</w:t>
      </w:r>
      <w:r w:rsidRPr="0039175E">
        <w:rPr>
          <w:rFonts w:cs="Times New Roman"/>
          <w:sz w:val="24"/>
          <w:szCs w:val="24"/>
        </w:rPr>
        <w:t xml:space="preserve"> Independent cooperative operation &amp; audit initiation</w:t>
      </w:r>
    </w:p>
    <w:p w14:paraId="31ECCFED" w14:textId="77777777" w:rsidR="001C54EE" w:rsidRPr="0039175E" w:rsidRDefault="001C54EE">
      <w:pPr>
        <w:pStyle w:val="Default"/>
        <w:suppressAutoHyphens/>
        <w:spacing w:before="0" w:line="240" w:lineRule="auto"/>
        <w:rPr>
          <w:rFonts w:eastAsia="Times Roman" w:cs="Times New Roman"/>
          <w:color w:val="808080"/>
          <w:sz w:val="24"/>
          <w:szCs w:val="24"/>
        </w:rPr>
      </w:pPr>
    </w:p>
    <w:p w14:paraId="64F18851" w14:textId="77777777" w:rsidR="001C54EE" w:rsidRPr="0039175E" w:rsidRDefault="00000000">
      <w:pPr>
        <w:pStyle w:val="Heading2"/>
        <w:rPr>
          <w:rFonts w:cs="Times New Roman"/>
        </w:rPr>
      </w:pPr>
      <w:r w:rsidRPr="0039175E">
        <w:rPr>
          <w:rFonts w:cs="Times New Roman"/>
        </w:rPr>
        <w:t>E.6. Program Impact Projection (Citywide)</w:t>
      </w:r>
    </w:p>
    <w:tbl>
      <w:tblPr>
        <w:tblW w:w="619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62"/>
        <w:gridCol w:w="1479"/>
        <w:gridCol w:w="1761"/>
        <w:gridCol w:w="2288"/>
      </w:tblGrid>
      <w:tr w:rsidR="001C54EE" w:rsidRPr="0039175E" w14:paraId="249F54F4" w14:textId="77777777">
        <w:trPr>
          <w:trHeight w:val="567"/>
        </w:trPr>
        <w:tc>
          <w:tcPr>
            <w:tcW w:w="66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10787BC" w14:textId="77777777" w:rsidR="001C54EE" w:rsidRPr="0039175E" w:rsidRDefault="00000000">
            <w:pPr>
              <w:pStyle w:val="TableStyle2"/>
              <w:suppressAutoHyphens/>
            </w:pPr>
            <w:r w:rsidRPr="0039175E">
              <w:rPr>
                <w:sz w:val="24"/>
                <w:szCs w:val="24"/>
              </w:rPr>
              <w:t>Year</w:t>
            </w:r>
          </w:p>
        </w:tc>
        <w:tc>
          <w:tcPr>
            <w:tcW w:w="147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8EEF7E3" w14:textId="77777777" w:rsidR="001C54EE" w:rsidRPr="0039175E" w:rsidRDefault="00000000">
            <w:pPr>
              <w:pStyle w:val="TableStyle2"/>
              <w:suppressAutoHyphens/>
            </w:pPr>
            <w:r w:rsidRPr="0039175E">
              <w:rPr>
                <w:sz w:val="24"/>
                <w:szCs w:val="24"/>
              </w:rPr>
              <w:t>Units Converted</w:t>
            </w:r>
          </w:p>
        </w:tc>
        <w:tc>
          <w:tcPr>
            <w:tcW w:w="176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2A888F8" w14:textId="77777777" w:rsidR="001C54EE" w:rsidRPr="0039175E" w:rsidRDefault="00000000">
            <w:pPr>
              <w:pStyle w:val="TableStyle2"/>
              <w:suppressAutoHyphens/>
            </w:pPr>
            <w:r w:rsidRPr="0039175E">
              <w:rPr>
                <w:sz w:val="24"/>
                <w:szCs w:val="24"/>
              </w:rPr>
              <w:t>Estimated City Savings</w:t>
            </w:r>
          </w:p>
        </w:tc>
        <w:tc>
          <w:tcPr>
            <w:tcW w:w="2287"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69B7333" w14:textId="77777777" w:rsidR="001C54EE" w:rsidRPr="0039175E" w:rsidRDefault="00000000">
            <w:pPr>
              <w:pStyle w:val="TableStyle2"/>
              <w:suppressAutoHyphens/>
            </w:pPr>
            <w:r w:rsidRPr="0039175E">
              <w:rPr>
                <w:sz w:val="24"/>
                <w:szCs w:val="24"/>
              </w:rPr>
              <w:t>Avg. Equity Built/Unit</w:t>
            </w:r>
          </w:p>
        </w:tc>
      </w:tr>
      <w:tr w:rsidR="001C54EE" w:rsidRPr="0039175E" w14:paraId="12BA9192" w14:textId="77777777">
        <w:trPr>
          <w:trHeight w:val="380"/>
        </w:trPr>
        <w:tc>
          <w:tcPr>
            <w:tcW w:w="66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F8ADDEC" w14:textId="77777777" w:rsidR="001C54EE" w:rsidRPr="0039175E" w:rsidRDefault="00000000">
            <w:pPr>
              <w:suppressAutoHyphens/>
              <w:jc w:val="right"/>
            </w:pPr>
            <w:r w:rsidRPr="0039175E">
              <w:rPr>
                <w:color w:val="000000"/>
                <w14:textOutline w14:w="0" w14:cap="flat" w14:cmpd="sng" w14:algn="ctr">
                  <w14:noFill/>
                  <w14:prstDash w14:val="solid"/>
                  <w14:bevel/>
                </w14:textOutline>
              </w:rPr>
              <w:t>1</w:t>
            </w:r>
          </w:p>
        </w:tc>
        <w:tc>
          <w:tcPr>
            <w:tcW w:w="147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D7072EF" w14:textId="77777777" w:rsidR="001C54EE" w:rsidRPr="0039175E" w:rsidRDefault="00000000">
            <w:pPr>
              <w:suppressAutoHyphens/>
              <w:jc w:val="right"/>
            </w:pPr>
            <w:r w:rsidRPr="0039175E">
              <w:rPr>
                <w:color w:val="000000"/>
                <w14:textOutline w14:w="0" w14:cap="flat" w14:cmpd="sng" w14:algn="ctr">
                  <w14:noFill/>
                  <w14:prstDash w14:val="solid"/>
                  <w14:bevel/>
                </w14:textOutline>
              </w:rPr>
              <w:t>120</w:t>
            </w:r>
          </w:p>
        </w:tc>
        <w:tc>
          <w:tcPr>
            <w:tcW w:w="176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DF6309D" w14:textId="77777777" w:rsidR="001C54EE" w:rsidRPr="0039175E" w:rsidRDefault="00000000">
            <w:pPr>
              <w:pStyle w:val="TableStyle2"/>
              <w:suppressAutoHyphens/>
            </w:pPr>
            <w:r w:rsidRPr="0039175E">
              <w:rPr>
                <w:sz w:val="24"/>
                <w:szCs w:val="24"/>
              </w:rPr>
              <w:t>$7.9M</w:t>
            </w:r>
          </w:p>
        </w:tc>
        <w:tc>
          <w:tcPr>
            <w:tcW w:w="2287"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8B3BF31" w14:textId="77777777" w:rsidR="001C54EE" w:rsidRPr="0039175E" w:rsidRDefault="00000000">
            <w:pPr>
              <w:suppressAutoHyphens/>
              <w:jc w:val="right"/>
            </w:pPr>
            <w:r w:rsidRPr="0039175E">
              <w:rPr>
                <w:color w:val="000000"/>
                <w14:textOutline w14:w="0" w14:cap="flat" w14:cmpd="sng" w14:algn="ctr">
                  <w14:noFill/>
                  <w14:prstDash w14:val="solid"/>
                  <w14:bevel/>
                </w14:textOutline>
              </w:rPr>
              <w:t>$12,500</w:t>
            </w:r>
          </w:p>
        </w:tc>
      </w:tr>
      <w:tr w:rsidR="001C54EE" w:rsidRPr="0039175E" w14:paraId="4C5749AB" w14:textId="77777777">
        <w:trPr>
          <w:trHeight w:val="380"/>
        </w:trPr>
        <w:tc>
          <w:tcPr>
            <w:tcW w:w="66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A6F4E8E" w14:textId="77777777" w:rsidR="001C54EE" w:rsidRPr="0039175E" w:rsidRDefault="00000000">
            <w:pPr>
              <w:suppressAutoHyphens/>
              <w:jc w:val="right"/>
            </w:pPr>
            <w:r w:rsidRPr="0039175E">
              <w:rPr>
                <w:color w:val="000000"/>
                <w14:textOutline w14:w="0" w14:cap="flat" w14:cmpd="sng" w14:algn="ctr">
                  <w14:noFill/>
                  <w14:prstDash w14:val="solid"/>
                  <w14:bevel/>
                </w14:textOutline>
              </w:rPr>
              <w:t>3</w:t>
            </w:r>
          </w:p>
        </w:tc>
        <w:tc>
          <w:tcPr>
            <w:tcW w:w="147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B25601F" w14:textId="77777777" w:rsidR="001C54EE" w:rsidRPr="0039175E" w:rsidRDefault="00000000">
            <w:pPr>
              <w:suppressAutoHyphens/>
              <w:jc w:val="right"/>
            </w:pPr>
            <w:r w:rsidRPr="0039175E">
              <w:rPr>
                <w:color w:val="000000"/>
                <w14:textOutline w14:w="0" w14:cap="flat" w14:cmpd="sng" w14:algn="ctr">
                  <w14:noFill/>
                  <w14:prstDash w14:val="solid"/>
                  <w14:bevel/>
                </w14:textOutline>
              </w:rPr>
              <w:t>340</w:t>
            </w:r>
          </w:p>
        </w:tc>
        <w:tc>
          <w:tcPr>
            <w:tcW w:w="176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3E56A7E" w14:textId="77777777" w:rsidR="001C54EE" w:rsidRPr="0039175E" w:rsidRDefault="00000000">
            <w:pPr>
              <w:pStyle w:val="TableStyle2"/>
              <w:suppressAutoHyphens/>
            </w:pPr>
            <w:r w:rsidRPr="0039175E">
              <w:rPr>
                <w:sz w:val="24"/>
                <w:szCs w:val="24"/>
              </w:rPr>
              <w:t>$26.4M</w:t>
            </w:r>
          </w:p>
        </w:tc>
        <w:tc>
          <w:tcPr>
            <w:tcW w:w="2287"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3332676" w14:textId="77777777" w:rsidR="001C54EE" w:rsidRPr="0039175E" w:rsidRDefault="00000000">
            <w:pPr>
              <w:suppressAutoHyphens/>
              <w:jc w:val="right"/>
            </w:pPr>
            <w:r w:rsidRPr="0039175E">
              <w:rPr>
                <w:color w:val="000000"/>
                <w14:textOutline w14:w="0" w14:cap="flat" w14:cmpd="sng" w14:algn="ctr">
                  <w14:noFill/>
                  <w14:prstDash w14:val="solid"/>
                  <w14:bevel/>
                </w14:textOutline>
              </w:rPr>
              <w:t>$18,000</w:t>
            </w:r>
          </w:p>
        </w:tc>
      </w:tr>
      <w:tr w:rsidR="001C54EE" w:rsidRPr="0039175E" w14:paraId="5C68ACD9" w14:textId="77777777">
        <w:trPr>
          <w:trHeight w:val="380"/>
        </w:trPr>
        <w:tc>
          <w:tcPr>
            <w:tcW w:w="66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BB205EE" w14:textId="77777777" w:rsidR="001C54EE" w:rsidRPr="0039175E" w:rsidRDefault="00000000">
            <w:pPr>
              <w:suppressAutoHyphens/>
              <w:jc w:val="right"/>
            </w:pPr>
            <w:r w:rsidRPr="0039175E">
              <w:rPr>
                <w:color w:val="000000"/>
                <w14:textOutline w14:w="0" w14:cap="flat" w14:cmpd="sng" w14:algn="ctr">
                  <w14:noFill/>
                  <w14:prstDash w14:val="solid"/>
                  <w14:bevel/>
                </w14:textOutline>
              </w:rPr>
              <w:t>5</w:t>
            </w:r>
          </w:p>
        </w:tc>
        <w:tc>
          <w:tcPr>
            <w:tcW w:w="147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79A4904" w14:textId="77777777" w:rsidR="001C54EE" w:rsidRPr="0039175E" w:rsidRDefault="00000000">
            <w:pPr>
              <w:suppressAutoHyphens/>
              <w:jc w:val="right"/>
            </w:pPr>
            <w:r w:rsidRPr="0039175E">
              <w:rPr>
                <w:color w:val="000000"/>
                <w14:textOutline w14:w="0" w14:cap="flat" w14:cmpd="sng" w14:algn="ctr">
                  <w14:noFill/>
                  <w14:prstDash w14:val="solid"/>
                  <w14:bevel/>
                </w14:textOutline>
              </w:rPr>
              <w:t>600</w:t>
            </w:r>
          </w:p>
        </w:tc>
        <w:tc>
          <w:tcPr>
            <w:tcW w:w="176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4EFD1DB" w14:textId="77777777" w:rsidR="001C54EE" w:rsidRPr="0039175E" w:rsidRDefault="00000000">
            <w:pPr>
              <w:pStyle w:val="TableStyle2"/>
              <w:suppressAutoHyphens/>
            </w:pPr>
            <w:r w:rsidRPr="0039175E">
              <w:rPr>
                <w:sz w:val="24"/>
                <w:szCs w:val="24"/>
              </w:rPr>
              <w:t>$48.6M</w:t>
            </w:r>
          </w:p>
        </w:tc>
        <w:tc>
          <w:tcPr>
            <w:tcW w:w="2287"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F528943" w14:textId="77777777" w:rsidR="001C54EE" w:rsidRPr="0039175E" w:rsidRDefault="00000000">
            <w:pPr>
              <w:suppressAutoHyphens/>
              <w:jc w:val="right"/>
            </w:pPr>
            <w:r w:rsidRPr="0039175E">
              <w:rPr>
                <w:color w:val="000000"/>
                <w14:textOutline w14:w="0" w14:cap="flat" w14:cmpd="sng" w14:algn="ctr">
                  <w14:noFill/>
                  <w14:prstDash w14:val="solid"/>
                  <w14:bevel/>
                </w14:textOutline>
              </w:rPr>
              <w:t>$24,000</w:t>
            </w:r>
          </w:p>
        </w:tc>
      </w:tr>
    </w:tbl>
    <w:p w14:paraId="36BBF50C" w14:textId="77777777" w:rsidR="001C54EE" w:rsidRPr="0039175E" w:rsidRDefault="001C54EE">
      <w:pPr>
        <w:pStyle w:val="Default"/>
        <w:suppressAutoHyphens/>
        <w:spacing w:before="0" w:line="240" w:lineRule="auto"/>
        <w:rPr>
          <w:rFonts w:eastAsia="Times Roman" w:cs="Times New Roman"/>
          <w:color w:val="808080"/>
          <w:sz w:val="24"/>
          <w:szCs w:val="24"/>
        </w:rPr>
      </w:pPr>
    </w:p>
    <w:p w14:paraId="63B49CA2" w14:textId="77777777" w:rsidR="001C54EE" w:rsidRPr="0039175E" w:rsidRDefault="001C54EE">
      <w:pPr>
        <w:pStyle w:val="Default"/>
        <w:suppressAutoHyphens/>
        <w:spacing w:before="0" w:line="240" w:lineRule="auto"/>
        <w:rPr>
          <w:rFonts w:eastAsia="Times Roman" w:cs="Times New Roman"/>
          <w:color w:val="808080"/>
          <w:sz w:val="24"/>
          <w:szCs w:val="24"/>
        </w:rPr>
      </w:pPr>
    </w:p>
    <w:p w14:paraId="22E9D370" w14:textId="77777777" w:rsidR="001C54EE" w:rsidRPr="0039175E" w:rsidRDefault="00000000">
      <w:pPr>
        <w:pStyle w:val="Heading2"/>
        <w:rPr>
          <w:rFonts w:cs="Times New Roman"/>
        </w:rPr>
      </w:pPr>
      <w:r w:rsidRPr="0039175E">
        <w:rPr>
          <w:rFonts w:cs="Times New Roman"/>
          <w:lang w:val="de-DE"/>
        </w:rPr>
        <w:lastRenderedPageBreak/>
        <w:t xml:space="preserve">E.7. </w:t>
      </w:r>
      <w:proofErr w:type="spellStart"/>
      <w:r w:rsidRPr="0039175E">
        <w:rPr>
          <w:rFonts w:cs="Times New Roman"/>
          <w:lang w:val="de-DE"/>
        </w:rPr>
        <w:t>Tenant</w:t>
      </w:r>
      <w:proofErr w:type="spellEnd"/>
      <w:r w:rsidRPr="0039175E">
        <w:rPr>
          <w:rFonts w:cs="Times New Roman"/>
          <w:lang w:val="de-DE"/>
        </w:rPr>
        <w:t xml:space="preserve"> </w:t>
      </w:r>
      <w:proofErr w:type="spellStart"/>
      <w:r w:rsidRPr="0039175E">
        <w:rPr>
          <w:rFonts w:cs="Times New Roman"/>
          <w:lang w:val="de-DE"/>
        </w:rPr>
        <w:t>Cost</w:t>
      </w:r>
      <w:proofErr w:type="spellEnd"/>
      <w:r w:rsidRPr="0039175E">
        <w:rPr>
          <w:rFonts w:cs="Times New Roman"/>
          <w:lang w:val="de-DE"/>
        </w:rPr>
        <w:t xml:space="preserve"> </w:t>
      </w:r>
      <w:proofErr w:type="spellStart"/>
      <w:r w:rsidRPr="0039175E">
        <w:rPr>
          <w:rFonts w:cs="Times New Roman"/>
          <w:lang w:val="de-DE"/>
        </w:rPr>
        <w:t>Burden</w:t>
      </w:r>
      <w:proofErr w:type="spellEnd"/>
      <w:r w:rsidRPr="0039175E">
        <w:rPr>
          <w:rFonts w:cs="Times New Roman"/>
          <w:lang w:val="de-DE"/>
        </w:rPr>
        <w:t xml:space="preserve"> </w:t>
      </w:r>
      <w:proofErr w:type="spellStart"/>
      <w:r w:rsidRPr="0039175E">
        <w:rPr>
          <w:rFonts w:cs="Times New Roman"/>
          <w:lang w:val="de-DE"/>
        </w:rPr>
        <w:t>Pre</w:t>
      </w:r>
      <w:proofErr w:type="spellEnd"/>
      <w:r w:rsidRPr="0039175E">
        <w:rPr>
          <w:rFonts w:cs="Times New Roman"/>
          <w:lang w:val="de-DE"/>
        </w:rPr>
        <w:t>/Post-TCAP</w:t>
      </w:r>
      <w:r w:rsidRPr="0039175E">
        <w:rPr>
          <w:rFonts w:cs="Times New Roman"/>
          <w:noProof/>
        </w:rPr>
        <w:drawing>
          <wp:anchor distT="152400" distB="152400" distL="152400" distR="152400" simplePos="0" relativeHeight="251659264" behindDoc="0" locked="0" layoutInCell="1" allowOverlap="1" wp14:anchorId="41D81B76" wp14:editId="1AA24EDE">
            <wp:simplePos x="0" y="0"/>
            <wp:positionH relativeFrom="margin">
              <wp:posOffset>-216217</wp:posOffset>
            </wp:positionH>
            <wp:positionV relativeFrom="line">
              <wp:posOffset>316350</wp:posOffset>
            </wp:positionV>
            <wp:extent cx="5728335" cy="3341529"/>
            <wp:effectExtent l="0" t="0" r="0" b="0"/>
            <wp:wrapTopAndBottom distT="152400" distB="152400"/>
            <wp:docPr id="1073741825" name="officeArt object" descr="Tenant Cost Burden Comparison: Pre-TCAP vs. Post-TCAP.png"/>
            <wp:cNvGraphicFramePr/>
            <a:graphic xmlns:a="http://schemas.openxmlformats.org/drawingml/2006/main">
              <a:graphicData uri="http://schemas.openxmlformats.org/drawingml/2006/picture">
                <pic:pic xmlns:pic="http://schemas.openxmlformats.org/drawingml/2006/picture">
                  <pic:nvPicPr>
                    <pic:cNvPr id="1073741825" name="Tenant Cost Burden Comparison: Pre-TCAP vs. Post-TCAP.png" descr="Tenant Cost Burden Comparison: Pre-TCAP vs. Post-TCAP.png"/>
                    <pic:cNvPicPr>
                      <a:picLocks noChangeAspect="1"/>
                    </pic:cNvPicPr>
                  </pic:nvPicPr>
                  <pic:blipFill>
                    <a:blip r:embed="rId7"/>
                    <a:stretch>
                      <a:fillRect/>
                    </a:stretch>
                  </pic:blipFill>
                  <pic:spPr>
                    <a:xfrm>
                      <a:off x="0" y="0"/>
                      <a:ext cx="5728335" cy="3341529"/>
                    </a:xfrm>
                    <a:prstGeom prst="rect">
                      <a:avLst/>
                    </a:prstGeom>
                    <a:ln w="12700" cap="flat">
                      <a:noFill/>
                      <a:miter lim="400000"/>
                    </a:ln>
                    <a:effectLst/>
                  </pic:spPr>
                </pic:pic>
              </a:graphicData>
            </a:graphic>
          </wp:anchor>
        </w:drawing>
      </w:r>
    </w:p>
    <w:p w14:paraId="7F612854" w14:textId="77777777" w:rsidR="001C54EE" w:rsidRPr="0039175E" w:rsidRDefault="00000000">
      <w:pPr>
        <w:pStyle w:val="Body"/>
        <w:rPr>
          <w:rFonts w:cs="Times New Roman"/>
        </w:rPr>
      </w:pPr>
      <w:r w:rsidRPr="0039175E">
        <w:rPr>
          <w:rFonts w:cs="Times New Roman"/>
        </w:rPr>
        <w:t>A bar chart comparing:</w:t>
      </w:r>
    </w:p>
    <w:p w14:paraId="4D552B01" w14:textId="77777777" w:rsidR="001C54EE" w:rsidRPr="0039175E" w:rsidRDefault="00000000">
      <w:pPr>
        <w:pStyle w:val="Body"/>
        <w:rPr>
          <w:rFonts w:cs="Times New Roman"/>
        </w:rPr>
      </w:pPr>
      <w:r w:rsidRPr="0039175E">
        <w:rPr>
          <w:rFonts w:cs="Times New Roman"/>
        </w:rPr>
        <w:tab/>
        <w:t>•</w:t>
      </w:r>
      <w:r w:rsidRPr="0039175E">
        <w:rPr>
          <w:rFonts w:cs="Times New Roman"/>
        </w:rPr>
        <w:tab/>
        <w:t>Average % of income spent on rent before TCAP</w:t>
      </w:r>
    </w:p>
    <w:p w14:paraId="575FB561" w14:textId="77777777" w:rsidR="001C54EE" w:rsidRPr="0039175E" w:rsidRDefault="00000000">
      <w:pPr>
        <w:pStyle w:val="Body"/>
        <w:rPr>
          <w:rFonts w:cs="Times New Roman"/>
        </w:rPr>
      </w:pPr>
      <w:r w:rsidRPr="0039175E">
        <w:rPr>
          <w:rFonts w:cs="Times New Roman"/>
        </w:rPr>
        <w:tab/>
        <w:t>•</w:t>
      </w:r>
      <w:r w:rsidRPr="0039175E">
        <w:rPr>
          <w:rFonts w:cs="Times New Roman"/>
        </w:rPr>
        <w:tab/>
        <w:t>Average % of income spent on cooperative maintenance after TCAP</w:t>
      </w:r>
    </w:p>
    <w:p w14:paraId="0DBE3949" w14:textId="77777777" w:rsidR="001C54EE" w:rsidRPr="0039175E" w:rsidRDefault="00000000">
      <w:pPr>
        <w:pStyle w:val="Body"/>
        <w:rPr>
          <w:rFonts w:cs="Times New Roman"/>
        </w:rPr>
      </w:pPr>
      <w:r w:rsidRPr="0039175E">
        <w:rPr>
          <w:rFonts w:cs="Times New Roman"/>
        </w:rPr>
        <w:tab/>
        <w:t>•</w:t>
      </w:r>
      <w:r w:rsidRPr="0039175E">
        <w:rPr>
          <w:rFonts w:cs="Times New Roman"/>
        </w:rPr>
        <w:tab/>
        <w:t>Broken down by AMI bracket (30%, 50%, 80%, 100%)</w:t>
      </w:r>
    </w:p>
    <w:p w14:paraId="55A86056" w14:textId="77777777" w:rsidR="001C54EE" w:rsidRPr="0039175E" w:rsidRDefault="00000000">
      <w:pPr>
        <w:pStyle w:val="Heading2"/>
        <w:rPr>
          <w:rFonts w:cs="Times New Roman"/>
        </w:rPr>
      </w:pPr>
      <w:r w:rsidRPr="0039175E">
        <w:rPr>
          <w:rFonts w:cs="Times New Roman"/>
        </w:rPr>
        <w:t>E.8. Timeline Comparison: Traditional Voucher Path vs. TCAP Path</w:t>
      </w:r>
    </w:p>
    <w:p w14:paraId="3784B3A3" w14:textId="77777777" w:rsidR="001C54EE" w:rsidRPr="0039175E" w:rsidRDefault="00000000">
      <w:pPr>
        <w:pStyle w:val="Body"/>
        <w:rPr>
          <w:rFonts w:cs="Times New Roman"/>
        </w:rPr>
      </w:pPr>
      <w:r w:rsidRPr="0039175E">
        <w:rPr>
          <w:rFonts w:cs="Times New Roman"/>
        </w:rPr>
        <w:t>A side-by-side visual timeline showing:</w:t>
      </w:r>
    </w:p>
    <w:p w14:paraId="78EC395F" w14:textId="77777777" w:rsidR="001C54EE" w:rsidRPr="0039175E" w:rsidRDefault="00000000">
      <w:pPr>
        <w:pStyle w:val="Body"/>
        <w:rPr>
          <w:rFonts w:cs="Times New Roman"/>
        </w:rPr>
      </w:pPr>
      <w:r w:rsidRPr="0039175E">
        <w:rPr>
          <w:rFonts w:cs="Times New Roman"/>
        </w:rPr>
        <w:tab/>
        <w:t>•</w:t>
      </w:r>
      <w:r w:rsidRPr="0039175E">
        <w:rPr>
          <w:rFonts w:cs="Times New Roman"/>
        </w:rPr>
        <w:tab/>
        <w:t>Traditional rental subsidy cycle (no ownership, ongoing payments)</w:t>
      </w:r>
    </w:p>
    <w:p w14:paraId="1961E474" w14:textId="77777777" w:rsidR="001C54EE" w:rsidRPr="0039175E" w:rsidRDefault="00000000">
      <w:pPr>
        <w:pStyle w:val="Body"/>
        <w:rPr>
          <w:rFonts w:cs="Times New Roman"/>
        </w:rPr>
      </w:pPr>
      <w:r w:rsidRPr="0039175E">
        <w:rPr>
          <w:rFonts w:cs="Times New Roman"/>
        </w:rPr>
        <w:tab/>
        <w:t>•</w:t>
      </w:r>
      <w:r w:rsidRPr="0039175E">
        <w:rPr>
          <w:rFonts w:cs="Times New Roman"/>
        </w:rPr>
        <w:tab/>
        <w:t>TCAP path (ownership by year 5, no rent by year 7)</w:t>
      </w:r>
    </w:p>
    <w:p w14:paraId="5B86020B" w14:textId="77777777" w:rsidR="001C54EE" w:rsidRPr="0039175E" w:rsidRDefault="00000000">
      <w:pPr>
        <w:pStyle w:val="Heading2"/>
        <w:rPr>
          <w:rFonts w:cs="Times New Roman"/>
        </w:rPr>
      </w:pPr>
      <w:r w:rsidRPr="0039175E">
        <w:rPr>
          <w:rFonts w:cs="Times New Roman"/>
        </w:rPr>
        <w:t>E.9. Interagency Flowchart: TCAP Governance &amp; Implementation</w:t>
      </w:r>
    </w:p>
    <w:p w14:paraId="3F0939E9" w14:textId="77777777" w:rsidR="001C54EE" w:rsidRPr="0039175E" w:rsidRDefault="00000000">
      <w:pPr>
        <w:pStyle w:val="Body"/>
        <w:rPr>
          <w:rFonts w:cs="Times New Roman"/>
        </w:rPr>
      </w:pPr>
      <w:r w:rsidRPr="0039175E">
        <w:rPr>
          <w:rFonts w:cs="Times New Roman"/>
        </w:rPr>
        <w:t>Diagram showing how HPD, HCR, HUD, legal partners, credit unions, and tenant associations interact across phases</w:t>
      </w:r>
    </w:p>
    <w:p w14:paraId="5FFF7848" w14:textId="77777777" w:rsidR="001C54EE" w:rsidRPr="0039175E" w:rsidRDefault="00000000">
      <w:pPr>
        <w:pStyle w:val="Heading2"/>
        <w:rPr>
          <w:rFonts w:cs="Times New Roman"/>
        </w:rPr>
      </w:pPr>
      <w:r w:rsidRPr="0039175E">
        <w:rPr>
          <w:rFonts w:cs="Times New Roman"/>
        </w:rPr>
        <w:lastRenderedPageBreak/>
        <w:t>E.10. Geographic Equity Impact Map</w:t>
      </w:r>
    </w:p>
    <w:p w14:paraId="66B65DC9" w14:textId="77777777" w:rsidR="001C54EE" w:rsidRPr="0039175E" w:rsidRDefault="00000000">
      <w:pPr>
        <w:pStyle w:val="Body"/>
        <w:rPr>
          <w:rFonts w:cs="Times New Roman"/>
        </w:rPr>
      </w:pPr>
      <w:r w:rsidRPr="0039175E">
        <w:rPr>
          <w:rFonts w:cs="Times New Roman"/>
        </w:rPr>
        <w:t>Overlay of historic redlined districts + current eviction heatmaps + TCAP pilot targets</w:t>
      </w:r>
    </w:p>
    <w:p w14:paraId="7D38DCFB" w14:textId="77777777" w:rsidR="001C54EE" w:rsidRPr="0039175E" w:rsidRDefault="00000000">
      <w:pPr>
        <w:pStyle w:val="Body"/>
        <w:rPr>
          <w:rFonts w:cs="Times New Roman"/>
        </w:rPr>
      </w:pPr>
      <w:r w:rsidRPr="0039175E">
        <w:rPr>
          <w:rFonts w:cs="Times New Roman"/>
        </w:rPr>
        <w:t>⸻</w:t>
      </w:r>
    </w:p>
    <w:p w14:paraId="098277C8" w14:textId="77777777" w:rsidR="001C54EE" w:rsidRPr="0039175E" w:rsidRDefault="00000000">
      <w:pPr>
        <w:pStyle w:val="Appendix"/>
        <w:rPr>
          <w:rStyle w:val="Emphasis"/>
          <w:rFonts w:cs="Times New Roman"/>
        </w:rPr>
      </w:pPr>
      <w:proofErr w:type="spellStart"/>
      <w:r w:rsidRPr="0039175E">
        <w:rPr>
          <w:rStyle w:val="Emphasis"/>
          <w:rFonts w:cs="Times New Roman"/>
        </w:rPr>
        <w:t>Appendix</w:t>
      </w:r>
      <w:proofErr w:type="spellEnd"/>
      <w:r w:rsidRPr="0039175E">
        <w:rPr>
          <w:rStyle w:val="Emphasis"/>
          <w:rFonts w:cs="Times New Roman"/>
        </w:rPr>
        <w:t xml:space="preserve"> F – </w:t>
      </w:r>
      <w:r w:rsidRPr="0039175E">
        <w:rPr>
          <w:rStyle w:val="Emphasis"/>
          <w:rFonts w:cs="Times New Roman"/>
          <w:lang w:val="en-US"/>
        </w:rPr>
        <w:t>Cognitive &amp; Educational Outcomes Summary</w:t>
      </w:r>
    </w:p>
    <w:tbl>
      <w:tblPr>
        <w:tblW w:w="1080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982"/>
        <w:gridCol w:w="1729"/>
        <w:gridCol w:w="5070"/>
        <w:gridCol w:w="3019"/>
      </w:tblGrid>
      <w:tr w:rsidR="001C54EE" w:rsidRPr="0039175E" w14:paraId="16846EA5" w14:textId="77777777">
        <w:trPr>
          <w:trHeight w:val="380"/>
        </w:trPr>
        <w:tc>
          <w:tcPr>
            <w:tcW w:w="98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D39EB07" w14:textId="77777777" w:rsidR="001C54EE" w:rsidRPr="0039175E" w:rsidRDefault="00000000">
            <w:pPr>
              <w:pStyle w:val="TableStyle2"/>
              <w:suppressAutoHyphens/>
              <w:jc w:val="center"/>
            </w:pPr>
            <w:r w:rsidRPr="0039175E">
              <w:rPr>
                <w:b/>
                <w:bCs/>
                <w:sz w:val="24"/>
                <w:szCs w:val="24"/>
              </w:rPr>
              <w:t>Study</w:t>
            </w:r>
          </w:p>
        </w:tc>
        <w:tc>
          <w:tcPr>
            <w:tcW w:w="172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1FA4E4C" w14:textId="77777777" w:rsidR="001C54EE" w:rsidRPr="0039175E" w:rsidRDefault="00000000">
            <w:pPr>
              <w:pStyle w:val="TableStyle2"/>
              <w:suppressAutoHyphens/>
              <w:jc w:val="center"/>
            </w:pPr>
            <w:r w:rsidRPr="0039175E">
              <w:rPr>
                <w:b/>
                <w:bCs/>
                <w:sz w:val="24"/>
                <w:szCs w:val="24"/>
              </w:rPr>
              <w:t>Focus Area</w:t>
            </w:r>
          </w:p>
        </w:tc>
        <w:tc>
          <w:tcPr>
            <w:tcW w:w="507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A9AA2E2" w14:textId="77777777" w:rsidR="001C54EE" w:rsidRPr="0039175E" w:rsidRDefault="00000000">
            <w:pPr>
              <w:pStyle w:val="TableStyle2"/>
              <w:suppressAutoHyphens/>
              <w:jc w:val="center"/>
            </w:pPr>
            <w:r w:rsidRPr="0039175E">
              <w:rPr>
                <w:b/>
                <w:bCs/>
                <w:sz w:val="24"/>
                <w:szCs w:val="24"/>
              </w:rPr>
              <w:t>Key Findings</w:t>
            </w:r>
          </w:p>
        </w:tc>
        <w:tc>
          <w:tcPr>
            <w:tcW w:w="301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96799CE" w14:textId="77777777" w:rsidR="001C54EE" w:rsidRPr="0039175E" w:rsidRDefault="00000000">
            <w:pPr>
              <w:pStyle w:val="TableStyle2"/>
              <w:suppressAutoHyphens/>
              <w:jc w:val="center"/>
            </w:pPr>
            <w:r w:rsidRPr="0039175E">
              <w:rPr>
                <w:b/>
                <w:bCs/>
                <w:sz w:val="24"/>
                <w:szCs w:val="24"/>
              </w:rPr>
              <w:t>Application</w:t>
            </w:r>
          </w:p>
        </w:tc>
      </w:tr>
      <w:tr w:rsidR="001C54EE" w:rsidRPr="0039175E" w14:paraId="0DDCC05F" w14:textId="77777777">
        <w:trPr>
          <w:trHeight w:val="1069"/>
        </w:trPr>
        <w:tc>
          <w:tcPr>
            <w:tcW w:w="981"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1957EB0" w14:textId="77777777" w:rsidR="001C54EE" w:rsidRPr="0039175E" w:rsidRDefault="00000000">
            <w:pPr>
              <w:pStyle w:val="TableStyle2"/>
              <w:suppressAutoHyphens/>
            </w:pPr>
            <w:r w:rsidRPr="0039175E">
              <w:rPr>
                <w:b/>
                <w:bCs/>
                <w:sz w:val="24"/>
                <w:szCs w:val="24"/>
              </w:rPr>
              <w:t>Maqbool et al. (2015)</w:t>
            </w:r>
          </w:p>
        </w:tc>
        <w:tc>
          <w:tcPr>
            <w:tcW w:w="172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F2A2279" w14:textId="77777777" w:rsidR="001C54EE" w:rsidRPr="0039175E" w:rsidRDefault="00000000">
            <w:pPr>
              <w:pStyle w:val="TableStyle2"/>
              <w:suppressAutoHyphens/>
            </w:pPr>
            <w:r w:rsidRPr="0039175E">
              <w:rPr>
                <w:sz w:val="24"/>
                <w:szCs w:val="24"/>
              </w:rPr>
              <w:t>Health outcomes from housing stress</w:t>
            </w:r>
          </w:p>
        </w:tc>
        <w:tc>
          <w:tcPr>
            <w:tcW w:w="507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E792B16" w14:textId="77777777" w:rsidR="001C54EE" w:rsidRPr="0039175E" w:rsidRDefault="00000000">
            <w:pPr>
              <w:pStyle w:val="TableStyle2"/>
              <w:suppressAutoHyphens/>
            </w:pPr>
            <w:r w:rsidRPr="0039175E">
              <w:rPr>
                <w:sz w:val="24"/>
                <w:szCs w:val="24"/>
              </w:rPr>
              <w:t>Housing cost burden is linked to poor physical and mental health, especially due to stress, utility shutoffs, and overcrowding.</w:t>
            </w:r>
          </w:p>
        </w:tc>
        <w:tc>
          <w:tcPr>
            <w:tcW w:w="301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976CE7F" w14:textId="77777777" w:rsidR="001C54EE" w:rsidRPr="0039175E" w:rsidRDefault="00000000">
            <w:pPr>
              <w:pStyle w:val="TableStyle2"/>
              <w:suppressAutoHyphens/>
            </w:pPr>
            <w:r w:rsidRPr="0039175E">
              <w:rPr>
                <w:sz w:val="24"/>
                <w:szCs w:val="24"/>
              </w:rPr>
              <w:t>Justifies mental health and healthcare offsets in housing subsidy reform.</w:t>
            </w:r>
          </w:p>
        </w:tc>
      </w:tr>
      <w:tr w:rsidR="001C54EE" w:rsidRPr="0039175E" w14:paraId="7C7724F8" w14:textId="77777777">
        <w:trPr>
          <w:trHeight w:val="1007"/>
        </w:trPr>
        <w:tc>
          <w:tcPr>
            <w:tcW w:w="98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8CCB501" w14:textId="77777777" w:rsidR="001C54EE" w:rsidRPr="0039175E" w:rsidRDefault="00000000">
            <w:pPr>
              <w:pStyle w:val="TableStyle2"/>
              <w:suppressAutoHyphens/>
            </w:pPr>
            <w:r w:rsidRPr="0039175E">
              <w:rPr>
                <w:b/>
                <w:bCs/>
                <w:sz w:val="24"/>
                <w:szCs w:val="24"/>
              </w:rPr>
              <w:t>Brennan et al. (2014)</w:t>
            </w:r>
          </w:p>
        </w:tc>
        <w:tc>
          <w:tcPr>
            <w:tcW w:w="172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048E5EC" w14:textId="77777777" w:rsidR="001C54EE" w:rsidRPr="0039175E" w:rsidRDefault="00000000">
            <w:pPr>
              <w:pStyle w:val="TableStyle2"/>
              <w:suppressAutoHyphens/>
            </w:pPr>
            <w:r w:rsidRPr="0039175E">
              <w:rPr>
                <w:sz w:val="24"/>
                <w:szCs w:val="24"/>
              </w:rPr>
              <w:t>Educational impact of housing stability</w:t>
            </w:r>
          </w:p>
        </w:tc>
        <w:tc>
          <w:tcPr>
            <w:tcW w:w="507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7A93A31" w14:textId="77777777" w:rsidR="001C54EE" w:rsidRPr="0039175E" w:rsidRDefault="00000000">
            <w:pPr>
              <w:pStyle w:val="TableStyle2"/>
              <w:suppressAutoHyphens/>
            </w:pPr>
            <w:r w:rsidRPr="0039175E">
              <w:rPr>
                <w:sz w:val="24"/>
                <w:szCs w:val="24"/>
              </w:rPr>
              <w:t>School mobility and frequent residential moves cause lasting setbacks in achievement, attendance, and behavioral health.</w:t>
            </w:r>
          </w:p>
        </w:tc>
        <w:tc>
          <w:tcPr>
            <w:tcW w:w="301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22A5121" w14:textId="77777777" w:rsidR="001C54EE" w:rsidRPr="0039175E" w:rsidRDefault="00000000">
            <w:pPr>
              <w:pStyle w:val="TableStyle2"/>
              <w:suppressAutoHyphens/>
            </w:pPr>
            <w:r w:rsidRPr="0039175E">
              <w:rPr>
                <w:sz w:val="24"/>
                <w:szCs w:val="24"/>
              </w:rPr>
              <w:t>Supports stable tenure and family-focused subsidy design for child development.</w:t>
            </w:r>
          </w:p>
        </w:tc>
      </w:tr>
      <w:tr w:rsidR="001C54EE" w:rsidRPr="0039175E" w14:paraId="2E6FE7B2" w14:textId="77777777">
        <w:trPr>
          <w:trHeight w:val="1253"/>
        </w:trPr>
        <w:tc>
          <w:tcPr>
            <w:tcW w:w="981"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1D230F7" w14:textId="77777777" w:rsidR="001C54EE" w:rsidRPr="0039175E" w:rsidRDefault="00000000">
            <w:pPr>
              <w:pStyle w:val="TableStyle2"/>
              <w:suppressAutoHyphens/>
            </w:pPr>
            <w:r w:rsidRPr="0039175E">
              <w:rPr>
                <w:b/>
                <w:bCs/>
                <w:sz w:val="24"/>
                <w:szCs w:val="24"/>
              </w:rPr>
              <w:t>Shrier (2016)</w:t>
            </w:r>
          </w:p>
        </w:tc>
        <w:tc>
          <w:tcPr>
            <w:tcW w:w="172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7AD1260" w14:textId="77777777" w:rsidR="001C54EE" w:rsidRPr="0039175E" w:rsidRDefault="00000000">
            <w:pPr>
              <w:pStyle w:val="TableStyle2"/>
              <w:suppressAutoHyphens/>
            </w:pPr>
            <w:r w:rsidRPr="0039175E">
              <w:rPr>
                <w:sz w:val="24"/>
                <w:szCs w:val="24"/>
              </w:rPr>
              <w:t>Tenant harassment and trauma</w:t>
            </w:r>
          </w:p>
        </w:tc>
        <w:tc>
          <w:tcPr>
            <w:tcW w:w="507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5A6D1E1" w14:textId="77777777" w:rsidR="001C54EE" w:rsidRPr="0039175E" w:rsidRDefault="00000000">
            <w:pPr>
              <w:pStyle w:val="TableStyle2"/>
              <w:suppressAutoHyphens/>
            </w:pPr>
            <w:r w:rsidRPr="0039175E">
              <w:rPr>
                <w:sz w:val="24"/>
                <w:szCs w:val="24"/>
              </w:rPr>
              <w:t>Harassment and housing court failures compound emotional distress and displacement trauma for vulnerable tenants.</w:t>
            </w:r>
          </w:p>
        </w:tc>
        <w:tc>
          <w:tcPr>
            <w:tcW w:w="301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BCE8FD0" w14:textId="77777777" w:rsidR="001C54EE" w:rsidRPr="0039175E" w:rsidRDefault="00000000">
            <w:pPr>
              <w:pStyle w:val="TableStyle2"/>
              <w:suppressAutoHyphens/>
            </w:pPr>
            <w:r w:rsidRPr="0039175E">
              <w:rPr>
                <w:sz w:val="24"/>
                <w:szCs w:val="24"/>
              </w:rPr>
              <w:t>Corroborates legal reform proposals and trauma-informed tenant protections.</w:t>
            </w:r>
          </w:p>
        </w:tc>
      </w:tr>
      <w:tr w:rsidR="001C54EE" w:rsidRPr="0039175E" w14:paraId="015E483A" w14:textId="77777777">
        <w:trPr>
          <w:trHeight w:val="1171"/>
        </w:trPr>
        <w:tc>
          <w:tcPr>
            <w:tcW w:w="98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61855EF" w14:textId="77777777" w:rsidR="001C54EE" w:rsidRPr="0039175E" w:rsidRDefault="00000000">
            <w:pPr>
              <w:pStyle w:val="TableStyle2"/>
              <w:suppressAutoHyphens/>
            </w:pPr>
            <w:r w:rsidRPr="0039175E">
              <w:rPr>
                <w:b/>
                <w:bCs/>
                <w:sz w:val="24"/>
                <w:szCs w:val="24"/>
              </w:rPr>
              <w:t>Clark &amp; Ledwith (2006)</w:t>
            </w:r>
          </w:p>
        </w:tc>
        <w:tc>
          <w:tcPr>
            <w:tcW w:w="172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EA56321" w14:textId="77777777" w:rsidR="001C54EE" w:rsidRPr="0039175E" w:rsidRDefault="00000000">
            <w:pPr>
              <w:pStyle w:val="TableStyle2"/>
              <w:suppressAutoHyphens/>
            </w:pPr>
            <w:r w:rsidRPr="0039175E">
              <w:rPr>
                <w:sz w:val="24"/>
                <w:szCs w:val="24"/>
              </w:rPr>
              <w:t>Mobility effects on neighborhood perception</w:t>
            </w:r>
          </w:p>
        </w:tc>
        <w:tc>
          <w:tcPr>
            <w:tcW w:w="507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9D8B065" w14:textId="77777777" w:rsidR="001C54EE" w:rsidRPr="0039175E" w:rsidRDefault="00000000">
            <w:pPr>
              <w:pStyle w:val="TableStyle2"/>
              <w:suppressAutoHyphens/>
            </w:pPr>
            <w:r w:rsidRPr="0039175E">
              <w:rPr>
                <w:sz w:val="24"/>
                <w:szCs w:val="24"/>
              </w:rPr>
              <w:t>Low satisfaction and perceived lack of social cohesion predict higher intent to move, correlating with housing stress.</w:t>
            </w:r>
          </w:p>
        </w:tc>
        <w:tc>
          <w:tcPr>
            <w:tcW w:w="301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8F3F081" w14:textId="77777777" w:rsidR="001C54EE" w:rsidRPr="0039175E" w:rsidRDefault="00000000">
            <w:pPr>
              <w:pStyle w:val="TableStyle2"/>
              <w:suppressAutoHyphens/>
            </w:pPr>
            <w:r w:rsidRPr="0039175E">
              <w:rPr>
                <w:sz w:val="24"/>
                <w:szCs w:val="24"/>
              </w:rPr>
              <w:t>Reinforces place-based vs. hyper-mobile assistance strategy.</w:t>
            </w:r>
          </w:p>
        </w:tc>
      </w:tr>
      <w:tr w:rsidR="001C54EE" w:rsidRPr="0039175E" w14:paraId="48FFE7F8" w14:textId="77777777">
        <w:trPr>
          <w:trHeight w:val="1246"/>
        </w:trPr>
        <w:tc>
          <w:tcPr>
            <w:tcW w:w="981"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90597DD" w14:textId="77777777" w:rsidR="001C54EE" w:rsidRPr="0039175E" w:rsidRDefault="00000000">
            <w:pPr>
              <w:pStyle w:val="TableStyle2"/>
              <w:suppressAutoHyphens/>
            </w:pPr>
            <w:r w:rsidRPr="0039175E">
              <w:rPr>
                <w:b/>
                <w:bCs/>
                <w:sz w:val="24"/>
                <w:szCs w:val="24"/>
              </w:rPr>
              <w:t>Elder et al. (2003)</w:t>
            </w:r>
          </w:p>
        </w:tc>
        <w:tc>
          <w:tcPr>
            <w:tcW w:w="172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69FB502" w14:textId="77777777" w:rsidR="001C54EE" w:rsidRPr="0039175E" w:rsidRDefault="00000000">
            <w:pPr>
              <w:pStyle w:val="TableStyle2"/>
              <w:suppressAutoHyphens/>
            </w:pPr>
            <w:r w:rsidRPr="0039175E">
              <w:rPr>
                <w:sz w:val="24"/>
                <w:szCs w:val="24"/>
              </w:rPr>
              <w:t>Life course impact of instability</w:t>
            </w:r>
          </w:p>
        </w:tc>
        <w:tc>
          <w:tcPr>
            <w:tcW w:w="507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7EFC3CA" w14:textId="77777777" w:rsidR="001C54EE" w:rsidRPr="0039175E" w:rsidRDefault="00000000">
            <w:pPr>
              <w:pStyle w:val="TableStyle2"/>
              <w:suppressAutoHyphens/>
            </w:pPr>
            <w:r w:rsidRPr="0039175E">
              <w:rPr>
                <w:sz w:val="24"/>
                <w:szCs w:val="24"/>
              </w:rPr>
              <w:t>Life disruptions during key stages (childhood, adolescence) shape long-term cognitive and psychosocial development.</w:t>
            </w:r>
          </w:p>
        </w:tc>
        <w:tc>
          <w:tcPr>
            <w:tcW w:w="301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436E51B" w14:textId="77777777" w:rsidR="001C54EE" w:rsidRPr="0039175E" w:rsidRDefault="00000000">
            <w:pPr>
              <w:pStyle w:val="TableStyle2"/>
              <w:suppressAutoHyphens/>
            </w:pPr>
            <w:r w:rsidRPr="0039175E">
              <w:rPr>
                <w:sz w:val="24"/>
                <w:szCs w:val="24"/>
              </w:rPr>
              <w:t>Theoretical foundation for age-based targeting of interventions.</w:t>
            </w:r>
          </w:p>
        </w:tc>
      </w:tr>
      <w:tr w:rsidR="001C54EE" w:rsidRPr="0039175E" w14:paraId="5D0CE1D7" w14:textId="77777777">
        <w:trPr>
          <w:trHeight w:val="1353"/>
        </w:trPr>
        <w:tc>
          <w:tcPr>
            <w:tcW w:w="98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C72E08D" w14:textId="77777777" w:rsidR="001C54EE" w:rsidRPr="0039175E" w:rsidRDefault="00000000">
            <w:pPr>
              <w:pStyle w:val="TableStyle2"/>
              <w:suppressAutoHyphens/>
            </w:pPr>
            <w:r w:rsidRPr="0039175E">
              <w:rPr>
                <w:b/>
                <w:bCs/>
                <w:sz w:val="24"/>
                <w:szCs w:val="24"/>
              </w:rPr>
              <w:t>Mimura (2007)</w:t>
            </w:r>
          </w:p>
        </w:tc>
        <w:tc>
          <w:tcPr>
            <w:tcW w:w="172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E1D3153" w14:textId="77777777" w:rsidR="001C54EE" w:rsidRPr="0039175E" w:rsidRDefault="00000000">
            <w:pPr>
              <w:pStyle w:val="TableStyle2"/>
              <w:suppressAutoHyphens/>
            </w:pPr>
            <w:r w:rsidRPr="0039175E">
              <w:rPr>
                <w:sz w:val="24"/>
                <w:szCs w:val="24"/>
              </w:rPr>
              <w:t>Poverty vs. cost burden in hardship prediction</w:t>
            </w:r>
          </w:p>
        </w:tc>
        <w:tc>
          <w:tcPr>
            <w:tcW w:w="507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0FA2E85" w14:textId="77777777" w:rsidR="001C54EE" w:rsidRPr="0039175E" w:rsidRDefault="00000000">
            <w:pPr>
              <w:pStyle w:val="TableStyle2"/>
              <w:suppressAutoHyphens/>
            </w:pPr>
            <w:r w:rsidRPr="0039175E">
              <w:rPr>
                <w:sz w:val="24"/>
                <w:szCs w:val="24"/>
              </w:rPr>
              <w:t>Cost burden alone poorly predicts hardship unless poverty and race are factored—Black and Hispanic families face compounding stress.</w:t>
            </w:r>
          </w:p>
        </w:tc>
        <w:tc>
          <w:tcPr>
            <w:tcW w:w="301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8D77769" w14:textId="77777777" w:rsidR="001C54EE" w:rsidRPr="0039175E" w:rsidRDefault="00000000">
            <w:pPr>
              <w:pStyle w:val="TableStyle2"/>
              <w:suppressAutoHyphens/>
            </w:pPr>
            <w:r w:rsidRPr="0039175E">
              <w:rPr>
                <w:sz w:val="24"/>
                <w:szCs w:val="24"/>
              </w:rPr>
              <w:t>Improves targeting methods for economic hardship metrics in voucher models.</w:t>
            </w:r>
          </w:p>
        </w:tc>
      </w:tr>
    </w:tbl>
    <w:p w14:paraId="5240E81F" w14:textId="77777777" w:rsidR="001C54EE" w:rsidRPr="0039175E" w:rsidRDefault="001C54EE">
      <w:pPr>
        <w:pStyle w:val="Default"/>
        <w:suppressAutoHyphens/>
        <w:spacing w:before="0" w:line="240" w:lineRule="auto"/>
        <w:rPr>
          <w:rFonts w:eastAsia="Times Roman" w:cs="Times New Roman"/>
          <w:sz w:val="24"/>
          <w:szCs w:val="24"/>
        </w:rPr>
      </w:pPr>
    </w:p>
    <w:p w14:paraId="1F15C022" w14:textId="77777777" w:rsidR="001C54EE" w:rsidRPr="0039175E" w:rsidRDefault="001C54EE">
      <w:pPr>
        <w:pStyle w:val="Default"/>
        <w:suppressAutoHyphens/>
        <w:spacing w:before="0" w:line="240" w:lineRule="auto"/>
        <w:rPr>
          <w:rFonts w:eastAsia="Times Roman" w:cs="Times New Roman"/>
          <w:sz w:val="24"/>
          <w:szCs w:val="24"/>
        </w:rPr>
      </w:pPr>
    </w:p>
    <w:p w14:paraId="2078AE26" w14:textId="77777777" w:rsidR="001C54EE" w:rsidRPr="0039175E" w:rsidRDefault="001C54EE">
      <w:pPr>
        <w:pStyle w:val="Body"/>
        <w:rPr>
          <w:rFonts w:cs="Times New Roman"/>
        </w:rPr>
      </w:pPr>
    </w:p>
    <w:p w14:paraId="50BD9A75" w14:textId="77777777" w:rsidR="001C54EE" w:rsidRPr="0039175E" w:rsidRDefault="00000000">
      <w:pPr>
        <w:pStyle w:val="Appendix"/>
        <w:rPr>
          <w:rFonts w:cs="Times New Roman"/>
        </w:rPr>
      </w:pPr>
      <w:r w:rsidRPr="0039175E">
        <w:rPr>
          <w:rFonts w:cs="Times New Roman"/>
          <w:lang w:val="en-US"/>
        </w:rPr>
        <w:lastRenderedPageBreak/>
        <w:t>Appendix G: Systemic Exclusion from Housing Subsidies</w:t>
      </w:r>
    </w:p>
    <w:p w14:paraId="14DB4C41"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sz w:val="24"/>
          <w:szCs w:val="24"/>
        </w:rPr>
        <w:t>This appendix highlights vulnerable populations disproportionately excluded from existing housing subsidy programs, reinforcing the need for structural reform. Each group listed below faces either legal, administrative, or practical barriers to subsidy access that exacerbate housing instability and generational disadvantage.</w:t>
      </w:r>
    </w:p>
    <w:p w14:paraId="3C09139C" w14:textId="77777777" w:rsidR="001C54EE" w:rsidRPr="0039175E" w:rsidRDefault="001C54EE">
      <w:pPr>
        <w:pStyle w:val="Default"/>
        <w:suppressAutoHyphens/>
        <w:spacing w:before="0" w:line="240" w:lineRule="auto"/>
        <w:rPr>
          <w:rFonts w:eastAsia="Times Roman" w:cs="Times New Roman"/>
          <w:color w:val="808080"/>
          <w:sz w:val="24"/>
          <w:szCs w:val="24"/>
        </w:rPr>
      </w:pPr>
    </w:p>
    <w:p w14:paraId="434211C7" w14:textId="77777777" w:rsidR="001C54EE" w:rsidRPr="0039175E" w:rsidRDefault="00000000">
      <w:pPr>
        <w:pStyle w:val="Heading2"/>
        <w:rPr>
          <w:rFonts w:cs="Times New Roman"/>
        </w:rPr>
      </w:pPr>
      <w:r w:rsidRPr="0039175E">
        <w:rPr>
          <w:rFonts w:cs="Times New Roman"/>
        </w:rPr>
        <w:t xml:space="preserve"> Demographic Barriers </w:t>
      </w:r>
      <w:proofErr w:type="gramStart"/>
      <w:r w:rsidRPr="0039175E">
        <w:rPr>
          <w:rFonts w:cs="Times New Roman"/>
        </w:rPr>
        <w:t>at a Glance</w:t>
      </w:r>
      <w:proofErr w:type="gramEnd"/>
    </w:p>
    <w:p w14:paraId="58B0CB6B"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rPr>
        <w:t>Visual Reference: "Barred from Housing Subsidies"</w:t>
      </w:r>
      <w:r w:rsidRPr="0039175E">
        <w:rPr>
          <w:rFonts w:eastAsia="Times Roman" w:cs="Times New Roman"/>
          <w:sz w:val="24"/>
          <w:szCs w:val="24"/>
        </w:rPr>
        <w:br/>
      </w:r>
      <w:r w:rsidRPr="0039175E">
        <w:rPr>
          <w:rFonts w:cs="Times New Roman"/>
          <w:i/>
          <w:iCs/>
          <w:sz w:val="24"/>
          <w:szCs w:val="24"/>
        </w:rPr>
        <w:t>See embedded infographic summarizing major disenfranchised demographics.</w:t>
      </w:r>
    </w:p>
    <w:tbl>
      <w:tblPr>
        <w:tblW w:w="1080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414"/>
        <w:gridCol w:w="2994"/>
        <w:gridCol w:w="5392"/>
      </w:tblGrid>
      <w:tr w:rsidR="001C54EE" w:rsidRPr="0039175E" w14:paraId="58584CEE" w14:textId="77777777">
        <w:trPr>
          <w:trHeight w:val="380"/>
        </w:trPr>
        <w:tc>
          <w:tcPr>
            <w:tcW w:w="241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178B6B1" w14:textId="77777777" w:rsidR="001C54EE" w:rsidRPr="0039175E" w:rsidRDefault="00000000">
            <w:pPr>
              <w:pStyle w:val="TableStyle2"/>
              <w:suppressAutoHyphens/>
              <w:jc w:val="center"/>
            </w:pPr>
            <w:r w:rsidRPr="0039175E">
              <w:rPr>
                <w:b/>
                <w:bCs/>
                <w:sz w:val="24"/>
                <w:szCs w:val="24"/>
              </w:rPr>
              <w:t>Group</w:t>
            </w:r>
          </w:p>
        </w:tc>
        <w:tc>
          <w:tcPr>
            <w:tcW w:w="299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F057094" w14:textId="77777777" w:rsidR="001C54EE" w:rsidRPr="0039175E" w:rsidRDefault="00000000">
            <w:pPr>
              <w:pStyle w:val="TableStyle2"/>
              <w:suppressAutoHyphens/>
              <w:jc w:val="center"/>
            </w:pPr>
            <w:r w:rsidRPr="0039175E">
              <w:rPr>
                <w:b/>
                <w:bCs/>
                <w:sz w:val="24"/>
                <w:szCs w:val="24"/>
              </w:rPr>
              <w:t>Barrier Type</w:t>
            </w:r>
          </w:p>
        </w:tc>
        <w:tc>
          <w:tcPr>
            <w:tcW w:w="539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EBCB428" w14:textId="77777777" w:rsidR="001C54EE" w:rsidRPr="0039175E" w:rsidRDefault="00000000">
            <w:pPr>
              <w:pStyle w:val="TableStyle2"/>
              <w:suppressAutoHyphens/>
              <w:jc w:val="center"/>
            </w:pPr>
            <w:r w:rsidRPr="0039175E">
              <w:rPr>
                <w:b/>
                <w:bCs/>
                <w:sz w:val="24"/>
                <w:szCs w:val="24"/>
              </w:rPr>
              <w:t>Description</w:t>
            </w:r>
          </w:p>
        </w:tc>
      </w:tr>
      <w:tr w:rsidR="001C54EE" w:rsidRPr="0039175E" w14:paraId="1CE1BDE2" w14:textId="77777777">
        <w:trPr>
          <w:trHeight w:val="782"/>
        </w:trPr>
        <w:tc>
          <w:tcPr>
            <w:tcW w:w="241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E8C1D9A" w14:textId="77777777" w:rsidR="001C54EE" w:rsidRPr="0039175E" w:rsidRDefault="00000000">
            <w:pPr>
              <w:pStyle w:val="TableStyle2"/>
              <w:suppressAutoHyphens/>
            </w:pPr>
            <w:r w:rsidRPr="0039175E">
              <w:rPr>
                <w:sz w:val="24"/>
                <w:szCs w:val="24"/>
              </w:rPr>
              <w:t>Mixed-Status Households</w:t>
            </w:r>
          </w:p>
        </w:tc>
        <w:tc>
          <w:tcPr>
            <w:tcW w:w="299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058804C" w14:textId="77777777" w:rsidR="001C54EE" w:rsidRPr="0039175E" w:rsidRDefault="00000000">
            <w:pPr>
              <w:pStyle w:val="TableStyle2"/>
              <w:suppressAutoHyphens/>
            </w:pPr>
            <w:r w:rsidRPr="0039175E">
              <w:rPr>
                <w:sz w:val="24"/>
                <w:szCs w:val="24"/>
              </w:rPr>
              <w:t>Legal exclusion</w:t>
            </w:r>
          </w:p>
        </w:tc>
        <w:tc>
          <w:tcPr>
            <w:tcW w:w="5391"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E3EDE45" w14:textId="77777777" w:rsidR="001C54EE" w:rsidRPr="0039175E" w:rsidRDefault="00000000">
            <w:pPr>
              <w:pStyle w:val="TableStyle2"/>
              <w:suppressAutoHyphens/>
            </w:pPr>
            <w:r w:rsidRPr="0039175E">
              <w:rPr>
                <w:sz w:val="24"/>
                <w:szCs w:val="24"/>
              </w:rPr>
              <w:t>Ineligible due to unauthorized members, despite U.S. citizen dependents</w:t>
            </w:r>
          </w:p>
        </w:tc>
      </w:tr>
      <w:tr w:rsidR="001C54EE" w:rsidRPr="0039175E" w14:paraId="7D531CDB" w14:textId="77777777">
        <w:trPr>
          <w:trHeight w:val="567"/>
        </w:trPr>
        <w:tc>
          <w:tcPr>
            <w:tcW w:w="241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B3E3F27" w14:textId="77777777" w:rsidR="001C54EE" w:rsidRPr="0039175E" w:rsidRDefault="00000000">
            <w:pPr>
              <w:pStyle w:val="TableStyle2"/>
              <w:suppressAutoHyphens/>
            </w:pPr>
            <w:r w:rsidRPr="0039175E">
              <w:rPr>
                <w:sz w:val="24"/>
                <w:szCs w:val="24"/>
              </w:rPr>
              <w:t>Formerly Incarcerated Tenants</w:t>
            </w:r>
          </w:p>
        </w:tc>
        <w:tc>
          <w:tcPr>
            <w:tcW w:w="299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E09698D" w14:textId="77777777" w:rsidR="001C54EE" w:rsidRPr="0039175E" w:rsidRDefault="00000000">
            <w:pPr>
              <w:pStyle w:val="TableStyle2"/>
              <w:suppressAutoHyphens/>
            </w:pPr>
            <w:r w:rsidRPr="0039175E">
              <w:rPr>
                <w:sz w:val="24"/>
                <w:szCs w:val="24"/>
              </w:rPr>
              <w:t>Administrative and stigma</w:t>
            </w:r>
          </w:p>
        </w:tc>
        <w:tc>
          <w:tcPr>
            <w:tcW w:w="539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A230A69" w14:textId="77777777" w:rsidR="001C54EE" w:rsidRPr="0039175E" w:rsidRDefault="00000000">
            <w:pPr>
              <w:pStyle w:val="TableStyle2"/>
              <w:suppressAutoHyphens/>
            </w:pPr>
            <w:r w:rsidRPr="0039175E">
              <w:rPr>
                <w:sz w:val="24"/>
                <w:szCs w:val="24"/>
              </w:rPr>
              <w:t>Eviction history or criminal records often disqualify access</w:t>
            </w:r>
          </w:p>
        </w:tc>
      </w:tr>
      <w:tr w:rsidR="001C54EE" w:rsidRPr="0039175E" w14:paraId="2ADDBBCE" w14:textId="77777777">
        <w:trPr>
          <w:trHeight w:val="705"/>
        </w:trPr>
        <w:tc>
          <w:tcPr>
            <w:tcW w:w="241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886FF08" w14:textId="77777777" w:rsidR="001C54EE" w:rsidRPr="0039175E" w:rsidRDefault="00000000">
            <w:pPr>
              <w:pStyle w:val="TableStyle2"/>
              <w:suppressAutoHyphens/>
            </w:pPr>
            <w:r w:rsidRPr="0039175E">
              <w:rPr>
                <w:sz w:val="24"/>
                <w:szCs w:val="24"/>
              </w:rPr>
              <w:t>Tenants with Disabilities</w:t>
            </w:r>
          </w:p>
        </w:tc>
        <w:tc>
          <w:tcPr>
            <w:tcW w:w="299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DF2D150" w14:textId="77777777" w:rsidR="001C54EE" w:rsidRPr="0039175E" w:rsidRDefault="00000000">
            <w:pPr>
              <w:pStyle w:val="TableStyle2"/>
              <w:suppressAutoHyphens/>
            </w:pPr>
            <w:r w:rsidRPr="0039175E">
              <w:rPr>
                <w:sz w:val="24"/>
                <w:szCs w:val="24"/>
              </w:rPr>
              <w:t>Accessibility and supply-side constraint</w:t>
            </w:r>
          </w:p>
        </w:tc>
        <w:tc>
          <w:tcPr>
            <w:tcW w:w="5391"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754CA33" w14:textId="77777777" w:rsidR="001C54EE" w:rsidRPr="0039175E" w:rsidRDefault="00000000">
            <w:pPr>
              <w:pStyle w:val="TableStyle2"/>
              <w:suppressAutoHyphens/>
            </w:pPr>
            <w:r w:rsidRPr="0039175E">
              <w:rPr>
                <w:sz w:val="24"/>
                <w:szCs w:val="24"/>
              </w:rPr>
              <w:t>Lack of ADA-compliant affordable housing options</w:t>
            </w:r>
          </w:p>
        </w:tc>
      </w:tr>
      <w:tr w:rsidR="001C54EE" w:rsidRPr="0039175E" w14:paraId="4CE3C15F" w14:textId="77777777">
        <w:trPr>
          <w:trHeight w:val="754"/>
        </w:trPr>
        <w:tc>
          <w:tcPr>
            <w:tcW w:w="241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77A86EF" w14:textId="77777777" w:rsidR="001C54EE" w:rsidRPr="0039175E" w:rsidRDefault="00000000">
            <w:pPr>
              <w:pStyle w:val="TableStyle2"/>
              <w:suppressAutoHyphens/>
            </w:pPr>
            <w:r w:rsidRPr="0039175E">
              <w:rPr>
                <w:sz w:val="24"/>
                <w:szCs w:val="24"/>
              </w:rPr>
              <w:t>Aging Adults on Fixed Incomes</w:t>
            </w:r>
          </w:p>
        </w:tc>
        <w:tc>
          <w:tcPr>
            <w:tcW w:w="299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2974209" w14:textId="77777777" w:rsidR="001C54EE" w:rsidRPr="0039175E" w:rsidRDefault="00000000">
            <w:pPr>
              <w:pStyle w:val="TableStyle2"/>
              <w:suppressAutoHyphens/>
            </w:pPr>
            <w:r w:rsidRPr="0039175E">
              <w:rPr>
                <w:sz w:val="24"/>
                <w:szCs w:val="24"/>
              </w:rPr>
              <w:t>Cost inflation vs. static income</w:t>
            </w:r>
          </w:p>
        </w:tc>
        <w:tc>
          <w:tcPr>
            <w:tcW w:w="539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FCD2A7D" w14:textId="77777777" w:rsidR="001C54EE" w:rsidRPr="0039175E" w:rsidRDefault="00000000">
            <w:pPr>
              <w:pStyle w:val="TableStyle2"/>
              <w:suppressAutoHyphens/>
            </w:pPr>
            <w:r w:rsidRPr="0039175E">
              <w:rPr>
                <w:sz w:val="24"/>
                <w:szCs w:val="24"/>
              </w:rPr>
              <w:t>Escalating rent burdens despite social security or retirement income</w:t>
            </w:r>
          </w:p>
        </w:tc>
      </w:tr>
      <w:tr w:rsidR="001C54EE" w:rsidRPr="0039175E" w14:paraId="0A7C2234" w14:textId="77777777">
        <w:trPr>
          <w:trHeight w:val="567"/>
        </w:trPr>
        <w:tc>
          <w:tcPr>
            <w:tcW w:w="241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87E29AF" w14:textId="77777777" w:rsidR="001C54EE" w:rsidRPr="0039175E" w:rsidRDefault="00000000">
            <w:pPr>
              <w:pStyle w:val="TableStyle2"/>
              <w:suppressAutoHyphens/>
            </w:pPr>
            <w:r w:rsidRPr="0039175E">
              <w:rPr>
                <w:sz w:val="24"/>
                <w:szCs w:val="24"/>
              </w:rPr>
              <w:t>Single-Parent Households</w:t>
            </w:r>
          </w:p>
        </w:tc>
        <w:tc>
          <w:tcPr>
            <w:tcW w:w="299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B12060C" w14:textId="77777777" w:rsidR="001C54EE" w:rsidRPr="0039175E" w:rsidRDefault="00000000">
            <w:pPr>
              <w:pStyle w:val="TableStyle2"/>
              <w:suppressAutoHyphens/>
            </w:pPr>
            <w:r w:rsidRPr="0039175E">
              <w:rPr>
                <w:sz w:val="24"/>
                <w:szCs w:val="24"/>
              </w:rPr>
              <w:t>Structural affordability gap</w:t>
            </w:r>
          </w:p>
        </w:tc>
        <w:tc>
          <w:tcPr>
            <w:tcW w:w="5391"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D7EF4A4" w14:textId="77777777" w:rsidR="001C54EE" w:rsidRPr="0039175E" w:rsidRDefault="00000000">
            <w:pPr>
              <w:pStyle w:val="TableStyle2"/>
              <w:suppressAutoHyphens/>
            </w:pPr>
            <w:r w:rsidRPr="0039175E">
              <w:rPr>
                <w:sz w:val="24"/>
                <w:szCs w:val="24"/>
              </w:rPr>
              <w:t>Income-to-rent ratios disqualify families despite high need</w:t>
            </w:r>
          </w:p>
        </w:tc>
      </w:tr>
    </w:tbl>
    <w:p w14:paraId="5738EAA6" w14:textId="77777777" w:rsidR="001C54EE" w:rsidRPr="0039175E" w:rsidRDefault="001C54EE">
      <w:pPr>
        <w:pStyle w:val="Default"/>
        <w:suppressAutoHyphens/>
        <w:spacing w:before="0" w:line="240" w:lineRule="auto"/>
        <w:rPr>
          <w:rFonts w:eastAsia="Times Roman" w:cs="Times New Roman"/>
          <w:color w:val="808080"/>
          <w:sz w:val="24"/>
          <w:szCs w:val="24"/>
        </w:rPr>
      </w:pPr>
    </w:p>
    <w:p w14:paraId="3D8EC044"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b/>
          <w:bCs/>
          <w:sz w:val="24"/>
          <w:szCs w:val="24"/>
        </w:rPr>
        <w:t>Infographic Source File</w:t>
      </w:r>
      <w:r w:rsidRPr="0039175E">
        <w:rPr>
          <w:rFonts w:cs="Times New Roman"/>
          <w:sz w:val="24"/>
          <w:szCs w:val="24"/>
        </w:rPr>
        <w:t>: Barred_from_Housing_Subsidies.png (on file)</w:t>
      </w:r>
    </w:p>
    <w:p w14:paraId="2872C201"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sz w:val="24"/>
          <w:szCs w:val="24"/>
        </w:rPr>
        <w:t xml:space="preserve">This chart </w:t>
      </w:r>
      <w:proofErr w:type="gramStart"/>
      <w:r w:rsidRPr="0039175E">
        <w:rPr>
          <w:rFonts w:cs="Times New Roman"/>
          <w:sz w:val="24"/>
          <w:szCs w:val="24"/>
        </w:rPr>
        <w:t>reinforce</w:t>
      </w:r>
      <w:proofErr w:type="gramEnd"/>
      <w:r w:rsidRPr="0039175E">
        <w:rPr>
          <w:rFonts w:cs="Times New Roman"/>
          <w:sz w:val="24"/>
          <w:szCs w:val="24"/>
        </w:rPr>
        <w:t xml:space="preserve"> the call for:</w:t>
      </w:r>
    </w:p>
    <w:p w14:paraId="558956E9" w14:textId="77777777" w:rsidR="001C54EE" w:rsidRPr="0039175E" w:rsidRDefault="00000000">
      <w:pPr>
        <w:pStyle w:val="Default"/>
        <w:numPr>
          <w:ilvl w:val="0"/>
          <w:numId w:val="12"/>
        </w:numPr>
        <w:suppressAutoHyphens/>
        <w:spacing w:before="0" w:after="240" w:line="240" w:lineRule="auto"/>
        <w:rPr>
          <w:rFonts w:cs="Times New Roman"/>
          <w:sz w:val="24"/>
          <w:szCs w:val="24"/>
        </w:rPr>
      </w:pPr>
      <w:r w:rsidRPr="0039175E">
        <w:rPr>
          <w:rFonts w:cs="Times New Roman"/>
          <w:sz w:val="24"/>
          <w:szCs w:val="24"/>
        </w:rPr>
        <w:t>A Local Flexibility Voucher Pilot</w:t>
      </w:r>
    </w:p>
    <w:p w14:paraId="10D80B7A" w14:textId="77777777" w:rsidR="001C54EE" w:rsidRPr="0039175E" w:rsidRDefault="00000000">
      <w:pPr>
        <w:pStyle w:val="Default"/>
        <w:numPr>
          <w:ilvl w:val="0"/>
          <w:numId w:val="12"/>
        </w:numPr>
        <w:suppressAutoHyphens/>
        <w:spacing w:before="0" w:after="240" w:line="240" w:lineRule="auto"/>
        <w:rPr>
          <w:rFonts w:cs="Times New Roman"/>
          <w:sz w:val="24"/>
          <w:szCs w:val="24"/>
        </w:rPr>
      </w:pPr>
      <w:r w:rsidRPr="0039175E">
        <w:rPr>
          <w:rFonts w:cs="Times New Roman"/>
          <w:sz w:val="24"/>
          <w:szCs w:val="24"/>
        </w:rPr>
        <w:t>Mixed-status firewall protections</w:t>
      </w:r>
    </w:p>
    <w:p w14:paraId="4B3D1133" w14:textId="77777777" w:rsidR="001C54EE" w:rsidRPr="0039175E" w:rsidRDefault="00000000">
      <w:pPr>
        <w:pStyle w:val="Default"/>
        <w:numPr>
          <w:ilvl w:val="0"/>
          <w:numId w:val="12"/>
        </w:numPr>
        <w:suppressAutoHyphens/>
        <w:spacing w:before="0" w:after="240" w:line="240" w:lineRule="auto"/>
        <w:rPr>
          <w:rFonts w:cs="Times New Roman"/>
          <w:sz w:val="24"/>
          <w:szCs w:val="24"/>
        </w:rPr>
      </w:pPr>
      <w:r w:rsidRPr="0039175E">
        <w:rPr>
          <w:rFonts w:cs="Times New Roman"/>
          <w:sz w:val="24"/>
          <w:szCs w:val="24"/>
        </w:rPr>
        <w:t>Disability-access quotas in all publicly funded housing</w:t>
      </w:r>
    </w:p>
    <w:p w14:paraId="00C9AF1E" w14:textId="77777777" w:rsidR="001C54EE" w:rsidRPr="0039175E" w:rsidRDefault="00000000">
      <w:pPr>
        <w:pStyle w:val="Default"/>
        <w:numPr>
          <w:ilvl w:val="0"/>
          <w:numId w:val="12"/>
        </w:numPr>
        <w:suppressAutoHyphens/>
        <w:spacing w:before="0" w:after="240" w:line="240" w:lineRule="auto"/>
        <w:rPr>
          <w:rFonts w:cs="Times New Roman"/>
          <w:sz w:val="24"/>
          <w:szCs w:val="24"/>
        </w:rPr>
      </w:pPr>
      <w:r w:rsidRPr="0039175E">
        <w:rPr>
          <w:rFonts w:cs="Times New Roman"/>
          <w:sz w:val="24"/>
          <w:szCs w:val="24"/>
        </w:rPr>
        <w:t>Expanded funding for Aging-in-Place retrofits</w:t>
      </w:r>
    </w:p>
    <w:p w14:paraId="544FC05A" w14:textId="77777777" w:rsidR="001C54EE" w:rsidRPr="0039175E" w:rsidRDefault="00000000">
      <w:pPr>
        <w:pStyle w:val="Default"/>
        <w:numPr>
          <w:ilvl w:val="0"/>
          <w:numId w:val="12"/>
        </w:numPr>
        <w:suppressAutoHyphens/>
        <w:spacing w:before="0" w:after="240" w:line="240" w:lineRule="auto"/>
        <w:rPr>
          <w:rFonts w:cs="Times New Roman"/>
          <w:sz w:val="24"/>
          <w:szCs w:val="24"/>
        </w:rPr>
      </w:pPr>
      <w:r w:rsidRPr="0039175E">
        <w:rPr>
          <w:rFonts w:cs="Times New Roman"/>
          <w:sz w:val="24"/>
          <w:szCs w:val="24"/>
        </w:rPr>
        <w:t>Single-parent and trauma-informed eligibility criteria</w:t>
      </w:r>
    </w:p>
    <w:p w14:paraId="12932E37"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sz w:val="24"/>
          <w:szCs w:val="24"/>
        </w:rPr>
        <w:t>For corresponding legislative references, see Section VII: Policy Amendments and the Case Study on Legal Exclusion.</w:t>
      </w:r>
    </w:p>
    <w:p w14:paraId="3360BA0A" w14:textId="77777777" w:rsidR="001C54EE" w:rsidRPr="0039175E" w:rsidRDefault="001C54EE">
      <w:pPr>
        <w:pStyle w:val="Default"/>
        <w:suppressAutoHyphens/>
        <w:spacing w:before="0" w:after="240" w:line="240" w:lineRule="auto"/>
        <w:rPr>
          <w:rFonts w:eastAsia="Times Roman" w:cs="Times New Roman"/>
          <w:i/>
          <w:iCs/>
          <w:sz w:val="24"/>
          <w:szCs w:val="24"/>
        </w:rPr>
      </w:pPr>
    </w:p>
    <w:p w14:paraId="20CDE51B" w14:textId="77777777" w:rsidR="001C54EE" w:rsidRPr="0039175E" w:rsidRDefault="001C54EE">
      <w:pPr>
        <w:pStyle w:val="Body"/>
        <w:rPr>
          <w:rFonts w:cs="Times New Roman"/>
        </w:rPr>
      </w:pPr>
    </w:p>
    <w:p w14:paraId="15DAFDA0" w14:textId="77777777" w:rsidR="001C54EE" w:rsidRPr="0039175E" w:rsidRDefault="001C54EE">
      <w:pPr>
        <w:pStyle w:val="Body"/>
        <w:rPr>
          <w:rFonts w:cs="Times New Roman"/>
        </w:rPr>
      </w:pPr>
    </w:p>
    <w:p w14:paraId="0D409B2D" w14:textId="77777777" w:rsidR="001C54EE" w:rsidRPr="0039175E" w:rsidRDefault="001C54EE">
      <w:pPr>
        <w:pStyle w:val="Body"/>
        <w:rPr>
          <w:rFonts w:cs="Times New Roman"/>
        </w:rPr>
      </w:pPr>
    </w:p>
    <w:p w14:paraId="028DBBBB" w14:textId="77777777" w:rsidR="001C54EE" w:rsidRPr="0039175E" w:rsidRDefault="00000000">
      <w:pPr>
        <w:pStyle w:val="Body"/>
        <w:rPr>
          <w:rFonts w:cs="Times New Roman"/>
        </w:rPr>
      </w:pPr>
      <w:r w:rsidRPr="0039175E">
        <w:rPr>
          <w:rFonts w:cs="Times New Roman"/>
        </w:rPr>
        <w:t xml:space="preserve">                            </w:t>
      </w:r>
      <w:r w:rsidRPr="0039175E">
        <w:rPr>
          <w:rFonts w:cs="Times New Roman"/>
        </w:rPr>
        <w:br w:type="page"/>
      </w:r>
    </w:p>
    <w:p w14:paraId="1267B91F" w14:textId="77777777" w:rsidR="001C54EE" w:rsidRPr="0039175E" w:rsidRDefault="00000000">
      <w:pPr>
        <w:pStyle w:val="Default"/>
        <w:suppressAutoHyphens/>
        <w:spacing w:before="0" w:after="299" w:line="240" w:lineRule="auto"/>
        <w:jc w:val="center"/>
        <w:rPr>
          <w:rFonts w:eastAsia="Times Roman" w:cs="Times New Roman"/>
          <w:b/>
          <w:bCs/>
          <w:sz w:val="36"/>
          <w:szCs w:val="36"/>
        </w:rPr>
      </w:pPr>
      <w:proofErr w:type="spellStart"/>
      <w:r w:rsidRPr="0039175E">
        <w:rPr>
          <w:rFonts w:cs="Times New Roman"/>
          <w:b/>
          <w:bCs/>
          <w:sz w:val="36"/>
          <w:szCs w:val="36"/>
          <w:lang w:val="fr-FR"/>
        </w:rPr>
        <w:lastRenderedPageBreak/>
        <w:t>References</w:t>
      </w:r>
      <w:proofErr w:type="spellEnd"/>
    </w:p>
    <w:p w14:paraId="303598FB"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sz w:val="24"/>
          <w:szCs w:val="24"/>
        </w:rPr>
        <w:t xml:space="preserve">Alba, R. D., &amp; Logan, J. R. (1992). Assimilation and stratification in the homeownership patterns of racial and ethnic groups. </w:t>
      </w:r>
      <w:r w:rsidRPr="0039175E">
        <w:rPr>
          <w:rFonts w:cs="Times New Roman"/>
          <w:i/>
          <w:iCs/>
          <w:sz w:val="24"/>
          <w:szCs w:val="24"/>
        </w:rPr>
        <w:t>International Migration Review, 26</w:t>
      </w:r>
      <w:r w:rsidRPr="0039175E">
        <w:rPr>
          <w:rFonts w:cs="Times New Roman"/>
          <w:sz w:val="24"/>
          <w:szCs w:val="24"/>
        </w:rPr>
        <w:t>(4), 1314–1340.</w:t>
      </w:r>
    </w:p>
    <w:p w14:paraId="133AA0F0"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sz w:val="24"/>
          <w:szCs w:val="24"/>
        </w:rPr>
        <w:t xml:space="preserve">Chernick, H., Reschovsky, A., &amp; Newman, S. (2021). The fiscal effects of the housing crisis on central cities. </w:t>
      </w:r>
      <w:r w:rsidRPr="0039175E">
        <w:rPr>
          <w:rFonts w:cs="Times New Roman"/>
          <w:i/>
          <w:iCs/>
          <w:sz w:val="24"/>
          <w:szCs w:val="24"/>
        </w:rPr>
        <w:t>Journal of Urban Economics, 126</w:t>
      </w:r>
      <w:r w:rsidRPr="0039175E">
        <w:rPr>
          <w:rFonts w:cs="Times New Roman"/>
          <w:sz w:val="24"/>
          <w:szCs w:val="24"/>
        </w:rPr>
        <w:t>, 103374. https://doi.org/10.1016/j.jue.2021.103374</w:t>
      </w:r>
    </w:p>
    <w:p w14:paraId="4B3CE32A"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sz w:val="24"/>
          <w:szCs w:val="24"/>
        </w:rPr>
        <w:t xml:space="preserve">Dubb, S. (2020). LISC at 40: Coming to terms with the limits of markets. </w:t>
      </w:r>
      <w:r w:rsidRPr="0039175E">
        <w:rPr>
          <w:rFonts w:cs="Times New Roman"/>
          <w:i/>
          <w:iCs/>
          <w:sz w:val="24"/>
          <w:szCs w:val="24"/>
        </w:rPr>
        <w:t>Nonprofit Quarterly</w:t>
      </w:r>
      <w:r w:rsidRPr="0039175E">
        <w:rPr>
          <w:rFonts w:cs="Times New Roman"/>
          <w:sz w:val="24"/>
          <w:szCs w:val="24"/>
        </w:rPr>
        <w:t>. Retrieved from https://nonprofitquarterly.org/lisc-at-40-coming-to-terms-with-the-limits-of-markets</w:t>
      </w:r>
    </w:p>
    <w:p w14:paraId="79E3A323"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sz w:val="24"/>
          <w:szCs w:val="24"/>
        </w:rPr>
        <w:t xml:space="preserve">Elmelech, Y. (2004). Housing inequality in New York City: Racial and ethnic disparities in homeownership and shelter-cost burden. </w:t>
      </w:r>
      <w:r w:rsidRPr="0039175E">
        <w:rPr>
          <w:rFonts w:cs="Times New Roman"/>
          <w:i/>
          <w:iCs/>
          <w:sz w:val="24"/>
          <w:szCs w:val="24"/>
        </w:rPr>
        <w:t>Housing, Theory and Society, 21</w:t>
      </w:r>
      <w:r w:rsidRPr="0039175E">
        <w:rPr>
          <w:rFonts w:cs="Times New Roman"/>
          <w:sz w:val="24"/>
          <w:szCs w:val="24"/>
        </w:rPr>
        <w:t>(4), 163–175. https://doi.org/10.1080/14036090410001319</w:t>
      </w:r>
    </w:p>
    <w:p w14:paraId="2CF67099"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sz w:val="24"/>
          <w:szCs w:val="24"/>
        </w:rPr>
        <w:t xml:space="preserve">Ford Foundation. (1989). </w:t>
      </w:r>
      <w:r w:rsidRPr="0039175E">
        <w:rPr>
          <w:rFonts w:cs="Times New Roman"/>
          <w:i/>
          <w:iCs/>
          <w:sz w:val="24"/>
          <w:szCs w:val="24"/>
        </w:rPr>
        <w:t>Affordable housing: The years ahead</w:t>
      </w:r>
      <w:r w:rsidRPr="0039175E">
        <w:rPr>
          <w:rFonts w:cs="Times New Roman"/>
          <w:sz w:val="24"/>
          <w:szCs w:val="24"/>
        </w:rPr>
        <w:t>. New York, NY: Ford Foundation.</w:t>
      </w:r>
    </w:p>
    <w:p w14:paraId="054A733B"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sz w:val="24"/>
          <w:szCs w:val="24"/>
          <w:lang w:val="it-IT"/>
        </w:rPr>
        <w:t xml:space="preserve">Logan, J. R., &amp; </w:t>
      </w:r>
      <w:proofErr w:type="spellStart"/>
      <w:r w:rsidRPr="0039175E">
        <w:rPr>
          <w:rFonts w:cs="Times New Roman"/>
          <w:sz w:val="24"/>
          <w:szCs w:val="24"/>
          <w:lang w:val="it-IT"/>
        </w:rPr>
        <w:t>Molotch</w:t>
      </w:r>
      <w:proofErr w:type="spellEnd"/>
      <w:r w:rsidRPr="0039175E">
        <w:rPr>
          <w:rFonts w:cs="Times New Roman"/>
          <w:sz w:val="24"/>
          <w:szCs w:val="24"/>
          <w:lang w:val="it-IT"/>
        </w:rPr>
        <w:t xml:space="preserve">, H. L. (1987). </w:t>
      </w:r>
      <w:r w:rsidRPr="0039175E">
        <w:rPr>
          <w:rFonts w:cs="Times New Roman"/>
          <w:i/>
          <w:iCs/>
          <w:sz w:val="24"/>
          <w:szCs w:val="24"/>
        </w:rPr>
        <w:t>Urban fortunes: The political economy of place.</w:t>
      </w:r>
      <w:r w:rsidRPr="0039175E">
        <w:rPr>
          <w:rFonts w:cs="Times New Roman"/>
          <w:sz w:val="24"/>
          <w:szCs w:val="24"/>
        </w:rPr>
        <w:t xml:space="preserve"> Berkeley, CA: University of California Press.</w:t>
      </w:r>
    </w:p>
    <w:p w14:paraId="14334327"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sz w:val="24"/>
          <w:szCs w:val="24"/>
          <w:lang w:val="de-DE"/>
        </w:rPr>
        <w:t xml:space="preserve">Lubell, J., Gubits, D., Paulen, L., Dastrup, S., Travis, A., McInnis, D., &amp; Lo, L. (2025). </w:t>
      </w:r>
      <w:r w:rsidRPr="0039175E">
        <w:rPr>
          <w:rFonts w:cs="Times New Roman"/>
          <w:i/>
          <w:iCs/>
          <w:sz w:val="24"/>
          <w:szCs w:val="24"/>
        </w:rPr>
        <w:t>Rapid Cycle Evaluation Report: An Early Look at the Community Choice Demonstration.</w:t>
      </w:r>
      <w:r w:rsidRPr="0039175E">
        <w:rPr>
          <w:rFonts w:cs="Times New Roman"/>
          <w:sz w:val="24"/>
          <w:szCs w:val="24"/>
        </w:rPr>
        <w:t xml:space="preserve"> U.S. Department of Housing and Urban Development (HUD). Retrieved from https://huduser.gov/portal/publications/rapid-cycle-community-choice.html</w:t>
      </w:r>
    </w:p>
    <w:p w14:paraId="0DA3E2CC"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sz w:val="24"/>
          <w:szCs w:val="24"/>
          <w:lang w:val="it-IT"/>
        </w:rPr>
        <w:t xml:space="preserve">Oliver, M. L., &amp; Shapiro, T. M. (1995). </w:t>
      </w:r>
      <w:r w:rsidRPr="0039175E">
        <w:rPr>
          <w:rFonts w:cs="Times New Roman"/>
          <w:i/>
          <w:iCs/>
          <w:sz w:val="24"/>
          <w:szCs w:val="24"/>
        </w:rPr>
        <w:t>Black wealth/White wealth: A new perspective on racial inequality.</w:t>
      </w:r>
      <w:r w:rsidRPr="0039175E">
        <w:rPr>
          <w:rFonts w:cs="Times New Roman"/>
          <w:sz w:val="24"/>
          <w:szCs w:val="24"/>
        </w:rPr>
        <w:t xml:space="preserve"> New York, NY: Routledge.</w:t>
      </w:r>
    </w:p>
    <w:p w14:paraId="6340655A"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sz w:val="24"/>
          <w:szCs w:val="24"/>
        </w:rPr>
        <w:t xml:space="preserve">Rosenbaum, E. (1994). The constraints on minority housing choices, New York City 1978–1987. </w:t>
      </w:r>
      <w:r w:rsidRPr="0039175E">
        <w:rPr>
          <w:rFonts w:cs="Times New Roman"/>
          <w:i/>
          <w:iCs/>
          <w:sz w:val="24"/>
          <w:szCs w:val="24"/>
          <w:lang w:val="fr-FR"/>
        </w:rPr>
        <w:t>Social Forces, 72</w:t>
      </w:r>
      <w:r w:rsidRPr="0039175E">
        <w:rPr>
          <w:rFonts w:cs="Times New Roman"/>
          <w:sz w:val="24"/>
          <w:szCs w:val="24"/>
        </w:rPr>
        <w:t>(3), 725–747.</w:t>
      </w:r>
    </w:p>
    <w:p w14:paraId="387D2535"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sz w:val="24"/>
          <w:szCs w:val="24"/>
        </w:rPr>
        <w:t xml:space="preserve">Sassen, S. (1990). Economic restructuring and the American city. </w:t>
      </w:r>
      <w:r w:rsidRPr="0039175E">
        <w:rPr>
          <w:rFonts w:cs="Times New Roman"/>
          <w:i/>
          <w:iCs/>
          <w:sz w:val="24"/>
          <w:szCs w:val="24"/>
        </w:rPr>
        <w:t>Annual Review of Sociology, 16</w:t>
      </w:r>
      <w:r w:rsidRPr="0039175E">
        <w:rPr>
          <w:rFonts w:cs="Times New Roman"/>
          <w:sz w:val="24"/>
          <w:szCs w:val="24"/>
        </w:rPr>
        <w:t>, 465–490.</w:t>
      </w:r>
    </w:p>
    <w:p w14:paraId="3409313B"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sz w:val="24"/>
          <w:szCs w:val="24"/>
        </w:rPr>
        <w:t xml:space="preserve">Schill, M., Friedman, S., &amp; Rosenbaum, E. (1998). The housing conditions of immigrants in New York City. </w:t>
      </w:r>
      <w:r w:rsidRPr="0039175E">
        <w:rPr>
          <w:rFonts w:cs="Times New Roman"/>
          <w:i/>
          <w:iCs/>
          <w:sz w:val="24"/>
          <w:szCs w:val="24"/>
        </w:rPr>
        <w:t>Journal of Housing Research, 9</w:t>
      </w:r>
      <w:r w:rsidRPr="0039175E">
        <w:rPr>
          <w:rFonts w:cs="Times New Roman"/>
          <w:sz w:val="24"/>
          <w:szCs w:val="24"/>
        </w:rPr>
        <w:t>(2), 201–235.</w:t>
      </w:r>
    </w:p>
    <w:p w14:paraId="5FB26924"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sz w:val="24"/>
          <w:szCs w:val="24"/>
        </w:rPr>
        <w:t xml:space="preserve">Skidmore, M., Alm, J., &amp; Anenberg, E. (2011). Causes and consequences of fiscal stress in Michigan cities. </w:t>
      </w:r>
      <w:r w:rsidRPr="0039175E">
        <w:rPr>
          <w:rFonts w:cs="Times New Roman"/>
          <w:i/>
          <w:iCs/>
          <w:sz w:val="24"/>
          <w:szCs w:val="24"/>
        </w:rPr>
        <w:t>Regional Science and Urban Economics.</w:t>
      </w:r>
    </w:p>
    <w:p w14:paraId="5A787992"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sz w:val="24"/>
          <w:szCs w:val="24"/>
        </w:rPr>
        <w:t xml:space="preserve">United States Department of Commerce. (2003). </w:t>
      </w:r>
      <w:r w:rsidRPr="0039175E">
        <w:rPr>
          <w:rFonts w:cs="Times New Roman"/>
          <w:i/>
          <w:iCs/>
          <w:sz w:val="24"/>
          <w:szCs w:val="24"/>
        </w:rPr>
        <w:t>Net worth and asset ownership of households: 1998 and 2000</w:t>
      </w:r>
      <w:r w:rsidRPr="0039175E">
        <w:rPr>
          <w:rFonts w:cs="Times New Roman"/>
          <w:sz w:val="24"/>
          <w:szCs w:val="24"/>
        </w:rPr>
        <w:t>. Bureau of the Census.</w:t>
      </w:r>
    </w:p>
    <w:p w14:paraId="5ADCBAAB"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sz w:val="24"/>
          <w:szCs w:val="24"/>
        </w:rPr>
        <w:t>NYU Furman Center. (2022). State of New York City</w:t>
      </w:r>
      <w:r w:rsidRPr="0039175E">
        <w:rPr>
          <w:rFonts w:cs="Times New Roman"/>
          <w:sz w:val="24"/>
          <w:szCs w:val="24"/>
          <w:rtl/>
        </w:rPr>
        <w:t>’</w:t>
      </w:r>
      <w:r w:rsidRPr="0039175E">
        <w:rPr>
          <w:rFonts w:cs="Times New Roman"/>
          <w:sz w:val="24"/>
          <w:szCs w:val="24"/>
        </w:rPr>
        <w:t>s Housing and Neighborhoods in 2022. Retrieved from https://furmancenter.org/research/sonychan</w:t>
      </w:r>
    </w:p>
    <w:p w14:paraId="60F209C9"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sz w:val="24"/>
          <w:szCs w:val="24"/>
        </w:rPr>
        <w:t>U.S. Department of Housing and Urban Development. (2025). Rapid Cycle Evaluation of Community Choice Demonstration. Retrieved from https://huduser.gov/portal/publications/rapid-cycle-community-choice.html</w:t>
      </w:r>
    </w:p>
    <w:p w14:paraId="406E51CA" w14:textId="77777777" w:rsidR="001C54EE" w:rsidRPr="0039175E" w:rsidRDefault="00000000">
      <w:pPr>
        <w:pStyle w:val="Default"/>
        <w:suppressAutoHyphens/>
        <w:spacing w:before="0" w:after="240" w:line="240" w:lineRule="auto"/>
        <w:rPr>
          <w:rFonts w:eastAsia="Times Roman" w:cs="Times New Roman"/>
          <w:sz w:val="24"/>
          <w:szCs w:val="24"/>
        </w:rPr>
      </w:pPr>
      <w:r w:rsidRPr="0039175E">
        <w:rPr>
          <w:rFonts w:cs="Times New Roman"/>
          <w:sz w:val="24"/>
          <w:szCs w:val="24"/>
        </w:rPr>
        <w:t>Demonstration. Retrieved from https://huduser.gov/portal/publications/rapid-cycle-community-choice.html</w:t>
      </w:r>
    </w:p>
    <w:p w14:paraId="63449031" w14:textId="77777777" w:rsidR="001C54EE" w:rsidRPr="0039175E" w:rsidRDefault="001C54EE">
      <w:pPr>
        <w:pStyle w:val="Default"/>
        <w:suppressAutoHyphens/>
        <w:spacing w:before="0" w:after="240" w:line="240" w:lineRule="auto"/>
        <w:rPr>
          <w:rFonts w:eastAsia="Times Roman" w:cs="Times New Roman"/>
          <w:sz w:val="24"/>
          <w:szCs w:val="24"/>
        </w:rPr>
      </w:pPr>
    </w:p>
    <w:p w14:paraId="585C9186" w14:textId="77777777" w:rsidR="001C54EE" w:rsidRPr="0039175E" w:rsidRDefault="001C54EE">
      <w:pPr>
        <w:pStyle w:val="Default"/>
        <w:suppressAutoHyphens/>
        <w:spacing w:before="0" w:after="240" w:line="240" w:lineRule="auto"/>
        <w:rPr>
          <w:rFonts w:eastAsia="Times Roman" w:cs="Times New Roman"/>
          <w:sz w:val="24"/>
          <w:szCs w:val="24"/>
        </w:rPr>
      </w:pPr>
    </w:p>
    <w:p w14:paraId="7247A6D5" w14:textId="77777777" w:rsidR="001C54EE" w:rsidRPr="0039175E" w:rsidRDefault="001C54EE">
      <w:pPr>
        <w:pStyle w:val="Default"/>
        <w:suppressAutoHyphens/>
        <w:spacing w:before="0" w:line="240" w:lineRule="auto"/>
        <w:rPr>
          <w:rFonts w:cs="Times New Roman"/>
        </w:rPr>
      </w:pPr>
    </w:p>
    <w:sectPr w:rsidR="001C54EE" w:rsidRPr="0039175E">
      <w:pgSz w:w="12240" w:h="15840"/>
      <w:pgMar w:top="1440" w:right="720" w:bottom="1080" w:left="720" w:header="1440" w:footer="14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AC013" w14:textId="77777777" w:rsidR="00176659" w:rsidRDefault="00176659">
      <w:r>
        <w:separator/>
      </w:r>
    </w:p>
  </w:endnote>
  <w:endnote w:type="continuationSeparator" w:id="0">
    <w:p w14:paraId="575E6B20" w14:textId="77777777" w:rsidR="00176659" w:rsidRDefault="001766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Roman">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E40F2" w14:textId="77777777" w:rsidR="00176659" w:rsidRDefault="00176659">
      <w:r>
        <w:separator/>
      </w:r>
    </w:p>
  </w:footnote>
  <w:footnote w:type="continuationSeparator" w:id="0">
    <w:p w14:paraId="611CC1DE" w14:textId="77777777" w:rsidR="00176659" w:rsidRDefault="001766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A8645F"/>
    <w:multiLevelType w:val="hybridMultilevel"/>
    <w:tmpl w:val="98FC6FB4"/>
    <w:styleLink w:val="Bullet0"/>
    <w:lvl w:ilvl="0" w:tplc="E83CF80A">
      <w:start w:val="1"/>
      <w:numFmt w:val="bullet"/>
      <w:lvlText w:val="•"/>
      <w:lvlJc w:val="left"/>
      <w:pPr>
        <w:tabs>
          <w:tab w:val="num" w:pos="720"/>
        </w:tabs>
        <w:ind w:left="115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28804352">
      <w:start w:val="1"/>
      <w:numFmt w:val="bullet"/>
      <w:lvlText w:val="•"/>
      <w:lvlJc w:val="left"/>
      <w:pPr>
        <w:tabs>
          <w:tab w:val="num" w:pos="940"/>
        </w:tabs>
        <w:ind w:left="137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2" w:tplc="142A0D32">
      <w:start w:val="1"/>
      <w:numFmt w:val="bullet"/>
      <w:lvlText w:val="•"/>
      <w:lvlJc w:val="left"/>
      <w:pPr>
        <w:tabs>
          <w:tab w:val="num" w:pos="1160"/>
        </w:tabs>
        <w:ind w:left="159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3" w:tplc="B19427B6">
      <w:start w:val="1"/>
      <w:numFmt w:val="bullet"/>
      <w:lvlText w:val="•"/>
      <w:lvlJc w:val="left"/>
      <w:pPr>
        <w:tabs>
          <w:tab w:val="num" w:pos="1380"/>
        </w:tabs>
        <w:ind w:left="181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4" w:tplc="CA9A3076">
      <w:start w:val="1"/>
      <w:numFmt w:val="bullet"/>
      <w:lvlText w:val="•"/>
      <w:lvlJc w:val="left"/>
      <w:pPr>
        <w:tabs>
          <w:tab w:val="num" w:pos="1600"/>
        </w:tabs>
        <w:ind w:left="203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5" w:tplc="9FDC66AA">
      <w:start w:val="1"/>
      <w:numFmt w:val="bullet"/>
      <w:lvlText w:val="•"/>
      <w:lvlJc w:val="left"/>
      <w:pPr>
        <w:tabs>
          <w:tab w:val="num" w:pos="1820"/>
        </w:tabs>
        <w:ind w:left="225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6" w:tplc="F39426E8">
      <w:start w:val="1"/>
      <w:numFmt w:val="bullet"/>
      <w:lvlText w:val="•"/>
      <w:lvlJc w:val="left"/>
      <w:pPr>
        <w:tabs>
          <w:tab w:val="num" w:pos="2040"/>
        </w:tabs>
        <w:ind w:left="247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7" w:tplc="0234EF84">
      <w:start w:val="1"/>
      <w:numFmt w:val="bullet"/>
      <w:lvlText w:val="•"/>
      <w:lvlJc w:val="left"/>
      <w:pPr>
        <w:tabs>
          <w:tab w:val="num" w:pos="2260"/>
        </w:tabs>
        <w:ind w:left="269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8" w:tplc="5E345C64">
      <w:start w:val="1"/>
      <w:numFmt w:val="bullet"/>
      <w:lvlText w:val="•"/>
      <w:lvlJc w:val="left"/>
      <w:pPr>
        <w:tabs>
          <w:tab w:val="num" w:pos="2480"/>
        </w:tabs>
        <w:ind w:left="291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1" w15:restartNumberingAfterBreak="0">
    <w:nsid w:val="64600742"/>
    <w:multiLevelType w:val="hybridMultilevel"/>
    <w:tmpl w:val="39BC5106"/>
    <w:styleLink w:val="Numbered"/>
    <w:lvl w:ilvl="0" w:tplc="AD08BE10">
      <w:start w:val="1"/>
      <w:numFmt w:val="decimal"/>
      <w:lvlText w:val="%1."/>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F1E44C9A">
      <w:start w:val="1"/>
      <w:numFmt w:val="decimal"/>
      <w:lvlText w:val="%2."/>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2" w:tplc="13A0289C">
      <w:start w:val="1"/>
      <w:numFmt w:val="decimal"/>
      <w:lvlText w:val="%3."/>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3" w:tplc="464AF53A">
      <w:start w:val="1"/>
      <w:numFmt w:val="decimal"/>
      <w:lvlText w:val="%4."/>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4" w:tplc="6BFE4A00">
      <w:start w:val="1"/>
      <w:numFmt w:val="decimal"/>
      <w:lvlText w:val="%5."/>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5" w:tplc="30AC86FA">
      <w:start w:val="1"/>
      <w:numFmt w:val="decimal"/>
      <w:lvlText w:val="%6."/>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6" w:tplc="B24A2F64">
      <w:start w:val="1"/>
      <w:numFmt w:val="decimal"/>
      <w:lvlText w:val="%7."/>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7" w:tplc="78501A56">
      <w:start w:val="1"/>
      <w:numFmt w:val="decimal"/>
      <w:lvlText w:val="%8."/>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8" w:tplc="A24E0266">
      <w:start w:val="1"/>
      <w:numFmt w:val="decimal"/>
      <w:lvlText w:val="%9."/>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65293508"/>
    <w:multiLevelType w:val="hybridMultilevel"/>
    <w:tmpl w:val="98FC6FB4"/>
    <w:numStyleLink w:val="Bullet0"/>
  </w:abstractNum>
  <w:abstractNum w:abstractNumId="3" w15:restartNumberingAfterBreak="0">
    <w:nsid w:val="7F3E313F"/>
    <w:multiLevelType w:val="hybridMultilevel"/>
    <w:tmpl w:val="39BC5106"/>
    <w:numStyleLink w:val="Numbered"/>
  </w:abstractNum>
  <w:num w:numId="1" w16cid:durableId="1049649181">
    <w:abstractNumId w:val="0"/>
  </w:num>
  <w:num w:numId="2" w16cid:durableId="409422751">
    <w:abstractNumId w:val="2"/>
  </w:num>
  <w:num w:numId="3" w16cid:durableId="1269585571">
    <w:abstractNumId w:val="2"/>
    <w:lvlOverride w:ilvl="0">
      <w:lvl w:ilvl="0" w:tplc="637CEF8A">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0AA6EE60">
        <w:start w:val="1"/>
        <w:numFmt w:val="bullet"/>
        <w:lvlText w:val="•"/>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878CAD1A">
        <w:start w:val="1"/>
        <w:numFmt w:val="bullet"/>
        <w:lvlText w:val="•"/>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4D4CF2C4">
        <w:start w:val="1"/>
        <w:numFmt w:val="bullet"/>
        <w:lvlText w:val="•"/>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E0BE86AE">
        <w:start w:val="1"/>
        <w:numFmt w:val="bullet"/>
        <w:lvlText w:val="•"/>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5234FDC8">
        <w:start w:val="1"/>
        <w:numFmt w:val="bullet"/>
        <w:lvlText w:val="•"/>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9D4CF25A">
        <w:start w:val="1"/>
        <w:numFmt w:val="bullet"/>
        <w:lvlText w:val="•"/>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1A1E6056">
        <w:start w:val="1"/>
        <w:numFmt w:val="bullet"/>
        <w:lvlText w:val="•"/>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469C1B6A">
        <w:start w:val="1"/>
        <w:numFmt w:val="bullet"/>
        <w:lvlText w:val="•"/>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4" w16cid:durableId="145318745">
    <w:abstractNumId w:val="1"/>
  </w:num>
  <w:num w:numId="5" w16cid:durableId="79913753">
    <w:abstractNumId w:val="3"/>
  </w:num>
  <w:num w:numId="6" w16cid:durableId="1761561579">
    <w:abstractNumId w:val="3"/>
    <w:lvlOverride w:ilvl="0">
      <w:startOverride w:val="1"/>
      <w:lvl w:ilvl="0" w:tplc="CAC2FCEC">
        <w:start w:val="1"/>
        <w:numFmt w:val="decimal"/>
        <w:lvlText w:val="%1."/>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A9D87794">
        <w:start w:val="1"/>
        <w:numFmt w:val="decimal"/>
        <w:lvlText w:val="%2."/>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043A81DA">
        <w:start w:val="1"/>
        <w:numFmt w:val="decimal"/>
        <w:lvlText w:val="%3."/>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0F301ED8">
        <w:start w:val="1"/>
        <w:numFmt w:val="decimal"/>
        <w:lvlText w:val="%4."/>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94506CAA">
        <w:start w:val="1"/>
        <w:numFmt w:val="decimal"/>
        <w:lvlText w:val="%5."/>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2A6269D0">
        <w:start w:val="1"/>
        <w:numFmt w:val="decimal"/>
        <w:lvlText w:val="%6."/>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BF0E1984">
        <w:start w:val="1"/>
        <w:numFmt w:val="decimal"/>
        <w:lvlText w:val="%7."/>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3D927B02">
        <w:start w:val="1"/>
        <w:numFmt w:val="decimal"/>
        <w:lvlText w:val="%8."/>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6562DFD6">
        <w:start w:val="1"/>
        <w:numFmt w:val="decimal"/>
        <w:lvlText w:val="%9."/>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num>
  <w:num w:numId="7" w16cid:durableId="995257354">
    <w:abstractNumId w:val="2"/>
    <w:lvlOverride w:ilvl="0">
      <w:lvl w:ilvl="0" w:tplc="637CEF8A">
        <w:start w:val="1"/>
        <w:numFmt w:val="bullet"/>
        <w:lvlText w:val="•"/>
        <w:lvlJc w:val="left"/>
        <w:pPr>
          <w:tabs>
            <w:tab w:val="num" w:pos="556"/>
          </w:tabs>
          <w:ind w:left="628" w:hanging="26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0AA6EE60">
        <w:start w:val="1"/>
        <w:numFmt w:val="bullet"/>
        <w:lvlText w:val="•"/>
        <w:lvlJc w:val="left"/>
        <w:pPr>
          <w:tabs>
            <w:tab w:val="num" w:pos="736"/>
          </w:tabs>
          <w:ind w:left="80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tplc="878CAD1A">
        <w:start w:val="1"/>
        <w:numFmt w:val="bullet"/>
        <w:lvlText w:val="•"/>
        <w:lvlJc w:val="left"/>
        <w:pPr>
          <w:tabs>
            <w:tab w:val="num" w:pos="916"/>
          </w:tabs>
          <w:ind w:left="98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3">
      <w:lvl w:ilvl="3" w:tplc="4D4CF2C4">
        <w:start w:val="1"/>
        <w:numFmt w:val="bullet"/>
        <w:lvlText w:val="•"/>
        <w:lvlJc w:val="left"/>
        <w:pPr>
          <w:tabs>
            <w:tab w:val="num" w:pos="1096"/>
          </w:tabs>
          <w:ind w:left="116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4">
      <w:lvl w:ilvl="4" w:tplc="E0BE86AE">
        <w:start w:val="1"/>
        <w:numFmt w:val="bullet"/>
        <w:lvlText w:val="•"/>
        <w:lvlJc w:val="left"/>
        <w:pPr>
          <w:tabs>
            <w:tab w:val="num" w:pos="1276"/>
          </w:tabs>
          <w:ind w:left="134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5">
      <w:lvl w:ilvl="5" w:tplc="5234FDC8">
        <w:start w:val="1"/>
        <w:numFmt w:val="bullet"/>
        <w:lvlText w:val="•"/>
        <w:lvlJc w:val="left"/>
        <w:pPr>
          <w:tabs>
            <w:tab w:val="num" w:pos="1456"/>
          </w:tabs>
          <w:ind w:left="152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6">
      <w:lvl w:ilvl="6" w:tplc="9D4CF25A">
        <w:start w:val="1"/>
        <w:numFmt w:val="bullet"/>
        <w:lvlText w:val="•"/>
        <w:lvlJc w:val="left"/>
        <w:pPr>
          <w:tabs>
            <w:tab w:val="num" w:pos="1636"/>
          </w:tabs>
          <w:ind w:left="170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7">
      <w:lvl w:ilvl="7" w:tplc="1A1E6056">
        <w:start w:val="1"/>
        <w:numFmt w:val="bullet"/>
        <w:lvlText w:val="•"/>
        <w:lvlJc w:val="left"/>
        <w:pPr>
          <w:tabs>
            <w:tab w:val="num" w:pos="1816"/>
          </w:tabs>
          <w:ind w:left="188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8">
      <w:lvl w:ilvl="8" w:tplc="469C1B6A">
        <w:start w:val="1"/>
        <w:numFmt w:val="bullet"/>
        <w:lvlText w:val="•"/>
        <w:lvlJc w:val="left"/>
        <w:pPr>
          <w:tabs>
            <w:tab w:val="num" w:pos="1996"/>
          </w:tabs>
          <w:ind w:left="2068" w:hanging="268"/>
        </w:pPr>
        <w:rPr>
          <w:rFonts w:hAnsi="Arial Unicode MS"/>
          <w:caps w:val="0"/>
          <w:smallCaps w:val="0"/>
          <w:strike w:val="0"/>
          <w:dstrike w:val="0"/>
          <w:outline w:val="0"/>
          <w:emboss w:val="0"/>
          <w:imprint w:val="0"/>
          <w:spacing w:val="0"/>
          <w:w w:val="100"/>
          <w:kern w:val="0"/>
          <w:position w:val="-2"/>
          <w:highlight w:val="none"/>
          <w:vertAlign w:val="baseline"/>
        </w:rPr>
      </w:lvl>
    </w:lvlOverride>
  </w:num>
  <w:num w:numId="8" w16cid:durableId="1120606401">
    <w:abstractNumId w:val="3"/>
    <w:lvlOverride w:ilvl="0">
      <w:startOverride w:val="1"/>
      <w:lvl w:ilvl="0" w:tplc="CAC2FCEC">
        <w:start w:val="1"/>
        <w:numFmt w:val="decimal"/>
        <w:lvlText w:val="%1."/>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A9D87794">
        <w:start w:val="1"/>
        <w:numFmt w:val="decimal"/>
        <w:lvlText w:val="%2."/>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043A81DA">
        <w:start w:val="1"/>
        <w:numFmt w:val="decimal"/>
        <w:lvlText w:val="%3."/>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0F301ED8">
        <w:start w:val="1"/>
        <w:numFmt w:val="decimal"/>
        <w:lvlText w:val="%4."/>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94506CAA">
        <w:start w:val="1"/>
        <w:numFmt w:val="decimal"/>
        <w:lvlText w:val="%5."/>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2A6269D0">
        <w:start w:val="1"/>
        <w:numFmt w:val="decimal"/>
        <w:lvlText w:val="%6."/>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BF0E1984">
        <w:start w:val="1"/>
        <w:numFmt w:val="decimal"/>
        <w:lvlText w:val="%7."/>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3D927B02">
        <w:start w:val="1"/>
        <w:numFmt w:val="decimal"/>
        <w:lvlText w:val="%8."/>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6562DFD6">
        <w:start w:val="1"/>
        <w:numFmt w:val="decimal"/>
        <w:lvlText w:val="%9."/>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num>
  <w:num w:numId="9" w16cid:durableId="414593003">
    <w:abstractNumId w:val="2"/>
    <w:lvlOverride w:ilvl="0">
      <w:lvl w:ilvl="0" w:tplc="637CEF8A">
        <w:start w:val="1"/>
        <w:numFmt w:val="bullet"/>
        <w:lvlText w:val="•"/>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0AA6EE60">
        <w:start w:val="1"/>
        <w:numFmt w:val="bullet"/>
        <w:lvlText w:val="•"/>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878CAD1A">
        <w:start w:val="1"/>
        <w:numFmt w:val="bullet"/>
        <w:lvlText w:val="•"/>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4D4CF2C4">
        <w:start w:val="1"/>
        <w:numFmt w:val="bullet"/>
        <w:lvlText w:val="•"/>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E0BE86AE">
        <w:start w:val="1"/>
        <w:numFmt w:val="bullet"/>
        <w:lvlText w:val="•"/>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5234FDC8">
        <w:start w:val="1"/>
        <w:numFmt w:val="bullet"/>
        <w:lvlText w:val="•"/>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9D4CF25A">
        <w:start w:val="1"/>
        <w:numFmt w:val="bullet"/>
        <w:lvlText w:val="•"/>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1A1E6056">
        <w:start w:val="1"/>
        <w:numFmt w:val="bullet"/>
        <w:lvlText w:val="•"/>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469C1B6A">
        <w:start w:val="1"/>
        <w:numFmt w:val="bullet"/>
        <w:lvlText w:val="•"/>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num>
  <w:num w:numId="10" w16cid:durableId="1358698887">
    <w:abstractNumId w:val="3"/>
    <w:lvlOverride w:ilvl="0">
      <w:startOverride w:val="1"/>
      <w:lvl w:ilvl="0" w:tplc="CAC2FCEC">
        <w:start w:val="1"/>
        <w:numFmt w:val="decimal"/>
        <w:lvlText w:val="%1."/>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A9D87794">
        <w:start w:val="1"/>
        <w:numFmt w:val="decimal"/>
        <w:lvlText w:val="%2."/>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043A81DA">
        <w:start w:val="1"/>
        <w:numFmt w:val="decimal"/>
        <w:lvlText w:val="%3."/>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0F301ED8">
        <w:start w:val="1"/>
        <w:numFmt w:val="decimal"/>
        <w:lvlText w:val="%4."/>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94506CAA">
        <w:start w:val="1"/>
        <w:numFmt w:val="decimal"/>
        <w:lvlText w:val="%5."/>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2A6269D0">
        <w:start w:val="1"/>
        <w:numFmt w:val="decimal"/>
        <w:lvlText w:val="%6."/>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BF0E1984">
        <w:start w:val="1"/>
        <w:numFmt w:val="decimal"/>
        <w:lvlText w:val="%7."/>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3D927B02">
        <w:start w:val="1"/>
        <w:numFmt w:val="decimal"/>
        <w:lvlText w:val="%8."/>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6562DFD6">
        <w:start w:val="1"/>
        <w:numFmt w:val="decimal"/>
        <w:lvlText w:val="%9."/>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num>
  <w:num w:numId="11" w16cid:durableId="227691893">
    <w:abstractNumId w:val="2"/>
    <w:lvlOverride w:ilvl="0">
      <w:lvl w:ilvl="0" w:tplc="637CEF8A">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0AA6EE60">
        <w:start w:val="1"/>
        <w:numFmt w:val="bullet"/>
        <w:lvlText w:val="◦"/>
        <w:lvlJc w:val="left"/>
        <w:pPr>
          <w:ind w:left="14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878CAD1A">
        <w:start w:val="1"/>
        <w:numFmt w:val="bullet"/>
        <w:lvlText w:val="◦"/>
        <w:lvlJc w:val="left"/>
        <w:pPr>
          <w:ind w:left="21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4D4CF2C4">
        <w:start w:val="1"/>
        <w:numFmt w:val="bullet"/>
        <w:lvlText w:val="◦"/>
        <w:lvlJc w:val="left"/>
        <w:pPr>
          <w:ind w:left="28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E0BE86AE">
        <w:start w:val="1"/>
        <w:numFmt w:val="bullet"/>
        <w:lvlText w:val="◦"/>
        <w:lvlJc w:val="left"/>
        <w:pPr>
          <w:ind w:left="360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5234FDC8">
        <w:start w:val="1"/>
        <w:numFmt w:val="bullet"/>
        <w:lvlText w:val="◦"/>
        <w:lvlJc w:val="left"/>
        <w:pPr>
          <w:ind w:left="432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9D4CF25A">
        <w:start w:val="1"/>
        <w:numFmt w:val="bullet"/>
        <w:lvlText w:val="◦"/>
        <w:lvlJc w:val="left"/>
        <w:pPr>
          <w:ind w:left="50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1A1E6056">
        <w:start w:val="1"/>
        <w:numFmt w:val="bullet"/>
        <w:lvlText w:val="◦"/>
        <w:lvlJc w:val="left"/>
        <w:pPr>
          <w:ind w:left="57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469C1B6A">
        <w:start w:val="1"/>
        <w:numFmt w:val="bullet"/>
        <w:lvlText w:val="◦"/>
        <w:lvlJc w:val="left"/>
        <w:pPr>
          <w:ind w:left="64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12" w16cid:durableId="1627588934">
    <w:abstractNumId w:val="2"/>
    <w:lvlOverride w:ilvl="0">
      <w:lvl w:ilvl="0" w:tplc="637CEF8A">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0AA6EE60">
        <w:start w:val="1"/>
        <w:numFmt w:val="bullet"/>
        <w:lvlText w:val="•"/>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878CAD1A">
        <w:start w:val="1"/>
        <w:numFmt w:val="bullet"/>
        <w:lvlText w:val="•"/>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4D4CF2C4">
        <w:start w:val="1"/>
        <w:numFmt w:val="bullet"/>
        <w:lvlText w:val="•"/>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E0BE86AE">
        <w:start w:val="1"/>
        <w:numFmt w:val="bullet"/>
        <w:lvlText w:val="•"/>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5234FDC8">
        <w:start w:val="1"/>
        <w:numFmt w:val="bullet"/>
        <w:lvlText w:val="•"/>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9D4CF25A">
        <w:start w:val="1"/>
        <w:numFmt w:val="bullet"/>
        <w:lvlText w:val="•"/>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1A1E6056">
        <w:start w:val="1"/>
        <w:numFmt w:val="bullet"/>
        <w:lvlText w:val="•"/>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469C1B6A">
        <w:start w:val="1"/>
        <w:numFmt w:val="bullet"/>
        <w:lvlText w:val="•"/>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9"/>
  <w:displayBackgroundShape/>
  <w:activeWritingStyle w:appName="MSWord" w:lang="en-US" w:vendorID="64" w:dllVersion="0" w:nlCheck="1" w:checkStyle="0"/>
  <w:activeWritingStyle w:appName="MSWord" w:lang="de-DE" w:vendorID="64" w:dllVersion="0" w:nlCheck="1" w:checkStyle="0"/>
  <w:activeWritingStyle w:appName="MSWord" w:lang="fr-FR" w:vendorID="64" w:dllVersion="0" w:nlCheck="1" w:checkStyle="0"/>
  <w:proofState w:spelling="clean" w:grammar="clean"/>
  <w:defaultTabStop w:val="720"/>
  <w:clickAndTypeStyle w:val="Body"/>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4EE"/>
    <w:rsid w:val="00176659"/>
    <w:rsid w:val="001C54EE"/>
    <w:rsid w:val="0039175E"/>
    <w:rsid w:val="006C5C75"/>
    <w:rsid w:val="00746F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ED1FB1"/>
  <w15:docId w15:val="{D0780B32-D89B-034C-AF37-B86C624C4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2">
    <w:name w:val="heading 2"/>
    <w:next w:val="Body"/>
    <w:uiPriority w:val="9"/>
    <w:unhideWhenUsed/>
    <w:qFormat/>
    <w:pPr>
      <w:keepNext/>
      <w:spacing w:line="480" w:lineRule="auto"/>
      <w:outlineLvl w:val="1"/>
    </w:pPr>
    <w:rPr>
      <w:rFonts w:cs="Arial Unicode MS"/>
      <w:b/>
      <w:bCs/>
      <w:color w:val="000000"/>
      <w:sz w:val="34"/>
      <w:szCs w:val="34"/>
      <w14:textOutline w14:w="0" w14:cap="flat" w14:cmpd="sng" w14:algn="ctr">
        <w14:noFill/>
        <w14:prstDash w14:val="solid"/>
        <w14:bevel/>
      </w14:textOutline>
    </w:rPr>
  </w:style>
  <w:style w:type="paragraph" w:styleId="Heading3">
    <w:name w:val="heading 3"/>
    <w:next w:val="Body"/>
    <w:uiPriority w:val="9"/>
    <w:unhideWhenUsed/>
    <w:qFormat/>
    <w:pPr>
      <w:keepNext/>
      <w:pBdr>
        <w:top w:val="single" w:sz="4" w:space="3" w:color="515151"/>
      </w:pBdr>
      <w:spacing w:before="360" w:after="40" w:line="288" w:lineRule="auto"/>
      <w:outlineLvl w:val="2"/>
    </w:pPr>
    <w:rPr>
      <w:rFonts w:cs="Arial Unicode MS"/>
      <w:color w:val="000000"/>
      <w:spacing w:val="5"/>
      <w:sz w:val="30"/>
      <w:szCs w:val="30"/>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ing">
    <w:name w:val="Heading"/>
    <w:next w:val="Body"/>
    <w:pPr>
      <w:keepNext/>
      <w:jc w:val="center"/>
      <w:outlineLvl w:val="0"/>
    </w:pPr>
    <w:rPr>
      <w:rFonts w:cs="Arial Unicode MS"/>
      <w:b/>
      <w:bCs/>
      <w:color w:val="000000"/>
      <w:sz w:val="40"/>
      <w:szCs w:val="40"/>
      <w14:textOutline w14:w="0" w14:cap="flat" w14:cmpd="sng" w14:algn="ctr">
        <w14:noFill/>
        <w14:prstDash w14:val="solid"/>
        <w14:bevel/>
      </w14:textOutline>
    </w:rPr>
  </w:style>
  <w:style w:type="paragraph" w:customStyle="1" w:styleId="Body">
    <w:name w:val="Body"/>
    <w:pPr>
      <w:spacing w:line="480" w:lineRule="auto"/>
    </w:pPr>
    <w:rPr>
      <w:rFonts w:cs="Arial Unicode MS"/>
      <w:color w:val="000000"/>
      <w:sz w:val="24"/>
      <w:szCs w:val="24"/>
      <w14:textOutline w14:w="0" w14:cap="flat" w14:cmpd="sng" w14:algn="ctr">
        <w14:noFill/>
        <w14:prstDash w14:val="solid"/>
        <w14:bevel/>
      </w14:textOutline>
    </w:rPr>
  </w:style>
  <w:style w:type="character" w:customStyle="1" w:styleId="Italic">
    <w:name w:val="Italic"/>
    <w:rPr>
      <w:i/>
      <w:iCs/>
      <w:lang w:val="en-US"/>
    </w:rPr>
  </w:style>
  <w:style w:type="paragraph" w:customStyle="1" w:styleId="Bullet">
    <w:name w:val="Bullet"/>
    <w:pPr>
      <w:spacing w:line="480" w:lineRule="auto"/>
      <w:ind w:left="432" w:hanging="72"/>
    </w:pPr>
    <w:rPr>
      <w:rFonts w:cs="Arial Unicode MS"/>
      <w:color w:val="000000"/>
      <w:sz w:val="24"/>
      <w:szCs w:val="24"/>
      <w14:textOutline w14:w="0" w14:cap="flat" w14:cmpd="sng" w14:algn="ctr">
        <w14:noFill/>
        <w14:prstDash w14:val="solid"/>
        <w14:bevel/>
      </w14:textOutline>
    </w:rPr>
  </w:style>
  <w:style w:type="numbering" w:customStyle="1" w:styleId="Bullet0">
    <w:name w:val="Bullet.0"/>
    <w:pPr>
      <w:numPr>
        <w:numId w:val="1"/>
      </w:numPr>
    </w:pPr>
  </w:style>
  <w:style w:type="paragraph" w:customStyle="1" w:styleId="Default">
    <w:name w:val="Default"/>
    <w:pPr>
      <w:spacing w:before="160" w:line="288" w:lineRule="auto"/>
    </w:pPr>
    <w:rPr>
      <w:rFonts w:cs="Arial Unicode MS"/>
      <w:color w:val="000000"/>
      <w:sz w:val="26"/>
      <w:szCs w:val="26"/>
      <w14:textOutline w14:w="0" w14:cap="flat" w14:cmpd="sng" w14:algn="ctr">
        <w14:noFill/>
        <w14:prstDash w14:val="solid"/>
        <w14:bevel/>
      </w14:textOutline>
    </w:rPr>
  </w:style>
  <w:style w:type="numbering" w:customStyle="1" w:styleId="Numbered">
    <w:name w:val="Numbered"/>
    <w:pPr>
      <w:numPr>
        <w:numId w:val="4"/>
      </w:numPr>
    </w:pPr>
  </w:style>
  <w:style w:type="paragraph" w:customStyle="1" w:styleId="Category">
    <w:name w:val="Category"/>
    <w:pPr>
      <w:tabs>
        <w:tab w:val="left" w:pos="1150"/>
      </w:tabs>
    </w:pPr>
    <w:rPr>
      <w:rFonts w:cs="Arial Unicode MS"/>
      <w:b/>
      <w:bCs/>
      <w:caps/>
      <w:color w:val="000000"/>
      <w:sz w:val="28"/>
      <w:szCs w:val="28"/>
      <w14:textOutline w14:w="0" w14:cap="flat" w14:cmpd="sng" w14:algn="ctr">
        <w14:noFill/>
        <w14:prstDash w14:val="solid"/>
        <w14:bevel/>
      </w14:textOutline>
    </w:rPr>
  </w:style>
  <w:style w:type="paragraph" w:customStyle="1" w:styleId="Description">
    <w:name w:val="Description"/>
    <w:pPr>
      <w:spacing w:after="180" w:line="336" w:lineRule="auto"/>
    </w:pPr>
    <w:rPr>
      <w:rFonts w:cs="Arial Unicode MS"/>
      <w:i/>
      <w:iCs/>
      <w:color w:val="000000"/>
      <w:sz w:val="24"/>
      <w:szCs w:val="24"/>
      <w14:textOutline w14:w="0" w14:cap="flat" w14:cmpd="sng" w14:algn="ctr">
        <w14:noFill/>
        <w14:prstDash w14:val="solid"/>
        <w14:bevel/>
      </w14:textOutline>
    </w:rPr>
  </w:style>
  <w:style w:type="paragraph" w:customStyle="1" w:styleId="TableStyle2">
    <w:name w:val="Table Style 2"/>
    <w:rPr>
      <w:rFonts w:eastAsia="Times New Roman"/>
      <w:color w:val="000000"/>
      <w:sz w:val="22"/>
      <w:szCs w:val="22"/>
      <w14:textOutline w14:w="0" w14:cap="flat" w14:cmpd="sng" w14:algn="ctr">
        <w14:noFill/>
        <w14:prstDash w14:val="solid"/>
        <w14:bevel/>
      </w14:textOutline>
    </w:rPr>
  </w:style>
  <w:style w:type="paragraph" w:customStyle="1" w:styleId="Appendix">
    <w:name w:val="Appendix"/>
    <w:next w:val="Body"/>
    <w:pPr>
      <w:keepNext/>
      <w:spacing w:line="480" w:lineRule="auto"/>
      <w:outlineLvl w:val="1"/>
    </w:pPr>
    <w:rPr>
      <w:rFonts w:cs="Arial Unicode MS"/>
      <w:b/>
      <w:bCs/>
      <w:color w:val="000000"/>
      <w:sz w:val="40"/>
      <w:szCs w:val="40"/>
      <w:lang w:val="da-DK"/>
      <w14:textOutline w14:w="0" w14:cap="flat" w14:cmpd="sng" w14:algn="ctr">
        <w14:noFill/>
        <w14:prstDash w14:val="solid"/>
        <w14:bevel/>
      </w14:textOutline>
    </w:rPr>
  </w:style>
  <w:style w:type="character" w:styleId="Emphasis">
    <w:name w:val="Emphasis"/>
    <w:rPr>
      <w:b/>
      <w:bCs/>
      <w:lang w:val="da-D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Times New Roman"/>
        <a:ea typeface="Times New Roman"/>
        <a:cs typeface="Times New Roman"/>
      </a:majorFont>
      <a:minorFont>
        <a:latin typeface="Times New Roman"/>
        <a:ea typeface="Times New Roman"/>
        <a:cs typeface="Times New Roman"/>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300" b="0" i="0" u="none" strike="noStrike" cap="none" spc="0" normalizeH="0" baseline="0">
            <a:ln>
              <a:noFill/>
            </a:ln>
            <a:solidFill>
              <a:srgbClr val="FFFFFF"/>
            </a:solidFill>
            <a:effectLst/>
            <a:uFillTx/>
            <a:latin typeface="+mn-lt"/>
            <a:ea typeface="+mn-ea"/>
            <a:cs typeface="+mn-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200000"/>
          </a:lnSpc>
          <a:spcBef>
            <a:spcPts val="0"/>
          </a:spcBef>
          <a:spcAft>
            <a:spcPts val="0"/>
          </a:spcAft>
          <a:buClrTx/>
          <a:buSzTx/>
          <a:buFontTx/>
          <a:buNone/>
          <a:tabLst/>
          <a:defRPr kumimoji="0" sz="1200" b="0" i="0" u="none" strike="noStrike" cap="none" spc="0" normalizeH="0" baseline="0">
            <a:ln>
              <a:noFill/>
            </a:ln>
            <a:solidFill>
              <a:srgbClr val="000000"/>
            </a:solidFill>
            <a:effectLst/>
            <a:uFillTx/>
            <a:latin typeface="+mn-lt"/>
            <a:ea typeface="+mn-ea"/>
            <a:cs typeface="+mn-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47</Pages>
  <Words>9721</Words>
  <Characters>58426</Characters>
  <Application>Microsoft Office Word</Application>
  <DocSecurity>0</DocSecurity>
  <Lines>1168</Lines>
  <Paragraphs>545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Seth Foss</cp:lastModifiedBy>
  <cp:revision>2</cp:revision>
  <dcterms:created xsi:type="dcterms:W3CDTF">2025-05-22T11:38:00Z</dcterms:created>
  <dcterms:modified xsi:type="dcterms:W3CDTF">2025-05-22T13:22:00Z</dcterms:modified>
</cp:coreProperties>
</file>