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QuALMRI Proposal Draft</w:t>
      </w:r>
    </w:p>
    <w:p>
      <w:pPr>
        <w:pStyle w:val="Heading2"/>
      </w:pPr>
      <w:r>
        <w:t>The Cognitive and Social Effects of Housing Instability on Tenants in NYC</w:t>
      </w:r>
    </w:p>
    <w:p>
      <w:pPr>
        <w:pStyle w:val="Heading2"/>
      </w:pPr>
      <w:r>
        <w:t>I. Research Question (Qu)</w:t>
      </w:r>
    </w:p>
    <w:p>
      <w:r>
        <w:t>Broad Question: How does unstable housing influence tenants' cognitive performance, decision-making, and opportunities for social and economic mobility?</w:t>
        <w:br/>
        <w:t>Focused Question: Do tenants who experience predatory landlord behavior—such as eviction threats, property neglect, code violations, or harassment—exhibit increased cognitive load and impaired memory, attention, and executive functioning, particularly in working memory, cognitive flexibility, and decision-making speed? How do these impairments impact their ability to manage everyday responsibilities, including employment, budgeting, and accessing support resources?</w:t>
        <w:br/>
        <w:t>Connection Between the Two: If housing instability contributes to cognitive burden and undermines executive functioning, it could impair tenants’ capacity for effective life management and upward mobility. These effects may justify shifting public investment from punitive interventions like housing court to sustainable, tenant-centered housing models such as cooperatives and rent-to-own initiatives (Meltzer &amp; Schwartz, 2016; Mullainathan &amp; Shafir, 2013; Boateng,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