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Specular Stereo and 3DGS Reconstruction Mechanisms</w:t>
      </w:r>
    </w:p>
    <w:p>
      <w:pPr>
        <w:pStyle w:val="BodyText"/>
      </w:pPr>
      <w:r>
        <w:t>A coherent second disparity population is physically compatible with reflections, including reflections that satisfy epipolar geometry closely. It does not, by itself, identify the stereo rig as the cause. The decisive measurements are signed feature disparity relative to independently supported surface geometry, consistency of inverse depth across different camera pairs, and the depth distribution of the Gaussians that actually contribute the displaced appearance.</w:t>
      </w:r>
    </w:p>
    <w:p>
      <w:pPr>
        <w:pStyle w:val="BodyText"/>
      </w:pPr>
      <w:r>
        <w:t>The reconstruction considered here contains metallic coins of roughly 90 mm extent, captured from 70 handheld stereo positions. The phone rig has a 10.64 mm baseline and approximately 1700 px focal length. Most training-image patches align within one pixel, while a second population differs by 4–15 px and closely follows the horizontal epipolar direction. Exposure normalization and silhouette masking are already applied. These observations establish a selective image-fitting problem; they do not yet establish the signed binocular disparity of the affected features.</w:t>
      </w:r>
    </w:p>
    <w:tbl>
      <w:tblPr>
        <w:tblW w:type="auto" w:w="0"/>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2376"/>
        <w:gridCol w:w="7704"/>
      </w:tblGrid>
      <w:tr>
        <w:trPr>
          <w:cantSplit/>
          <w:tblHeader/>
        </w:trPr>
        <w:tc>
          <w:tcPr>
            <w:tcW w:type="dxa" w:w="2376"/>
            <w:shd w:fill="ECECEC"/>
          </w:tcPr>
          <w:p>
            <w:pPr>
              <w:spacing w:after="100" w:before="80"/>
            </w:pPr>
            <w:r>
              <w:rPr>
                <w:b/>
                <w:sz w:val="20"/>
              </w:rPr>
              <w:t>Question</w:t>
            </w:r>
          </w:p>
        </w:tc>
        <w:tc>
          <w:tcPr>
            <w:tcW w:type="dxa" w:w="7704"/>
            <w:shd w:fill="ECECEC"/>
          </w:tcPr>
          <w:p>
            <w:pPr>
              <w:spacing w:after="100" w:before="80"/>
            </w:pPr>
            <w:r>
              <w:rPr>
                <w:b/>
                <w:sz w:val="20"/>
              </w:rPr>
              <w:t>Technical conclusion</w:t>
            </w:r>
          </w:p>
        </w:tc>
      </w:tr>
      <w:tr>
        <w:trPr>
          <w:cantSplit/>
        </w:trPr>
        <w:tc>
          <w:tcPr>
            <w:tcW w:type="dxa" w:w="2376"/>
          </w:tcPr>
          <w:p>
            <w:pPr>
              <w:spacing w:after="100" w:before="80"/>
            </w:pPr>
            <w:r>
              <w:rPr>
                <w:b w:val="0"/>
                <w:sz w:val="20"/>
              </w:rPr>
              <w:t>Convex reflection depth</w:t>
            </w:r>
          </w:p>
        </w:tc>
        <w:tc>
          <w:tcPr>
            <w:tcW w:type="dxa" w:w="7704"/>
          </w:tcPr>
          <w:p>
            <w:pPr>
              <w:spacing w:after="100" w:before="80"/>
            </w:pPr>
            <w:r>
              <w:rPr>
                <w:b w:val="0"/>
                <w:sz w:val="20"/>
              </w:rPr>
              <w:t>For a fixed real source and near-normal paraxial geometry, a convex reflector produces a virtual image behind the surface. Its disparity is smaller than the surface disparity.</w:t>
            </w:r>
          </w:p>
        </w:tc>
      </w:tr>
      <w:tr>
        <w:trPr>
          <w:cantSplit/>
        </w:trPr>
        <w:tc>
          <w:tcPr>
            <w:tcW w:type="dxa" w:w="2376"/>
          </w:tcPr>
          <w:p>
            <w:pPr>
              <w:spacing w:after="100" w:before="80"/>
            </w:pPr>
            <w:r>
              <w:rPr>
                <w:b w:val="0"/>
                <w:sz w:val="20"/>
              </w:rPr>
              <w:t>Reflection versus refraction</w:t>
            </w:r>
          </w:p>
        </w:tc>
        <w:tc>
          <w:tcPr>
            <w:tcW w:type="dxa" w:w="7704"/>
          </w:tcPr>
          <w:p>
            <w:pPr>
              <w:spacing w:after="100" w:before="80"/>
            </w:pPr>
            <w:r>
              <w:rPr>
                <w:b w:val="0"/>
                <w:sz w:val="20"/>
              </w:rPr>
              <w:t>Sign is useful only with the same explicit reference depth. A transmitted coin can remain behind the front plate despite its apparent depth being reduced by refraction.</w:t>
            </w:r>
          </w:p>
        </w:tc>
      </w:tr>
      <w:tr>
        <w:trPr>
          <w:cantSplit/>
        </w:trPr>
        <w:tc>
          <w:tcPr>
            <w:tcW w:type="dxa" w:w="2376"/>
          </w:tcPr>
          <w:p>
            <w:pPr>
              <w:spacing w:after="100" w:before="80"/>
            </w:pPr>
            <w:r>
              <w:rPr>
                <w:b w:val="0"/>
                <w:sz w:val="20"/>
              </w:rPr>
              <w:t>GS optimization response</w:t>
            </w:r>
          </w:p>
        </w:tc>
        <w:tc>
          <w:tcPr>
            <w:tcW w:type="dxa" w:w="7704"/>
          </w:tcPr>
          <w:p>
            <w:pPr>
              <w:spacing w:after="100" w:before="80"/>
            </w:pPr>
            <w:r>
              <w:rPr>
                <w:b w:val="0"/>
                <w:sz w:val="20"/>
              </w:rPr>
              <w:t>Extra geometry, broad depth support and opacity errors are possible, but no single response is inevitable. Published evidence ranges from visual examples to normal-error and ablation measurements.</w:t>
            </w:r>
          </w:p>
        </w:tc>
      </w:tr>
      <w:tr>
        <w:trPr>
          <w:cantSplit/>
        </w:trPr>
        <w:tc>
          <w:tcPr>
            <w:tcW w:type="dxa" w:w="2376"/>
          </w:tcPr>
          <w:p>
            <w:pPr>
              <w:spacing w:after="100" w:before="80"/>
            </w:pPr>
            <w:r>
              <w:rPr>
                <w:b w:val="0"/>
                <w:sz w:val="20"/>
              </w:rPr>
              <w:t>Existing-capture mitigation</w:t>
            </w:r>
          </w:p>
        </w:tc>
        <w:tc>
          <w:tcPr>
            <w:tcW w:type="dxa" w:w="7704"/>
          </w:tcPr>
          <w:p>
            <w:pPr>
              <w:spacing w:after="100" w:before="80"/>
            </w:pPr>
            <w:r>
              <w:rPr>
                <w:b w:val="0"/>
                <w:sz w:val="20"/>
              </w:rPr>
              <w:t>Use multiview confidence and visibility for selective masking; robust training needs a warm-up and careful densification. Reflection-aware rendering preserves appearance more directly.</w:t>
            </w:r>
          </w:p>
        </w:tc>
      </w:tr>
      <w:tr>
        <w:trPr>
          <w:cantSplit/>
        </w:trPr>
        <w:tc>
          <w:tcPr>
            <w:tcW w:type="dxa" w:w="2376"/>
          </w:tcPr>
          <w:p>
            <w:pPr>
              <w:spacing w:after="100" w:before="80"/>
            </w:pPr>
            <w:r>
              <w:rPr>
                <w:b w:val="0"/>
                <w:sz w:val="20"/>
              </w:rPr>
              <w:t>Rig versus arc attribution</w:t>
            </w:r>
          </w:p>
        </w:tc>
        <w:tc>
          <w:tcPr>
            <w:tcW w:type="dxa" w:w="7704"/>
          </w:tcPr>
          <w:p>
            <w:pPr>
              <w:spacing w:after="100" w:before="80"/>
            </w:pPr>
            <w:r>
              <w:rPr>
                <w:b w:val="0"/>
                <w:sz w:val="20"/>
              </w:rPr>
              <w:t>Compare simultaneous stereo, same-eye temporal and cross-eye temporal tracks using calibrated geometry. Directional alignment alone cannot separate nearly collinear baselines.</w:t>
            </w:r>
          </w:p>
        </w:tc>
      </w:tr>
    </w:tbl>
    <w:p>
      <w:pPr>
        <w:pStyle w:val="BodyText"/>
      </w:pPr>
      <w:r>
        <w:t>The optical equations below are a paraxial derivation in an explicitly defined convention. Numerical examples are illustrative calculations, not estimates fitted to the coins. Literature results are identified by their actual measured quantity; an improvement in image quality is not treated as a measurement of geometric correctness.</w:t>
      </w:r>
    </w:p>
    <w:p>
      <w:pPr>
        <w:pStyle w:val="Heading1"/>
        <w:pageBreakBefore/>
      </w:pPr>
      <w:r>
        <w:t>1 Signed disparity and the local mirror equation</w:t>
      </w:r>
    </w:p>
    <w:p>
      <w:pPr>
        <w:pStyle w:val="BodyText"/>
      </w:pPr>
      <w:r>
        <w:t>Use rectified pinhole coordinates with x increasing rightward, left and right camera centers at −b/2 and +b/2, and positive forward depth Z. Assume a common rectified focal length f and account for any principal-point disparity offset. Define d = xL − xR = fb/Z. Thus, a larger positive disparity means a nearer point. Define δd = dhighlight − dsurface; this differs from a photograph-to-render residual in either eye.</w:t>
      </w:r>
    </w:p>
    <w:p>
      <w:pPr>
        <w:pStyle w:val="BodyText"/>
      </w:pPr>
      <w:r>
        <w:t>Consider a smooth reflector near normal incidence, a fixed real point source a distance L in front of the local reflecting surface, and a short transverse baseline. Let κ be signed normal curvature in the baseline section: positive for a convex surface facing the cameras. Let q be apparent image distance behind the reflector, so q &gt; 0 denotes a virtual image behind it. The normalized mirror relation is:</w:t>
      </w:r>
    </w:p>
    <w:p>
      <w:pPr>
        <w:spacing w:after="160"/>
      </w:pPr>
      <m:oMath>
        <m:r>
          <m:t>q = </m:t>
        </m:r>
        <m:f>
          <m:num>
            <m:r>
              <m:t>1</m:t>
            </m:r>
          </m:num>
          <m:den>
            <m:r>
              <m:t>2κ + 1/L</m:t>
            </m:r>
          </m:den>
        </m:f>
        <m:r>
          <m:t> = </m:t>
        </m:r>
        <m:f>
          <m:num>
            <m:r>
              <m:t>RL</m:t>
            </m:r>
          </m:num>
          <m:den>
            <m:r>
              <m:t>2L + R</m:t>
            </m:r>
          </m:den>
        </m:f>
        <m:r>
          <m:t>,    R = 1/κ</m:t>
        </m:r>
      </m:oMath>
    </w:p>
    <w:p>
      <w:pPr>
        <w:spacing w:after="160"/>
      </w:pPr>
      <m:oMath>
        <m:sSub>
          <m:e>
            <m:r>
              <m:t>d</m:t>
            </m:r>
          </m:e>
          <m:sub>
            <m:r>
              <m:t>h</m:t>
            </m:r>
          </m:sub>
        </m:sSub>
        <m:r>
          <m:t> ≈ </m:t>
        </m:r>
        <m:f>
          <m:num>
            <m:r>
              <m:t>fb</m:t>
            </m:r>
          </m:num>
          <m:den>
            <m:r>
              <m:t>Z + q</m:t>
            </m:r>
          </m:den>
        </m:f>
        <m:r>
          <m:t>,    δd = </m:t>
        </m:r>
        <m:sSub>
          <m:e>
            <m:r>
              <m:t>d</m:t>
            </m:r>
          </m:e>
          <m:sub>
            <m:r>
              <m:t>h</m:t>
            </m:r>
          </m:sub>
        </m:sSub>
        <m:r>
          <m:t> − </m:t>
        </m:r>
        <m:sSub>
          <m:e>
            <m:r>
              <m:t>d</m:t>
            </m:r>
          </m:e>
          <m:sub>
            <m:r>
              <m:t>s</m:t>
            </m:r>
          </m:sub>
        </m:sSub>
        <m:r>
          <m:t> ≈ −</m:t>
        </m:r>
        <m:f>
          <m:num>
            <m:r>
              <m:t>fbq</m:t>
            </m:r>
          </m:num>
          <m:den>
            <m:r>
              <m:t>Z(Z + q)</m:t>
            </m:r>
          </m:den>
        </m:f>
      </m:oMath>
    </w:p>
    <w:p>
      <w:pPr>
        <w:pStyle w:val="BodyText"/>
      </w:pPr>
      <w:r>
        <w:t>A direct derivation makes the signs auditable. Put the central reflection at transverse coordinate zero. For a camera displaced by c, let the new reflection point be u. The local normal tilts by κu. Linearizing the equal-angle reflection condition gives (c−u)/Z − u/L = 2κu. Therefore u = c/(1 + Z/L + 2κZ), while its image coordinate is x(c) = f(u−c)/Z = −fc/(Z+q). Evaluating this at c = ±b/2 gives the disparity above. Surface sag enters at second order in u.</w:t>
      </w:r>
    </w:p>
    <w:p>
      <w:pPr>
        <w:pStyle w:val="BodyText"/>
      </w:pPr>
      <w:r>
        <w:t>Blake’s Specular Stereo derives a more general local quadratic-surface relation using the surface Hessian. Section 2.4 explicitly extends the distant-source analysis to a finite source. The scalar equation here is its near-normal mirror-optics specialization, rather than a transcription of Blake’s vector disparity convention. His focusing analysis also identifies concave-surface degeneracies.</w:t>
      </w:r>
      <w:r>
        <w:rPr>
          <w:vertAlign w:val="superscript"/>
        </w:rPr>
        <w:footnoteReference w:id="1"/>
      </w:r>
    </w:p>
    <w:tbl>
      <w:tblPr>
        <w:tblW w:type="auto" w:w="0"/>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3312"/>
        <w:gridCol w:w="6768"/>
      </w:tblGrid>
      <w:tr>
        <w:trPr>
          <w:cantSplit/>
          <w:tblHeader/>
        </w:trPr>
        <w:tc>
          <w:tcPr>
            <w:tcW w:type="dxa" w:w="3312"/>
            <w:shd w:fill="ECECEC"/>
          </w:tcPr>
          <w:p>
            <w:pPr>
              <w:spacing w:after="100" w:before="80"/>
            </w:pPr>
            <w:r>
              <w:rPr>
                <w:b/>
                <w:sz w:val="20"/>
              </w:rPr>
              <w:t>Local geometry</w:t>
            </w:r>
          </w:p>
        </w:tc>
        <w:tc>
          <w:tcPr>
            <w:tcW w:type="dxa" w:w="6768"/>
            <w:shd w:fill="ECECEC"/>
          </w:tcPr>
          <w:p>
            <w:pPr>
              <w:spacing w:after="100" w:before="80"/>
            </w:pPr>
            <w:r>
              <w:rPr>
                <w:b/>
                <w:sz w:val="20"/>
              </w:rPr>
              <w:t>Apparent depth and disparity</w:t>
            </w:r>
          </w:p>
        </w:tc>
      </w:tr>
      <w:tr>
        <w:trPr>
          <w:cantSplit/>
        </w:trPr>
        <w:tc>
          <w:tcPr>
            <w:tcW w:type="dxa" w:w="3312"/>
          </w:tcPr>
          <w:p>
            <w:pPr>
              <w:spacing w:after="100" w:before="80"/>
            </w:pPr>
            <w:r>
              <w:rPr>
                <w:b w:val="0"/>
                <w:sz w:val="20"/>
              </w:rPr>
              <w:t>Convex κ &gt; 0; real source L &gt; 0</w:t>
            </w:r>
          </w:p>
        </w:tc>
        <w:tc>
          <w:tcPr>
            <w:tcW w:type="dxa" w:w="6768"/>
          </w:tcPr>
          <w:p>
            <w:pPr>
              <w:spacing w:after="100" w:before="80"/>
            </w:pPr>
            <w:r>
              <w:rPr>
                <w:b w:val="0"/>
                <w:sz w:val="20"/>
              </w:rPr>
              <w:t>q &gt; 0. The reflection is behind the surface; δd &lt; 0.</w:t>
            </w:r>
          </w:p>
        </w:tc>
      </w:tr>
      <w:tr>
        <w:trPr>
          <w:cantSplit/>
        </w:trPr>
        <w:tc>
          <w:tcPr>
            <w:tcW w:type="dxa" w:w="3312"/>
          </w:tcPr>
          <w:p>
            <w:pPr>
              <w:spacing w:after="100" w:before="80"/>
            </w:pPr>
            <w:r>
              <w:rPr>
                <w:b w:val="0"/>
                <w:sz w:val="20"/>
              </w:rPr>
              <w:t>Plane κ = 0</w:t>
            </w:r>
          </w:p>
        </w:tc>
        <w:tc>
          <w:tcPr>
            <w:tcW w:type="dxa" w:w="6768"/>
          </w:tcPr>
          <w:p>
            <w:pPr>
              <w:spacing w:after="100" w:before="80"/>
            </w:pPr>
            <w:r>
              <w:rPr>
                <w:b w:val="0"/>
                <w:sz w:val="20"/>
              </w:rPr>
              <w:t>q = L. A fixed source forms a fixed mirrored virtual point.</w:t>
            </w:r>
          </w:p>
        </w:tc>
      </w:tr>
      <w:tr>
        <w:trPr>
          <w:cantSplit/>
        </w:trPr>
        <w:tc>
          <w:tcPr>
            <w:tcW w:type="dxa" w:w="3312"/>
          </w:tcPr>
          <w:p>
            <w:pPr>
              <w:spacing w:after="100" w:before="80"/>
            </w:pPr>
            <w:r>
              <w:rPr>
                <w:b w:val="0"/>
                <w:sz w:val="20"/>
              </w:rPr>
              <w:t>Distant source L → ∞</w:t>
            </w:r>
          </w:p>
        </w:tc>
        <w:tc>
          <w:tcPr>
            <w:tcW w:type="dxa" w:w="6768"/>
          </w:tcPr>
          <w:p>
            <w:pPr>
              <w:spacing w:after="100" w:before="80"/>
            </w:pPr>
            <w:r>
              <w:rPr>
                <w:b w:val="0"/>
                <w:sz w:val="20"/>
              </w:rPr>
              <w:t>q = R/2. Curvature sets the apparent offset.</w:t>
            </w:r>
          </w:p>
        </w:tc>
      </w:tr>
      <w:tr>
        <w:trPr>
          <w:cantSplit/>
        </w:trPr>
        <w:tc>
          <w:tcPr>
            <w:tcW w:type="dxa" w:w="3312"/>
          </w:tcPr>
          <w:p>
            <w:pPr>
              <w:spacing w:after="100" w:before="80"/>
            </w:pPr>
            <w:r>
              <w:rPr>
                <w:b w:val="0"/>
                <w:sz w:val="20"/>
              </w:rPr>
              <w:t>Concave κ &lt; 0</w:t>
            </w:r>
          </w:p>
        </w:tc>
        <w:tc>
          <w:tcPr>
            <w:tcW w:type="dxa" w:w="6768"/>
          </w:tcPr>
          <w:p>
            <w:pPr>
              <w:spacing w:after="100" w:before="80"/>
            </w:pPr>
            <w:r>
              <w:rPr>
                <w:b w:val="0"/>
                <w:sz w:val="20"/>
              </w:rPr>
              <w:t>Let F = |R|/2. If L &lt; F, q &gt; 0; if L &gt; F, q &lt; 0. L = F is a focal singularity.</w:t>
            </w:r>
          </w:p>
        </w:tc>
      </w:tr>
    </w:tbl>
    <w:p>
      <w:pPr>
        <w:pStyle w:val="Heading1"/>
        <w:pageBreakBefore/>
      </w:pPr>
      <w:r>
        <w:t>2 Curvature finite lighting and caustics</w:t>
      </w:r>
    </w:p>
    <w:p>
      <w:pPr>
        <w:pStyle w:val="Heading2"/>
      </w:pPr>
      <w:r>
        <w:t>The meaning of an inverted sign</w:t>
      </w:r>
    </w:p>
    <w:p>
      <w:pPr>
        <w:pStyle w:val="BodyText"/>
      </w:pPr>
      <w:r>
        <w:t>For a concave reflector with L &gt; F, the reflected image is real and lies in front of the surface. When −Z &lt; q &lt; 0, the cameras remain in front of that image, its apparent depth Z+q is positive, and δd &gt; 0. If q passes through −Z, a positive-depth stereo interpretation fails and signed disparity can reverse again. If L &lt; F, even the concave mirror produces a virtual image behind the surface. Convex versus concave alone is therefore insufficient without the source and viewing geometry.</w:t>
      </w:r>
    </w:p>
    <w:p>
      <w:pPr>
        <w:pStyle w:val="BodyText"/>
      </w:pPr>
      <w:r>
        <w:t>Image orientation is another sign. In this convention the paraxial transverse magnification is q/L: positive for an upright virtual image, negative for an inverted real image. That change occurs at the mirror’s object-distance focal boundary. It must not be conflated with the sign of a render residual or with the separate condition Z+q = 0.</w:t>
      </w:r>
    </w:p>
    <w:p>
      <w:pPr>
        <w:pStyle w:val="Heading2"/>
      </w:pPr>
      <w:r>
        <w:t>Limits of a scalar radius</w:t>
      </w:r>
    </w:p>
    <w:p>
      <w:pPr>
        <w:pStyle w:val="BodyText"/>
      </w:pPr>
      <w:r>
        <w:t>The simple formula assumes a fixed source, small camera displacement and a neighborhood where one curvature describes the baseline section. An oblique view of a general surface involves two principal curvatures, their directions, surface slant and baseline direction. Reflected rays can be skew instead of meeting at one point. A saddle surface can have different apparent behavior along different baseline directions. Extended illumination, roughness and changing highlight shape also make a correlation peak different from the ray of a single point source.</w:t>
      </w:r>
    </w:p>
    <w:p>
      <w:pPr>
        <w:pStyle w:val="BodyText"/>
      </w:pPr>
      <w:r>
        <w:t>Zisserman, Giblin and Blake analyze known observer motion and show that local specularity motion can resolve a concave/convex ambiguity without knowing the source position. This uses additional motion and surface-geometric information; it does not turn an unreferenced stereo disparity sign into a curvature classifier.</w:t>
      </w:r>
      <w:r>
        <w:rPr>
          <w:vertAlign w:val="superscript"/>
        </w:rPr>
        <w:footnoteReference w:id="2"/>
      </w:r>
    </w:p>
    <w:p>
      <w:pPr>
        <w:pStyle w:val="BodyText"/>
      </w:pPr>
      <w:r>
        <w:t>Swaminathan and colleagues analyze the caustic traced by apparent reflection points as the observer moves. Their disparity deviation measures departure from a straight EPI trace, while epipolar deviation measures departure from an epipolar line. These are distinct from a highlight’s disparity offset relative to its surface. Their mirrored-ball experiments support the prediction that reflections can remain close to epipolar constraints over restricted motion.</w:t>
      </w:r>
      <w:r>
        <w:rPr>
          <w:vertAlign w:val="superscript"/>
        </w:rPr>
        <w:footnoteReference w:id="3"/>
      </w:r>
    </w:p>
    <w:p>
      <w:pPr>
        <w:pStyle w:val="BodyText"/>
      </w:pPr>
      <w:r>
        <w:t>Muryy, Fleming and Welchman further examine specular correspondence: matches may be absent or multiple, and paired rays may not intersect. Their main analysis assumes a distant environment; the appendix studies finite illumination distance. A valid local stereo match therefore need not identify a physical point on the reflecting surface.</w:t>
      </w:r>
      <w:r>
        <w:rPr>
          <w:vertAlign w:val="superscript"/>
        </w:rPr>
        <w:footnoteReference w:id="4"/>
      </w:r>
    </w:p>
    <w:p>
      <w:pPr>
        <w:pStyle w:val="Heading2"/>
      </w:pPr>
      <w:r>
        <w:t>Illustrative magnitude for this rig</w:t>
      </w:r>
    </w:p>
    <w:p>
      <w:pPr>
        <w:pStyle w:val="BodyText"/>
      </w:pPr>
      <w:r>
        <w:t>At Z = 252 mm, f = 1700 px and b = 10.64 mm, ds = 71.78 px. If an actual matched highlight has δd = −4 to −15 px, the implied q is 14.87–66.58 mm. A distant source would imply local convex radii of 29.74–133.15 mm; δd = −6.11 px gives q = 23.45 mm and R = 46.89 mm. These numbers show optical plausibility, not identification: 4–15 px single-view patch residuals cannot be substituted for δd.</w:t>
      </w:r>
    </w:p>
    <w:p>
      <w:pPr>
        <w:pStyle w:val="Heading1"/>
        <w:pageBreakBefore/>
      </w:pPr>
      <w:r>
        <w:t>3 Reflection and refraction sign discrimination</w:t>
      </w:r>
    </w:p>
    <w:p>
      <w:pPr>
        <w:pStyle w:val="BodyText"/>
      </w:pPr>
      <w:r>
        <w:t>For a plane-parallel slab of thickness t and index n, with air on both sides, the near-normal apparent position of a background object is displaced toward the observer by a = t(1−1/n). Here Z is the object’s physical depth along the viewing axis, and the slab occupies only part of the optical path. The corresponding change relative to the same object without the slab is:</w:t>
      </w:r>
    </w:p>
    <w:p>
      <w:pPr>
        <w:spacing w:after="160"/>
      </w:pPr>
      <m:oMath>
        <m:sSub>
          <m:e>
            <m:r>
              <m:t>Z</m:t>
            </m:r>
          </m:e>
          <m:sub>
            <m:r>
              <m:t>app</m:t>
            </m:r>
          </m:sub>
        </m:sSub>
        <m:r>
          <m:t> ≈ Z − a,    δ</m:t>
        </m:r>
        <m:sSub>
          <m:e>
            <m:r>
              <m:t>d</m:t>
            </m:r>
          </m:e>
          <m:sub>
            <m:r>
              <m:t>refr</m:t>
            </m:r>
          </m:sub>
        </m:sSub>
        <m:r>
          <m:t> ≈ </m:t>
        </m:r>
        <m:f>
          <m:num>
            <m:r>
              <m:t>fb</m:t>
            </m:r>
          </m:num>
          <m:den>
            <m:r>
              <m:t>Z − a</m:t>
            </m:r>
          </m:den>
        </m:f>
        <m:r>
          <m:t> − </m:t>
        </m:r>
        <m:f>
          <m:num>
            <m:r>
              <m:t>fb</m:t>
            </m:r>
          </m:num>
          <m:den>
            <m:r>
              <m:t>Z</m:t>
            </m:r>
          </m:den>
        </m:f>
        <m:r>
          <m:t> &gt; 0</m:t>
        </m:r>
      </m:oMath>
    </w:p>
    <w:p>
      <w:pPr>
        <w:pStyle w:val="BodyText"/>
      </w:pPr>
      <w:r>
        <w:t>That is not the same reference used for a reflection’s depth behind its reflector. A transmitted coin can move forward relative to its own physical position while remaining behind the front face of a case. Both transmitted coin texture and reflected room texture can consequently have smaller disparity than that front face. This reference mismatch alone invalidates a universal sign-only classification.</w:t>
      </w:r>
    </w:p>
    <w:tbl>
      <w:tblPr>
        <w:tblW w:type="auto" w:w="0"/>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4392"/>
        <w:gridCol w:w="5688"/>
      </w:tblGrid>
      <w:tr>
        <w:trPr>
          <w:cantSplit/>
          <w:tblHeader/>
        </w:trPr>
        <w:tc>
          <w:tcPr>
            <w:tcW w:type="dxa" w:w="4392"/>
            <w:shd w:fill="ECECEC"/>
          </w:tcPr>
          <w:p>
            <w:pPr>
              <w:spacing w:after="100" w:before="80"/>
            </w:pPr>
            <w:r>
              <w:rPr>
                <w:b/>
                <w:sz w:val="20"/>
              </w:rPr>
              <w:t>Comparison</w:t>
            </w:r>
          </w:p>
        </w:tc>
        <w:tc>
          <w:tcPr>
            <w:tcW w:type="dxa" w:w="5688"/>
            <w:shd w:fill="ECECEC"/>
          </w:tcPr>
          <w:p>
            <w:pPr>
              <w:spacing w:after="100" w:before="80"/>
            </w:pPr>
            <w:r>
              <w:rPr>
                <w:b/>
                <w:sz w:val="20"/>
              </w:rPr>
              <w:t>Expected sign under stated assumptions</w:t>
            </w:r>
          </w:p>
        </w:tc>
      </w:tr>
      <w:tr>
        <w:trPr>
          <w:cantSplit/>
        </w:trPr>
        <w:tc>
          <w:tcPr>
            <w:tcW w:type="dxa" w:w="4392"/>
          </w:tcPr>
          <w:p>
            <w:pPr>
              <w:spacing w:after="100" w:before="80"/>
            </w:pPr>
            <w:r>
              <w:rPr>
                <w:b w:val="0"/>
                <w:sz w:val="20"/>
              </w:rPr>
              <w:t>Convex reflection versus local reflector</w:t>
            </w:r>
          </w:p>
        </w:tc>
        <w:tc>
          <w:tcPr>
            <w:tcW w:type="dxa" w:w="5688"/>
          </w:tcPr>
          <w:p>
            <w:pPr>
              <w:spacing w:after="100" w:before="80"/>
            </w:pPr>
            <w:r>
              <w:rPr>
                <w:b w:val="0"/>
                <w:sz w:val="20"/>
              </w:rPr>
              <w:t>δd &lt; 0 for the near-normal real-source geometry.</w:t>
            </w:r>
          </w:p>
        </w:tc>
      </w:tr>
      <w:tr>
        <w:trPr>
          <w:cantSplit/>
        </w:trPr>
        <w:tc>
          <w:tcPr>
            <w:tcW w:type="dxa" w:w="4392"/>
          </w:tcPr>
          <w:p>
            <w:pPr>
              <w:spacing w:after="100" w:before="80"/>
            </w:pPr>
            <w:r>
              <w:rPr>
                <w:b w:val="0"/>
                <w:sz w:val="20"/>
              </w:rPr>
              <w:t>Transmitted point versus that point without a parallel slab</w:t>
            </w:r>
          </w:p>
        </w:tc>
        <w:tc>
          <w:tcPr>
            <w:tcW w:type="dxa" w:w="5688"/>
          </w:tcPr>
          <w:p>
            <w:pPr>
              <w:spacing w:after="100" w:before="80"/>
            </w:pPr>
            <w:r>
              <w:rPr>
                <w:b w:val="0"/>
                <w:sz w:val="20"/>
              </w:rPr>
              <w:t>δd &gt; 0 near normal incidence, n &gt; 1.</w:t>
            </w:r>
          </w:p>
        </w:tc>
      </w:tr>
      <w:tr>
        <w:trPr>
          <w:cantSplit/>
        </w:trPr>
        <w:tc>
          <w:tcPr>
            <w:tcW w:type="dxa" w:w="4392"/>
          </w:tcPr>
          <w:p>
            <w:pPr>
              <w:spacing w:after="100" w:before="80"/>
            </w:pPr>
            <w:r>
              <w:rPr>
                <w:b w:val="0"/>
                <w:sz w:val="20"/>
              </w:rPr>
              <w:t>Transmitted point versus front of the slab</w:t>
            </w:r>
          </w:p>
        </w:tc>
        <w:tc>
          <w:tcPr>
            <w:tcW w:type="dxa" w:w="5688"/>
          </w:tcPr>
          <w:p>
            <w:pPr>
              <w:spacing w:after="100" w:before="80"/>
            </w:pPr>
            <w:r>
              <w:rPr>
                <w:b w:val="0"/>
                <w:sz w:val="20"/>
              </w:rPr>
              <w:t>Usually δd &lt; 0 when the apparent point remains behind the front interface.</w:t>
            </w:r>
          </w:p>
        </w:tc>
      </w:tr>
      <w:tr>
        <w:trPr>
          <w:cantSplit/>
        </w:trPr>
        <w:tc>
          <w:tcPr>
            <w:tcW w:type="dxa" w:w="4392"/>
          </w:tcPr>
          <w:p>
            <w:pPr>
              <w:spacing w:after="100" w:before="80"/>
            </w:pPr>
            <w:r>
              <w:rPr>
                <w:b w:val="0"/>
                <w:sz w:val="20"/>
              </w:rPr>
              <w:t>Concave reflection versus reflector</w:t>
            </w:r>
          </w:p>
        </w:tc>
        <w:tc>
          <w:tcPr>
            <w:tcW w:type="dxa" w:w="5688"/>
          </w:tcPr>
          <w:p>
            <w:pPr>
              <w:spacing w:after="100" w:before="80"/>
            </w:pPr>
            <w:r>
              <w:rPr>
                <w:b w:val="0"/>
                <w:sz w:val="20"/>
              </w:rPr>
              <w:t>Either sign, depending on L, curvature and camera position.</w:t>
            </w:r>
          </w:p>
        </w:tc>
      </w:tr>
      <w:tr>
        <w:trPr>
          <w:cantSplit/>
        </w:trPr>
        <w:tc>
          <w:tcPr>
            <w:tcW w:type="dxa" w:w="4392"/>
          </w:tcPr>
          <w:p>
            <w:pPr>
              <w:spacing w:after="100" w:before="80"/>
            </w:pPr>
            <w:r>
              <w:rPr>
                <w:b w:val="0"/>
                <w:sz w:val="20"/>
              </w:rPr>
              <w:t>Photograph-to-render displacement in one eye</w:t>
            </w:r>
          </w:p>
        </w:tc>
        <w:tc>
          <w:tcPr>
            <w:tcW w:type="dxa" w:w="5688"/>
          </w:tcPr>
          <w:p>
            <w:pPr>
              <w:spacing w:after="100" w:before="80"/>
            </w:pPr>
            <w:r>
              <w:rPr>
                <w:b w:val="0"/>
                <w:sz w:val="20"/>
              </w:rPr>
              <w:t>No unique reflection or refraction interpretation.</w:t>
            </w:r>
          </w:p>
        </w:tc>
      </w:tr>
    </w:tbl>
    <w:p>
      <w:pPr>
        <w:pStyle w:val="BodyText"/>
      </w:pPr>
      <w:r>
        <w:t>For the illustrative 252 mm object depth and a 2 mm slab with n = 1.5, the apparent-depth reduction is 0.667 mm, but the intra-rig disparity increase is only 0.190 px. A several-pixel displacement of a ray in a single oblique photograph is a different quantity from the difference between the two eyes’ ray displacements. This distinction matters when comparing a plate calculation to the measured patch offsets.</w:t>
      </w:r>
    </w:p>
    <w:p>
      <w:pPr>
        <w:pStyle w:val="BodyText"/>
      </w:pPr>
      <w:r>
        <w:t>Outside the paraxial slab case, tilted or curved interfaces, a wedge, multiple interfaces, source reflections from both faces, and noncentral refractive imaging change the interpretation. Agrawal and colleagues derive the geometry of multilayer flat refraction as an axial camera rather than an ordinary central pinhole model. Calibrated pinhole disparity is then an apparent-depth construction, not necessarily a consistent Euclidean point.</w:t>
      </w:r>
      <w:r>
        <w:rPr>
          <w:vertAlign w:val="superscript"/>
        </w:rPr>
        <w:footnoteReference w:id="5"/>
      </w:r>
    </w:p>
    <w:p>
      <w:pPr>
        <w:pStyle w:val="Heading2"/>
      </w:pPr>
      <w:r>
        <w:t>The observable needed from the render</w:t>
      </w:r>
    </w:p>
    <w:p>
      <w:pPr>
        <w:pStyle w:val="BodyText"/>
      </w:pPr>
      <w:r>
        <w:t>Define eL = xrender,L − xphoto,L and eR analogously for the same identifiable feature in both eyes. Then drender − dphoto = eL − eR. Equal signed offsets in both eyes cancel in disparity. Opposite offsets reinforce it. Rectification, differing focal lengths and principal points must be handled before subtraction. Use a local surface supported by matte features, known geometry or an independently checked surface fit as the reference; using the suspect GS depth makes the test circular.</w:t>
      </w:r>
    </w:p>
    <w:p>
      <w:pPr>
        <w:pStyle w:val="Heading1"/>
        <w:pageBreakBefore/>
      </w:pPr>
      <w:r>
        <w:t>4 Gaussian optimization and geometric evidence</w:t>
      </w:r>
    </w:p>
    <w:p>
      <w:pPr>
        <w:pStyle w:val="BodyText"/>
      </w:pPr>
      <w:r>
        <w:t>In vanilla 3DGS, each Gaussian has a fixed center, covariance and opacity; spherical harmonics modulate its color with viewing direction. The composited image sums these colors with depth-ordered alpha weights. Position gradients and densification are driven by image error, so appearance errors can influence geometry as well as color.</w:t>
      </w:r>
      <w:r>
        <w:rPr>
          <w:vertAlign w:val="superscript"/>
        </w:rPr>
        <w:footnoteReference w:id="6"/>
      </w:r>
    </w:p>
    <w:p>
      <w:pPr>
        <w:pStyle w:val="BodyText"/>
      </w:pPr>
      <w:r>
        <w:t>Fixed centers do not make moving highlights impossible. Different surface Gaussians can brighten and dim as the camera moves, producing a moving image feature without any Gaussian moving. The relevant limitations are directional bandwidth, spatial sampling, optimization and ambiguous supervision. Degree-3 SH supplies 16 basis functions per color channel; a sharp reflection can demand a much narrower angular response.</w:t>
      </w:r>
    </w:p>
    <w:p>
      <w:pPr>
        <w:pStyle w:val="BodyText"/>
      </w:pPr>
      <w:r>
        <w:t>Several solutions are therefore possible: retain physical surface geometry and vary color; create a virtual reflecting layer; distribute Gaussians over nearby depths; duplicate structures used by different view subsets; or alter footprint and opacity to blend incompatible signals. A planar mirror admits a genuinely fixed virtual scene. A curved reflector generally admits only a local approximation to one. None of these possibilities predicts a universal fixed pixel offset or guarantees exactly two residual modes.</w:t>
      </w:r>
    </w:p>
    <w:tbl>
      <w:tblPr>
        <w:tblW w:type="auto" w:w="0"/>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2059"/>
        <w:gridCol w:w="4205"/>
        <w:gridCol w:w="3816"/>
      </w:tblGrid>
      <w:tr>
        <w:trPr>
          <w:cantSplit/>
          <w:tblHeader/>
        </w:trPr>
        <w:tc>
          <w:tcPr>
            <w:tcW w:type="dxa" w:w="2059"/>
            <w:shd w:fill="ECECEC"/>
          </w:tcPr>
          <w:p>
            <w:pPr>
              <w:spacing w:after="100" w:before="80"/>
            </w:pPr>
            <w:r>
              <w:rPr>
                <w:b/>
                <w:sz w:val="20"/>
              </w:rPr>
              <w:t>Paper</w:t>
            </w:r>
          </w:p>
        </w:tc>
        <w:tc>
          <w:tcPr>
            <w:tcW w:type="dxa" w:w="4205"/>
            <w:shd w:fill="ECECEC"/>
          </w:tcPr>
          <w:p>
            <w:pPr>
              <w:spacing w:after="100" w:before="80"/>
            </w:pPr>
            <w:r>
              <w:rPr>
                <w:b/>
                <w:sz w:val="20"/>
              </w:rPr>
              <w:t>Evidence actually reported</w:t>
            </w:r>
          </w:p>
        </w:tc>
        <w:tc>
          <w:tcPr>
            <w:tcW w:type="dxa" w:w="3816"/>
            <w:shd w:fill="ECECEC"/>
          </w:tcPr>
          <w:p>
            <w:pPr>
              <w:spacing w:after="100" w:before="80"/>
            </w:pPr>
            <w:r>
              <w:rPr>
                <w:b/>
                <w:sz w:val="20"/>
              </w:rPr>
              <w:t>What it does not establish</w:t>
            </w:r>
          </w:p>
        </w:tc>
      </w:tr>
      <w:tr>
        <w:trPr>
          <w:cantSplit/>
        </w:trPr>
        <w:tc>
          <w:tcPr>
            <w:tcW w:type="dxa" w:w="2059"/>
          </w:tcPr>
          <w:p>
            <w:pPr>
              <w:spacing w:after="100" w:before="80"/>
            </w:pPr>
            <w:r>
              <w:rPr>
                <w:b w:val="0"/>
                <w:sz w:val="20"/>
              </w:rPr>
              <w:t>GaussianShader</w:t>
            </w:r>
          </w:p>
        </w:tc>
        <w:tc>
          <w:tcPr>
            <w:tcW w:type="dxa" w:w="4205"/>
          </w:tcPr>
          <w:p>
            <w:pPr>
              <w:spacing w:after="100" w:before="80"/>
            </w:pPr>
            <w:r>
              <w:rPr>
                <w:b w:val="0"/>
                <w:sz w:val="20"/>
              </w:rPr>
              <w:t>Shiny Blender PSNR 30.37 for 3DGS versus 31.94; normal visualizations and shading/normal ablations.</w:t>
            </w:r>
          </w:p>
        </w:tc>
        <w:tc>
          <w:tcPr>
            <w:tcW w:type="dxa" w:w="3816"/>
          </w:tcPr>
          <w:p>
            <w:pPr>
              <w:spacing w:after="100" w:before="80"/>
            </w:pPr>
            <w:r>
              <w:rPr>
                <w:b w:val="0"/>
                <w:sz w:val="20"/>
              </w:rPr>
              <w:t>No isolated specular-floater count or signed depth-error distribution.</w:t>
            </w:r>
          </w:p>
        </w:tc>
      </w:tr>
      <w:tr>
        <w:trPr>
          <w:cantSplit/>
        </w:trPr>
        <w:tc>
          <w:tcPr>
            <w:tcW w:type="dxa" w:w="2059"/>
          </w:tcPr>
          <w:p>
            <w:pPr>
              <w:spacing w:after="100" w:before="80"/>
            </w:pPr>
            <w:r>
              <w:rPr>
                <w:b w:val="0"/>
                <w:sz w:val="20"/>
              </w:rPr>
              <w:t>Relightable 3D Gaussians</w:t>
            </w:r>
          </w:p>
        </w:tc>
        <w:tc>
          <w:tcPr>
            <w:tcW w:type="dxa" w:w="4205"/>
          </w:tcPr>
          <w:p>
            <w:pPr>
              <w:spacing w:after="100" w:before="80"/>
            </w:pPr>
            <w:r>
              <w:rPr>
                <w:b w:val="0"/>
                <w:sz w:val="20"/>
              </w:rPr>
              <w:t>Depth-variance regularizer; Fig. 7 visualizes uncertainty and ambient-occlusion changes with its ablation.</w:t>
            </w:r>
          </w:p>
        </w:tc>
        <w:tc>
          <w:tcPr>
            <w:tcW w:type="dxa" w:w="3816"/>
          </w:tcPr>
          <w:p>
            <w:pPr>
              <w:spacing w:after="100" w:before="80"/>
            </w:pPr>
            <w:r>
              <w:rPr>
                <w:b w:val="0"/>
                <w:sz w:val="20"/>
              </w:rPr>
              <w:t>Reduced depth spread does not prove the remaining layer is at the physical surface.</w:t>
            </w:r>
          </w:p>
        </w:tc>
      </w:tr>
      <w:tr>
        <w:trPr>
          <w:cantSplit/>
        </w:trPr>
        <w:tc>
          <w:tcPr>
            <w:tcW w:type="dxa" w:w="2059"/>
          </w:tcPr>
          <w:p>
            <w:pPr>
              <w:spacing w:after="100" w:before="80"/>
            </w:pPr>
            <w:r>
              <w:rPr>
                <w:b w:val="0"/>
                <w:sz w:val="20"/>
              </w:rPr>
              <w:t>3DGS-DR</w:t>
            </w:r>
          </w:p>
        </w:tc>
        <w:tc>
          <w:tcPr>
            <w:tcW w:type="dxa" w:w="4205"/>
          </w:tcPr>
          <w:p>
            <w:pPr>
              <w:spacing w:after="100" w:before="80"/>
            </w:pPr>
            <w:r>
              <w:rPr>
                <w:b w:val="0"/>
                <w:sz w:val="20"/>
              </w:rPr>
              <w:t>Table 2 normal MAE: 22.31° for GaussianShader versus 4.871°. Table 4 ball count: 199k vanilla, 76.4k forward, 27.2k deferred.</w:t>
            </w:r>
          </w:p>
        </w:tc>
        <w:tc>
          <w:tcPr>
            <w:tcW w:type="dxa" w:w="3816"/>
          </w:tcPr>
          <w:p>
            <w:pPr>
              <w:spacing w:after="100" w:before="80"/>
            </w:pPr>
            <w:r>
              <w:rPr>
                <w:b w:val="0"/>
                <w:sz w:val="20"/>
              </w:rPr>
              <w:t>Total Gaussian count is not a count of specular floaters; normal error is not signed surface-depth error.</w:t>
            </w:r>
          </w:p>
        </w:tc>
      </w:tr>
      <w:tr>
        <w:trPr>
          <w:cantSplit/>
        </w:trPr>
        <w:tc>
          <w:tcPr>
            <w:tcW w:type="dxa" w:w="2059"/>
          </w:tcPr>
          <w:p>
            <w:pPr>
              <w:spacing w:after="100" w:before="80"/>
            </w:pPr>
            <w:r>
              <w:rPr>
                <w:b w:val="0"/>
                <w:sz w:val="20"/>
              </w:rPr>
              <w:t>Mirror-3DGS</w:t>
            </w:r>
          </w:p>
        </w:tc>
        <w:tc>
          <w:tcPr>
            <w:tcW w:type="dxa" w:w="4205"/>
          </w:tcPr>
          <w:p>
            <w:pPr>
              <w:spacing w:after="100" w:before="80"/>
            </w:pPr>
            <w:r>
              <w:rPr>
                <w:b w:val="0"/>
                <w:sz w:val="20"/>
              </w:rPr>
              <w:t>Visual depth comparison and explanation of virtual geometry behind mirrors; quantitative image metrics.</w:t>
            </w:r>
          </w:p>
        </w:tc>
        <w:tc>
          <w:tcPr>
            <w:tcW w:type="dxa" w:w="3816"/>
          </w:tcPr>
          <w:p>
            <w:pPr>
              <w:spacing w:after="100" w:before="80"/>
            </w:pPr>
            <w:r>
              <w:rPr>
                <w:b w:val="0"/>
                <w:sz w:val="20"/>
              </w:rPr>
              <w:t>No controlled histogram of floater depth or stereo-rig bimodal residuals.</w:t>
            </w:r>
          </w:p>
        </w:tc>
      </w:tr>
    </w:tbl>
    <w:p>
      <w:pPr>
        <w:pStyle w:val="BodyText"/>
      </w:pPr>
      <w:r>
        <w:t>The comparisons and qualifications above refer to the cited versions and their figures or tables. They support a connection between appearance modeling and geometry, with different strengths of evidence. They do not measure which of compromise depth, duplication or opacity inflation dominates this coin reconstruction.</w:t>
      </w:r>
      <w:r>
        <w:rPr>
          <w:vertAlign w:val="superscript"/>
        </w:rPr>
        <w:footnoteReference w:id="7"/>
      </w:r>
    </w:p>
    <w:p>
      <w:pPr>
        <w:pStyle w:val="Heading1"/>
        <w:pageBreakBefore/>
      </w:pPr>
      <w:r>
        <w:t>5 More direct ablations and transport models</w:t>
      </w:r>
    </w:p>
    <w:p>
      <w:pPr>
        <w:pStyle w:val="BodyText"/>
      </w:pPr>
      <w:r>
        <w:t>Spec-Gaussian separates its ASG appearance contribution from coarse-to-fine training. Its Fig. 8 and Table 11 ablate the latter: full-model LPIPS is 0.176 with 3.10 million Gaussians, versus 0.203 with 3.56 million without coarse-to-fine training on Mip-NeRF 360. Its discussion primarily connects outdoor floaters to initialization and overfitting; it does not isolate specular floaters as the cause of those counts.</w:t>
      </w:r>
      <w:r>
        <w:rPr>
          <w:vertAlign w:val="superscript"/>
        </w:rPr>
        <w:footnoteReference w:id="8"/>
      </w:r>
    </w:p>
    <w:p>
      <w:pPr>
        <w:pStyle w:val="BodyText"/>
      </w:pPr>
      <w:r>
        <w:t>RT-Splatting, a May 2026 preprint, separates geometric occupancy from optical opacity and combines deferred reflection with forward transmission. It gates transmission-branch gradients using local variance of predicted specular color. Disabling that gate produces transmission artifacts in Fig. 5 and reduces transparent-region PSNR from 37.983 to 37.754 in Table 3. This is a controlled mechanism ablation, but the reported scalar is image quality, not floater depth. It assumes thin surfaces, neglects refraction and multiple bounces, and uses transparent-region masks.</w:t>
      </w:r>
      <w:r>
        <w:rPr>
          <w:vertAlign w:val="superscript"/>
        </w:rPr>
        <w:footnoteReference w:id="9"/>
      </w:r>
    </w:p>
    <w:p>
      <w:pPr>
        <w:pStyle w:val="Heading2"/>
      </w:pPr>
      <w:r>
        <w:t>Lighting requirements and applicability</w:t>
      </w:r>
    </w:p>
    <w:tbl>
      <w:tblPr>
        <w:tblW w:type="auto" w:w="0"/>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2347"/>
        <w:gridCol w:w="3168"/>
        <w:gridCol w:w="4565"/>
      </w:tblGrid>
      <w:tr>
        <w:trPr>
          <w:cantSplit/>
          <w:tblHeader/>
        </w:trPr>
        <w:tc>
          <w:tcPr>
            <w:tcW w:type="dxa" w:w="2347"/>
            <w:shd w:fill="ECECEC"/>
          </w:tcPr>
          <w:p>
            <w:pPr>
              <w:spacing w:after="100" w:before="80"/>
            </w:pPr>
            <w:r>
              <w:rPr>
                <w:b/>
                <w:sz w:val="20"/>
              </w:rPr>
              <w:t>Method</w:t>
            </w:r>
          </w:p>
        </w:tc>
        <w:tc>
          <w:tcPr>
            <w:tcW w:type="dxa" w:w="3168"/>
            <w:shd w:fill="ECECEC"/>
          </w:tcPr>
          <w:p>
            <w:pPr>
              <w:spacing w:after="100" w:before="80"/>
            </w:pPr>
            <w:r>
              <w:rPr>
                <w:b/>
                <w:sz w:val="20"/>
              </w:rPr>
              <w:t>Known capture lighting required</w:t>
            </w:r>
          </w:p>
        </w:tc>
        <w:tc>
          <w:tcPr>
            <w:tcW w:type="dxa" w:w="4565"/>
            <w:shd w:fill="ECECEC"/>
          </w:tcPr>
          <w:p>
            <w:pPr>
              <w:spacing w:after="100" w:before="80"/>
            </w:pPr>
            <w:r>
              <w:rPr>
                <w:b/>
                <w:sz w:val="20"/>
              </w:rPr>
              <w:t>Relevant limitation</w:t>
            </w:r>
          </w:p>
        </w:tc>
      </w:tr>
      <w:tr>
        <w:trPr>
          <w:cantSplit/>
        </w:trPr>
        <w:tc>
          <w:tcPr>
            <w:tcW w:type="dxa" w:w="2347"/>
          </w:tcPr>
          <w:p>
            <w:pPr>
              <w:spacing w:after="100" w:before="80"/>
            </w:pPr>
            <w:r>
              <w:rPr>
                <w:b w:val="0"/>
                <w:sz w:val="20"/>
              </w:rPr>
              <w:t>GaussianShader</w:t>
            </w:r>
          </w:p>
        </w:tc>
        <w:tc>
          <w:tcPr>
            <w:tcW w:type="dxa" w:w="3168"/>
          </w:tcPr>
          <w:p>
            <w:pPr>
              <w:spacing w:after="100" w:before="80"/>
            </w:pPr>
            <w:r>
              <w:rPr>
                <w:b w:val="0"/>
                <w:sz w:val="20"/>
              </w:rPr>
              <w:t>No; learns an environment map.</w:t>
            </w:r>
          </w:p>
        </w:tc>
        <w:tc>
          <w:tcPr>
            <w:tcW w:type="dxa" w:w="4565"/>
          </w:tcPr>
          <w:p>
            <w:pPr>
              <w:spacing w:after="100" w:before="80"/>
            </w:pPr>
            <w:r>
              <w:rPr>
                <w:b w:val="0"/>
                <w:sz w:val="20"/>
              </w:rPr>
              <w:t>Surface shading; finite-distance reflected detail is not a full local scene transport model.</w:t>
            </w:r>
          </w:p>
        </w:tc>
      </w:tr>
      <w:tr>
        <w:trPr>
          <w:cantSplit/>
        </w:trPr>
        <w:tc>
          <w:tcPr>
            <w:tcW w:type="dxa" w:w="2347"/>
          </w:tcPr>
          <w:p>
            <w:pPr>
              <w:spacing w:after="100" w:before="80"/>
            </w:pPr>
            <w:r>
              <w:rPr>
                <w:b w:val="0"/>
                <w:sz w:val="20"/>
              </w:rPr>
              <w:t>Relightable 3D Gaussians</w:t>
            </w:r>
          </w:p>
        </w:tc>
        <w:tc>
          <w:tcPr>
            <w:tcW w:type="dxa" w:w="3168"/>
          </w:tcPr>
          <w:p>
            <w:pPr>
              <w:spacing w:after="100" w:before="80"/>
            </w:pPr>
            <w:r>
              <w:rPr>
                <w:b w:val="0"/>
                <w:sz w:val="20"/>
              </w:rPr>
              <w:t>No; learns shared direct lighting and per-Gaussian indirect terms.</w:t>
            </w:r>
          </w:p>
        </w:tc>
        <w:tc>
          <w:tcPr>
            <w:tcW w:type="dxa" w:w="4565"/>
          </w:tcPr>
          <w:p>
            <w:pPr>
              <w:spacing w:after="100" w:before="80"/>
            </w:pPr>
            <w:r>
              <w:rPr>
                <w:b w:val="0"/>
                <w:sz w:val="20"/>
              </w:rPr>
              <w:t>Targets opaque surface recovery; mask opacity and depth concentration require care on clear cases.</w:t>
            </w:r>
          </w:p>
        </w:tc>
      </w:tr>
      <w:tr>
        <w:trPr>
          <w:cantSplit/>
        </w:trPr>
        <w:tc>
          <w:tcPr>
            <w:tcW w:type="dxa" w:w="2347"/>
          </w:tcPr>
          <w:p>
            <w:pPr>
              <w:spacing w:after="100" w:before="80"/>
            </w:pPr>
            <w:r>
              <w:rPr>
                <w:b w:val="0"/>
                <w:sz w:val="20"/>
              </w:rPr>
              <w:t>3DGS-DR</w:t>
            </w:r>
          </w:p>
        </w:tc>
        <w:tc>
          <w:tcPr>
            <w:tcW w:type="dxa" w:w="3168"/>
          </w:tcPr>
          <w:p>
            <w:pPr>
              <w:spacing w:after="100" w:before="80"/>
            </w:pPr>
            <w:r>
              <w:rPr>
                <w:b w:val="0"/>
                <w:sz w:val="20"/>
              </w:rPr>
              <w:t>No; optimizes reflection environment and surface attributes.</w:t>
            </w:r>
          </w:p>
        </w:tc>
        <w:tc>
          <w:tcPr>
            <w:tcW w:type="dxa" w:w="4565"/>
          </w:tcPr>
          <w:p>
            <w:pPr>
              <w:spacing w:after="100" w:before="80"/>
            </w:pPr>
            <w:r>
              <w:rPr>
                <w:b w:val="0"/>
                <w:sz w:val="20"/>
              </w:rPr>
              <w:t>Deferred reflection is not transmission or refractive ray tracing.</w:t>
            </w:r>
          </w:p>
        </w:tc>
      </w:tr>
      <w:tr>
        <w:trPr>
          <w:cantSplit/>
        </w:trPr>
        <w:tc>
          <w:tcPr>
            <w:tcW w:type="dxa" w:w="2347"/>
          </w:tcPr>
          <w:p>
            <w:pPr>
              <w:spacing w:after="100" w:before="80"/>
            </w:pPr>
            <w:r>
              <w:rPr>
                <w:b w:val="0"/>
                <w:sz w:val="20"/>
              </w:rPr>
              <w:t>Mirror-3DGS</w:t>
            </w:r>
          </w:p>
        </w:tc>
        <w:tc>
          <w:tcPr>
            <w:tcW w:type="dxa" w:w="3168"/>
          </w:tcPr>
          <w:p>
            <w:pPr>
              <w:spacing w:after="100" w:before="80"/>
            </w:pPr>
            <w:r>
              <w:rPr>
                <w:b w:val="0"/>
                <w:sz w:val="20"/>
              </w:rPr>
              <w:t>No; renders the reconstructed scene using mirrored cameras.</w:t>
            </w:r>
          </w:p>
        </w:tc>
        <w:tc>
          <w:tcPr>
            <w:tcW w:type="dxa" w:w="4565"/>
          </w:tcPr>
          <w:p>
            <w:pPr>
              <w:spacing w:after="100" w:before="80"/>
            </w:pPr>
            <w:r>
              <w:rPr>
                <w:b w:val="0"/>
                <w:sz w:val="20"/>
              </w:rPr>
              <w:t>Planar mirrors; requires mirror masks and geometry priors. Not curved metallic relief.</w:t>
            </w:r>
          </w:p>
        </w:tc>
      </w:tr>
      <w:tr>
        <w:trPr>
          <w:cantSplit/>
        </w:trPr>
        <w:tc>
          <w:tcPr>
            <w:tcW w:type="dxa" w:w="2347"/>
          </w:tcPr>
          <w:p>
            <w:pPr>
              <w:spacing w:after="100" w:before="80"/>
            </w:pPr>
            <w:r>
              <w:rPr>
                <w:b w:val="0"/>
                <w:sz w:val="20"/>
              </w:rPr>
              <w:t>RT-Splatting</w:t>
            </w:r>
          </w:p>
        </w:tc>
        <w:tc>
          <w:tcPr>
            <w:tcW w:type="dxa" w:w="3168"/>
          </w:tcPr>
          <w:p>
            <w:pPr>
              <w:spacing w:after="100" w:before="80"/>
            </w:pPr>
            <w:r>
              <w:rPr>
                <w:b w:val="0"/>
                <w:sz w:val="20"/>
              </w:rPr>
              <w:t>No supplied light map; learns a shading network.</w:t>
            </w:r>
          </w:p>
        </w:tc>
        <w:tc>
          <w:tcPr>
            <w:tcW w:type="dxa" w:w="4565"/>
          </w:tcPr>
          <w:p>
            <w:pPr>
              <w:spacing w:after="100" w:before="80"/>
            </w:pPr>
            <w:r>
              <w:rPr>
                <w:b w:val="0"/>
                <w:sz w:val="20"/>
              </w:rPr>
              <w:t>Joint reflection/transmission, but straight-path transmission and transparent masks.</w:t>
            </w:r>
          </w:p>
        </w:tc>
      </w:tr>
      <w:tr>
        <w:trPr>
          <w:cantSplit/>
        </w:trPr>
        <w:tc>
          <w:tcPr>
            <w:tcW w:type="dxa" w:w="2347"/>
          </w:tcPr>
          <w:p>
            <w:pPr>
              <w:spacing w:after="100" w:before="80"/>
            </w:pPr>
            <w:r>
              <w:rPr>
                <w:b w:val="0"/>
                <w:sz w:val="20"/>
              </w:rPr>
              <w:t>Neural Point Catacaustics</w:t>
            </w:r>
          </w:p>
        </w:tc>
        <w:tc>
          <w:tcPr>
            <w:tcW w:type="dxa" w:w="3168"/>
          </w:tcPr>
          <w:p>
            <w:pPr>
              <w:spacing w:after="100" w:before="80"/>
            </w:pPr>
            <w:r>
              <w:rPr>
                <w:b w:val="0"/>
                <w:sz w:val="20"/>
              </w:rPr>
              <w:t>No; learns reflected appearance and a warp field.</w:t>
            </w:r>
          </w:p>
        </w:tc>
        <w:tc>
          <w:tcPr>
            <w:tcW w:type="dxa" w:w="4565"/>
          </w:tcPr>
          <w:p>
            <w:pPr>
              <w:spacing w:after="100" w:before="80"/>
            </w:pPr>
            <w:r>
              <w:rPr>
                <w:b w:val="0"/>
                <w:sz w:val="20"/>
              </w:rPr>
              <w:t>Point-based precursor, not 3DGS. Requires reflector annotation and learns appearance geometry.</w:t>
            </w:r>
          </w:p>
        </w:tc>
      </w:tr>
    </w:tbl>
    <w:p>
      <w:pPr>
        <w:pStyle w:val="BodyText"/>
      </w:pPr>
      <w:r>
        <w:t>Neural Point Catacaustics explicitly maintains a primary cloud and a reflection cloud whose points move with viewpoint through a learned warp. It is a closer representational answer to curved reflected image trajectories than merely increasing SH degree. Its authors also show that image-equivalent reflection point trajectories need not be unique; a good reflection renderer does not automatically recover metrically true transport geometry.</w:t>
      </w:r>
      <w:r>
        <w:rPr>
          <w:vertAlign w:val="superscript"/>
        </w:rPr>
        <w:footnoteReference w:id="10"/>
      </w:r>
    </w:p>
    <w:p>
      <w:pPr>
        <w:pStyle w:val="BodyText"/>
      </w:pPr>
      <w:r>
        <w:t>For this capture, choosing between these models should follow a measured distinction: metallic reflection on the coins, mixed reflection/transmission in the cover, or genuinely refracted background features. An opaque reflection model applied indiscriminately to the case can suppress the coin behind it. A model that assumes straight transmission cannot explain a measurable refractive residual by construction.</w:t>
      </w:r>
    </w:p>
    <w:p>
      <w:pPr>
        <w:pStyle w:val="Heading1"/>
        <w:pageBreakBefore/>
      </w:pPr>
      <w:r>
        <w:t>6 Automatic masking and robust training</w:t>
      </w:r>
    </w:p>
    <w:p>
      <w:pPr>
        <w:pStyle w:val="Heading2"/>
      </w:pPr>
      <w:r>
        <w:t>Masks from the completed images</w:t>
      </w:r>
    </w:p>
    <w:p>
      <w:pPr>
        <w:pStyle w:val="BodyText"/>
      </w:pPr>
      <w:r>
        <w:t>Brelstaff and Blake’s detector is not a top-percentile brightness mask. It combines a Retinex-based brightness constraint and a “cylinder” constraint on shading-peak sharpness, then propagates evidence. The tests seek violations of approximate Lambertian behavior in a single image. Their achromatic formulation can help where color separation fails, but its assumptions are poor guarantees for engraved metal, texture edges and dim structured reflections.</w:t>
      </w:r>
      <w:r>
        <w:rPr>
          <w:vertAlign w:val="superscript"/>
        </w:rPr>
        <w:footnoteReference w:id="11"/>
      </w:r>
    </w:p>
    <w:p>
      <w:pPr>
        <w:pStyle w:val="BodyText"/>
      </w:pPr>
      <w:r>
        <w:t>Li and colleagues detect candidate specular pixels using a multibaseline depth-cost uncertainty measure, treat them as occlusions, and combine flexible windows with adaptive view selection. Their full paper includes an 11-image synthetic test with 3.125 mm consecutive baselines and real translated-camera sequences. That is relevant evidence for small-baseline multiview processing; it is not a guarantee from one stereo pair. A stable virtual reflection may itself have a sharp, low-cost match.</w:t>
      </w:r>
      <w:r>
        <w:rPr>
          <w:vertAlign w:val="superscript"/>
        </w:rPr>
        <w:footnoteReference w:id="12"/>
      </w:r>
    </w:p>
    <w:p>
      <w:pPr>
        <w:pStyle w:val="BodyText"/>
      </w:pPr>
      <w:r>
        <w:t>Bhat and Nayar analyze how stereo vergence and surface roughness affect matching reliability. Their result explains why no universal small-baseline threshold makes specular matching safe. For the existing capture, multiple suitable view pairs provide alternatives when one pair has incompatible reflected intensities; the usable pairs depend on local material and geometry.</w:t>
      </w:r>
      <w:r>
        <w:rPr>
          <w:vertAlign w:val="superscript"/>
        </w:rPr>
        <w:footnoteReference w:id="13"/>
      </w:r>
    </w:p>
    <w:p>
      <w:pPr>
        <w:pStyle w:val="BodyText"/>
      </w:pPr>
      <w:r>
        <w:t>A practical adaptation is to warp nearby views through a trusted local surface, estimate a robust reference appearance only from visible samples, and mark persistent photometric violations or distinct competing disparities. Retain both peaks when reflection and body texture overlap. Exclude occlusion boundaries and low-confidence texture before assigning a material label. These are proposed tests for this capture, not a validated universal specularity detector.</w:t>
      </w:r>
    </w:p>
    <w:p>
      <w:pPr>
        <w:pStyle w:val="Heading2"/>
      </w:pPr>
      <w:r>
        <w:t>Robust loss must also protect optimization</w:t>
      </w:r>
    </w:p>
    <w:p>
      <w:pPr>
        <w:pStyle w:val="BodyText"/>
      </w:pPr>
      <w:r>
        <w:t>SpotLessSplats studies robust GS masking and identifies failures from premature masks, whole-image minibatches and densification. It uses scheduled mask introduction and a running residual distribution across batches; its learned variants add pretrained image features. The benchmarks concern distractors rather than this metallic second layer, so using it here is a transfer hypothesis, not a demonstrated cure.</w:t>
      </w:r>
      <w:r>
        <w:rPr>
          <w:vertAlign w:val="superscript"/>
        </w:rPr>
        <w:footnoteReference w:id="14"/>
      </w:r>
    </w:p>
    <w:p>
      <w:pPr>
        <w:pStyle w:val="BodyText"/>
      </w:pPr>
      <w:r>
        <w:t>Vanilla L1 already bounds the influence of a large scalar residual compared with L2, but does not eliminate it. Huber also retains nonzero tail influence. A trimmed or redescending loss can suppress large inconsistent residuals; it can equally suppress unlearned coin relief if applied too early. Warm up, preserve a minimum number of observations for each surface neighborhood, and recompute confidence as the model improves. A population occupying a minority of image patches can still dominate every observation of one surface region.</w:t>
      </w:r>
    </w:p>
    <w:p>
      <w:pPr>
        <w:pStyle w:val="BodyText"/>
      </w:pPr>
      <w:r>
        <w:t>Apply exclusion to the photometric loss and its SSIM support, and ensure excluded residuals cannot drive densification. A loss mask means “ignore this observation”; painting a pixel black or supervising zero opacity means something different. For metallic reflections that must remain in the final appearance, prefer reducing their geometry gradients or routing them to a reflection branch. Full masking deliberately removes evidence needed to reproduce the gloss.</w:t>
      </w:r>
    </w:p>
    <w:p>
      <w:pPr>
        <w:pStyle w:val="Heading1"/>
        <w:pageBreakBefore/>
      </w:pPr>
      <w:r>
        <w:t>7 Baseline attribution and solve stage rejection</w:t>
      </w:r>
    </w:p>
    <w:p>
      <w:pPr>
        <w:pStyle w:val="BodyText"/>
      </w:pPr>
      <w:r>
        <w:t>Horizontal image motion is compatible with both a horizontal rig baseline and a largely horizontal capture arc. The arc’s total path length is not the baseline for a particular match: use the relative camera centers, rotations and transverse parallax for that pair. A single-image render residual has no unique baseline of origin.</w:t>
      </w:r>
    </w:p>
    <w:p>
      <w:pPr>
        <w:pStyle w:val="BodyText"/>
      </w:pPr>
      <w:r>
        <w:t>Okutomi and Kanade’s multiple-baseline stereo puts matching costs in inverse-depth coordinates so that different baselines can support the same depth hypothesis. That is the standard normalization relevant here. It is not a named statistic that automatically labels a residual “rig-caused” or “arc-caused.”</w:t>
      </w:r>
      <w:r>
        <w:rPr>
          <w:vertAlign w:val="superscript"/>
        </w:rPr>
        <w:footnoteReference w:id="15"/>
      </w:r>
    </w:p>
    <w:tbl>
      <w:tblPr>
        <w:tblW w:type="auto" w:w="0"/>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2160"/>
        <w:gridCol w:w="3672"/>
        <w:gridCol w:w="4248"/>
      </w:tblGrid>
      <w:tr>
        <w:trPr>
          <w:cantSplit/>
          <w:tblHeader/>
        </w:trPr>
        <w:tc>
          <w:tcPr>
            <w:tcW w:type="dxa" w:w="2160"/>
            <w:shd w:fill="ECECEC"/>
          </w:tcPr>
          <w:p>
            <w:pPr>
              <w:spacing w:after="100" w:before="80"/>
            </w:pPr>
            <w:r>
              <w:rPr>
                <w:b/>
                <w:sz w:val="20"/>
              </w:rPr>
              <w:t>Pair family</w:t>
            </w:r>
          </w:p>
        </w:tc>
        <w:tc>
          <w:tcPr>
            <w:tcW w:type="dxa" w:w="3672"/>
            <w:shd w:fill="ECECEC"/>
          </w:tcPr>
          <w:p>
            <w:pPr>
              <w:spacing w:after="100" w:before="80"/>
            </w:pPr>
            <w:r>
              <w:rPr>
                <w:b/>
                <w:sz w:val="20"/>
              </w:rPr>
              <w:t>Comparisons from the existing capture</w:t>
            </w:r>
          </w:p>
        </w:tc>
        <w:tc>
          <w:tcPr>
            <w:tcW w:type="dxa" w:w="4248"/>
            <w:shd w:fill="ECECEC"/>
          </w:tcPr>
          <w:p>
            <w:pPr>
              <w:spacing w:after="100" w:before="80"/>
            </w:pPr>
            <w:r>
              <w:rPr>
                <w:b/>
                <w:sz w:val="20"/>
              </w:rPr>
              <w:t>Diagnostic use</w:t>
            </w:r>
          </w:p>
        </w:tc>
      </w:tr>
      <w:tr>
        <w:trPr>
          <w:cantSplit/>
        </w:trPr>
        <w:tc>
          <w:tcPr>
            <w:tcW w:type="dxa" w:w="2160"/>
          </w:tcPr>
          <w:p>
            <w:pPr>
              <w:spacing w:after="100" w:before="80"/>
            </w:pPr>
            <w:r>
              <w:rPr>
                <w:b w:val="0"/>
                <w:sz w:val="20"/>
              </w:rPr>
              <w:t>Intra-rig</w:t>
            </w:r>
          </w:p>
        </w:tc>
        <w:tc>
          <w:tcPr>
            <w:tcW w:type="dxa" w:w="3672"/>
          </w:tcPr>
          <w:p>
            <w:pPr>
              <w:spacing w:after="100" w:before="80"/>
            </w:pPr>
            <w:r>
              <w:rPr>
                <w:b w:val="0"/>
                <w:sz w:val="20"/>
              </w:rPr>
              <w:t>Li ↔ Ri at each capture position i</w:t>
            </w:r>
          </w:p>
        </w:tc>
        <w:tc>
          <w:tcPr>
            <w:tcW w:type="dxa" w:w="4248"/>
          </w:tcPr>
          <w:p>
            <w:pPr>
              <w:spacing w:after="100" w:before="80"/>
            </w:pPr>
            <w:r>
              <w:rPr>
                <w:b w:val="0"/>
                <w:sz w:val="20"/>
              </w:rPr>
              <w:t>Short-baseline apparent depth; includes sensor-specific errors.</w:t>
            </w:r>
          </w:p>
        </w:tc>
      </w:tr>
      <w:tr>
        <w:trPr>
          <w:cantSplit/>
        </w:trPr>
        <w:tc>
          <w:tcPr>
            <w:tcW w:type="dxa" w:w="2160"/>
          </w:tcPr>
          <w:p>
            <w:pPr>
              <w:spacing w:after="100" w:before="80"/>
            </w:pPr>
            <w:r>
              <w:rPr>
                <w:b w:val="0"/>
                <w:sz w:val="20"/>
              </w:rPr>
              <w:t>Same-eye across arc</w:t>
            </w:r>
          </w:p>
        </w:tc>
        <w:tc>
          <w:tcPr>
            <w:tcW w:type="dxa" w:w="3672"/>
          </w:tcPr>
          <w:p>
            <w:pPr>
              <w:spacing w:after="100" w:before="80"/>
            </w:pPr>
            <w:r>
              <w:rPr>
                <w:b w:val="0"/>
                <w:sz w:val="20"/>
              </w:rPr>
              <w:t>Li ↔ Lj and Ri ↔ Rj</w:t>
            </w:r>
          </w:p>
        </w:tc>
        <w:tc>
          <w:tcPr>
            <w:tcW w:type="dxa" w:w="4248"/>
          </w:tcPr>
          <w:p>
            <w:pPr>
              <w:spacing w:after="100" w:before="80"/>
            </w:pPr>
            <w:r>
              <w:rPr>
                <w:b w:val="0"/>
                <w:sz w:val="20"/>
              </w:rPr>
              <w:t>Apparent depth over longer viewpoint changes without changing eye.</w:t>
            </w:r>
          </w:p>
        </w:tc>
      </w:tr>
      <w:tr>
        <w:trPr>
          <w:cantSplit/>
        </w:trPr>
        <w:tc>
          <w:tcPr>
            <w:tcW w:type="dxa" w:w="2160"/>
          </w:tcPr>
          <w:p>
            <w:pPr>
              <w:spacing w:after="100" w:before="80"/>
            </w:pPr>
            <w:r>
              <w:rPr>
                <w:b w:val="0"/>
                <w:sz w:val="20"/>
              </w:rPr>
              <w:t>Cross-eye across arc</w:t>
            </w:r>
          </w:p>
        </w:tc>
        <w:tc>
          <w:tcPr>
            <w:tcW w:type="dxa" w:w="3672"/>
          </w:tcPr>
          <w:p>
            <w:pPr>
              <w:spacing w:after="100" w:before="80"/>
            </w:pPr>
            <w:r>
              <w:rPr>
                <w:b w:val="0"/>
                <w:sz w:val="20"/>
              </w:rPr>
              <w:t>Li ↔ Rj and Ri ↔ Lj</w:t>
            </w:r>
          </w:p>
        </w:tc>
        <w:tc>
          <w:tcPr>
            <w:tcW w:type="dxa" w:w="4248"/>
          </w:tcPr>
          <w:p>
            <w:pPr>
              <w:spacing w:after="100" w:before="80"/>
            </w:pPr>
            <w:r>
              <w:rPr>
                <w:b w:val="0"/>
                <w:sz w:val="20"/>
              </w:rPr>
              <w:t>Checks whether the same 3D interpretation explains the full grid of cameras.</w:t>
            </w:r>
          </w:p>
        </w:tc>
      </w:tr>
    </w:tbl>
    <w:p>
      <w:pPr>
        <w:pStyle w:val="Heading2"/>
      </w:pPr>
      <w:r>
        <w:t>A discriminating statistic</w:t>
      </w:r>
    </w:p>
    <w:p>
      <w:pPr>
        <w:spacing w:after="160"/>
      </w:pPr>
      <m:oMath>
        <m:sSub>
          <m:e>
            <m:r>
              <m:t>ρ̂</m:t>
            </m:r>
          </m:e>
          <m:sub>
            <m:r>
              <m:t>ij</m:t>
            </m:r>
          </m:sub>
        </m:sSub>
        <m:r>
          <m:t> = </m:t>
        </m:r>
        <m:f>
          <m:num>
            <m:sSub>
              <m:e>
                <m:r>
                  <m:t>d</m:t>
                </m:r>
              </m:e>
              <m:sub>
                <m:r>
                  <m:t>ij</m:t>
                </m:r>
              </m:sub>
            </m:sSub>
          </m:num>
          <m:den>
            <m:r>
              <m:t>f</m:t>
            </m:r>
            <m:sSub>
              <m:e>
                <m:r>
                  <m:t>b</m:t>
                </m:r>
              </m:e>
              <m:sub>
                <m:r>
                  <m:t>ij</m:t>
                </m:r>
              </m:sub>
            </m:sSub>
          </m:den>
        </m:f>
        <m:r>
          <m:t>,    </m:t>
        </m:r>
        <m:sSub>
          <m:e>
            <m:r>
              <m:t>z</m:t>
            </m:r>
          </m:e>
          <m:sub>
            <m:r>
              <m:t>ρ</m:t>
            </m:r>
          </m:sub>
        </m:sSub>
        <m:r>
          <m:t> = </m:t>
        </m:r>
        <m:f>
          <m:num>
            <m:sSub>
              <m:e>
                <m:r>
                  <m:t>ρ̂</m:t>
                </m:r>
              </m:e>
              <m:sub>
                <m:r>
                  <m:t>rig</m:t>
                </m:r>
              </m:sub>
            </m:sSub>
            <m:r>
              <m:t> − </m:t>
            </m:r>
            <m:sSub>
              <m:e>
                <m:r>
                  <m:t>ρ̂</m:t>
                </m:r>
              </m:e>
              <m:sub>
                <m:r>
                  <m:t>arc</m:t>
                </m:r>
              </m:sub>
            </m:sSub>
          </m:num>
          <m:den>
            <m:r>
              <m:t>√Var(</m:t>
            </m:r>
            <m:sSub>
              <m:e>
                <m:r>
                  <m:t>ρ̂</m:t>
                </m:r>
              </m:e>
              <m:sub>
                <m:r>
                  <m:t>rig</m:t>
                </m:r>
              </m:sub>
            </m:sSub>
            <m:r>
              <m:t> − </m:t>
            </m:r>
            <m:sSub>
              <m:e>
                <m:r>
                  <m:t>ρ̂</m:t>
                </m:r>
              </m:e>
              <m:sub>
                <m:r>
                  <m:t>arc</m:t>
                </m:r>
              </m:sub>
            </m:sSub>
            <m:r>
              <m:t>)</m:t>
            </m:r>
          </m:den>
        </m:f>
      </m:oMath>
    </w:p>
    <w:p>
      <w:pPr>
        <w:pStyle w:val="BodyText"/>
      </w:pPr>
      <w:r>
        <w:t>This expression applies directly to parallel rectified translations with appropriate principal-point correction. In a rotating handheld arc, triangulate calibrated rays, express each estimate in a common world frame or common reference-camera inverse depth, and propagate its uncertainty. Do not compare 1/Z values from unrelated camera coordinate systems. Account for shared-image and pose covariance; otherwise the nominal significance is inflated.</w:t>
      </w:r>
    </w:p>
    <w:p>
      <w:pPr>
        <w:pStyle w:val="BodyText"/>
      </w:pPr>
      <w:r>
        <w:t>For each suspected feature, fit a 3D point using one pair family and predict its location in held-out families. Record weighted reprojection error, ray-intersection uncertainty, cheirality and the signed residual along the local epipolar tangent. Separately report perpendicular error. Sampson or epipolar error alone tests the perpendicular constraint; it cannot reject an incorrect point that still lies along the epipolar line.</w:t>
      </w:r>
    </w:p>
    <w:p>
      <w:pPr>
        <w:pStyle w:val="BodyText"/>
      </w:pPr>
      <w:r>
        <w:t>At solve time, reject or downweight tracks that cannot support one 3D point across independent view groups. Compare several well-separated baselines and avoid treating all pairs sharing one image as independent. Do not reject a point merely because its raw disparity differs between pairs. A planar reflected virtual point may pass every geometric consistency check, so geometry-only filtering cannot promise to remove all reflections; material masks or physical surface support are then necessary.</w:t>
      </w:r>
    </w:p>
    <w:p>
      <w:pPr>
        <w:pStyle w:val="Heading1"/>
        <w:pageBreakBefore/>
      </w:pPr>
      <w:r>
        <w:t>8 Predictions and the next discriminating measurements</w:t>
      </w:r>
    </w:p>
    <w:tbl>
      <w:tblPr>
        <w:tblW w:type="auto" w:w="0"/>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2448"/>
        <w:gridCol w:w="3888"/>
        <w:gridCol w:w="3744"/>
      </w:tblGrid>
      <w:tr>
        <w:trPr>
          <w:cantSplit/>
          <w:tblHeader/>
        </w:trPr>
        <w:tc>
          <w:tcPr>
            <w:tcW w:type="dxa" w:w="2448"/>
            <w:shd w:fill="ECECEC"/>
          </w:tcPr>
          <w:p>
            <w:pPr>
              <w:spacing w:after="100" w:before="80"/>
            </w:pPr>
            <w:r>
              <w:rPr>
                <w:b/>
                <w:sz w:val="20"/>
              </w:rPr>
              <w:t>Candidate</w:t>
            </w:r>
          </w:p>
        </w:tc>
        <w:tc>
          <w:tcPr>
            <w:tcW w:type="dxa" w:w="3888"/>
            <w:shd w:fill="ECECEC"/>
          </w:tcPr>
          <w:p>
            <w:pPr>
              <w:spacing w:after="100" w:before="80"/>
            </w:pPr>
            <w:r>
              <w:rPr>
                <w:b/>
                <w:sz w:val="20"/>
              </w:rPr>
              <w:t>Prediction to measure</w:t>
            </w:r>
          </w:p>
        </w:tc>
        <w:tc>
          <w:tcPr>
            <w:tcW w:type="dxa" w:w="3744"/>
            <w:shd w:fill="ECECEC"/>
          </w:tcPr>
          <w:p>
            <w:pPr>
              <w:spacing w:after="100" w:before="80"/>
            </w:pPr>
            <w:r>
              <w:rPr>
                <w:b/>
                <w:sz w:val="20"/>
              </w:rPr>
              <w:t>Important qualification</w:t>
            </w:r>
          </w:p>
        </w:tc>
      </w:tr>
      <w:tr>
        <w:trPr>
          <w:cantSplit/>
        </w:trPr>
        <w:tc>
          <w:tcPr>
            <w:tcW w:type="dxa" w:w="2448"/>
          </w:tcPr>
          <w:p>
            <w:pPr>
              <w:spacing w:after="100" w:before="80"/>
            </w:pPr>
            <w:r>
              <w:rPr>
                <w:b w:val="0"/>
                <w:sz w:val="20"/>
              </w:rPr>
              <w:t>Fixed real or virtual second layer</w:t>
            </w:r>
          </w:p>
        </w:tc>
        <w:tc>
          <w:tcPr>
            <w:tcW w:type="dxa" w:w="3888"/>
          </w:tcPr>
          <w:p>
            <w:pPr>
              <w:spacing w:after="100" w:before="80"/>
            </w:pPr>
            <w:r>
              <w:rPr>
                <w:b w:val="0"/>
                <w:sz w:val="20"/>
              </w:rPr>
              <w:t>Disparity scales with transverse baseline; one point predicts held-out views.</w:t>
            </w:r>
          </w:p>
        </w:tc>
        <w:tc>
          <w:tcPr>
            <w:tcW w:type="dxa" w:w="3744"/>
          </w:tcPr>
          <w:p>
            <w:pPr>
              <w:spacing w:after="100" w:before="80"/>
            </w:pPr>
            <w:r>
              <w:rPr>
                <w:b w:val="0"/>
                <w:sz w:val="20"/>
              </w:rPr>
              <w:t>A stable planar reflection can be geometrically indistinguishable from a real point without reflector context.</w:t>
            </w:r>
          </w:p>
        </w:tc>
      </w:tr>
      <w:tr>
        <w:trPr>
          <w:cantSplit/>
        </w:trPr>
        <w:tc>
          <w:tcPr>
            <w:tcW w:type="dxa" w:w="2448"/>
          </w:tcPr>
          <w:p>
            <w:pPr>
              <w:spacing w:after="100" w:before="80"/>
            </w:pPr>
            <w:r>
              <w:rPr>
                <w:b w:val="0"/>
                <w:sz w:val="20"/>
              </w:rPr>
              <w:t>Curved specular caustic</w:t>
            </w:r>
          </w:p>
        </w:tc>
        <w:tc>
          <w:tcPr>
            <w:tcW w:type="dxa" w:w="3888"/>
          </w:tcPr>
          <w:p>
            <w:pPr>
              <w:spacing w:after="100" w:before="80"/>
            </w:pPr>
            <w:r>
              <w:rPr>
                <w:b w:val="0"/>
                <w:sz w:val="20"/>
              </w:rPr>
              <w:t>Small-pair triangulations can agree locally, then drift as viewpoint separation increases.</w:t>
            </w:r>
          </w:p>
        </w:tc>
        <w:tc>
          <w:tcPr>
            <w:tcW w:type="dxa" w:w="3744"/>
          </w:tcPr>
          <w:p>
            <w:pPr>
              <w:spacing w:after="100" w:before="80"/>
            </w:pPr>
            <w:r>
              <w:rPr>
                <w:b w:val="0"/>
                <w:sz w:val="20"/>
              </w:rPr>
              <w:t>A restricted arc can make the drift too small to distinguish from a fixed virtual layer.</w:t>
            </w:r>
          </w:p>
        </w:tc>
      </w:tr>
      <w:tr>
        <w:trPr>
          <w:cantSplit/>
        </w:trPr>
        <w:tc>
          <w:tcPr>
            <w:tcW w:type="dxa" w:w="2448"/>
          </w:tcPr>
          <w:p>
            <w:pPr>
              <w:spacing w:after="100" w:before="80"/>
            </w:pPr>
            <w:r>
              <w:rPr>
                <w:b w:val="0"/>
                <w:sz w:val="20"/>
              </w:rPr>
              <w:t>Eye-specific pixel bias</w:t>
            </w:r>
          </w:p>
        </w:tc>
        <w:tc>
          <w:tcPr>
            <w:tcW w:type="dxa" w:w="3888"/>
          </w:tcPr>
          <w:p>
            <w:pPr>
              <w:spacing w:after="100" w:before="80"/>
            </w:pPr>
            <w:r>
              <w:rPr>
                <w:b w:val="0"/>
                <w:sz w:val="20"/>
              </w:rPr>
              <w:t>For a simple rectified pair, d = fbρ + c; the additive c becomes c/(fb) in inverse depth.</w:t>
            </w:r>
          </w:p>
        </w:tc>
        <w:tc>
          <w:tcPr>
            <w:tcW w:type="dxa" w:w="3744"/>
          </w:tcPr>
          <w:p>
            <w:pPr>
              <w:spacing w:after="100" w:before="80"/>
            </w:pPr>
            <w:r>
              <w:rPr>
                <w:b w:val="0"/>
                <w:sz w:val="20"/>
              </w:rPr>
              <w:t>Rotation, spatially varying warps and upstream pose absorption require the full projection model.</w:t>
            </w:r>
          </w:p>
        </w:tc>
      </w:tr>
      <w:tr>
        <w:trPr>
          <w:cantSplit/>
        </w:trPr>
        <w:tc>
          <w:tcPr>
            <w:tcW w:type="dxa" w:w="2448"/>
          </w:tcPr>
          <w:p>
            <w:pPr>
              <w:spacing w:after="100" w:before="80"/>
            </w:pPr>
            <w:r>
              <w:rPr>
                <w:b w:val="0"/>
                <w:sz w:val="20"/>
              </w:rPr>
              <w:t>Incorrect model depth</w:t>
            </w:r>
          </w:p>
        </w:tc>
        <w:tc>
          <w:tcPr>
            <w:tcW w:type="dxa" w:w="3888"/>
          </w:tcPr>
          <w:p>
            <w:pPr>
              <w:spacing w:after="100" w:before="80"/>
            </w:pPr>
            <w:r>
              <w:rPr>
                <w:b w:val="0"/>
                <w:sz w:val="20"/>
              </w:rPr>
              <w:t>For a matched static feature, disparity residual scales approximately as fbΔρ.</w:t>
            </w:r>
          </w:p>
        </w:tc>
        <w:tc>
          <w:tcPr>
            <w:tcW w:type="dxa" w:w="3744"/>
          </w:tcPr>
          <w:p>
            <w:pPr>
              <w:spacing w:after="100" w:before="80"/>
            </w:pPr>
            <w:r>
              <w:rPr>
                <w:b w:val="0"/>
                <w:sz w:val="20"/>
              </w:rPr>
              <w:t>Single-image common-mode shifts do not measure Δρ.</w:t>
            </w:r>
          </w:p>
        </w:tc>
      </w:tr>
      <w:tr>
        <w:trPr>
          <w:cantSplit/>
        </w:trPr>
        <w:tc>
          <w:tcPr>
            <w:tcW w:type="dxa" w:w="2448"/>
          </w:tcPr>
          <w:p>
            <w:pPr>
              <w:spacing w:after="100" w:before="80"/>
            </w:pPr>
            <w:r>
              <w:rPr>
                <w:b w:val="0"/>
                <w:sz w:val="20"/>
              </w:rPr>
              <w:t>GS appearance or compositing error</w:t>
            </w:r>
          </w:p>
        </w:tc>
        <w:tc>
          <w:tcPr>
            <w:tcW w:type="dxa" w:w="3888"/>
          </w:tcPr>
          <w:p>
            <w:pPr>
              <w:spacing w:after="100" w:before="80"/>
            </w:pPr>
            <w:r>
              <w:rPr>
                <w:b w:val="0"/>
                <w:sz w:val="20"/>
              </w:rPr>
              <w:t>Raw photographs may support coherent tracks while the render changes peak or contributing layer.</w:t>
            </w:r>
          </w:p>
        </w:tc>
        <w:tc>
          <w:tcPr>
            <w:tcW w:type="dxa" w:w="3744"/>
          </w:tcPr>
          <w:p>
            <w:pPr>
              <w:spacing w:after="100" w:before="80"/>
            </w:pPr>
            <w:r>
              <w:rPr>
                <w:b w:val="0"/>
                <w:sz w:val="20"/>
              </w:rPr>
              <w:t>Expected depth alone can hide two separated groups of contributions.</w:t>
            </w:r>
          </w:p>
        </w:tc>
      </w:tr>
    </w:tbl>
    <w:p>
      <w:pPr>
        <w:pStyle w:val="BodyText"/>
      </w:pPr>
      <w:r>
        <w:t>The two published caustic diagnostics are useful here: EPI trace nonlinearity and perpendicular epipolar departure. For a general handheld arc, use calibrated point reprojection as the rigid-track prediction instead of forcing a straight EPI. If the available baseline directions are almost collinear, first exploit differences in length and existing off-axis motion. Report the conditioning of any regression that includes both directional predictors; high coherence cannot rescue a rank-deficient attribution.</w:t>
      </w:r>
    </w:p>
    <w:p>
      <w:pPr>
        <w:pStyle w:val="Heading2"/>
      </w:pPr>
      <w:r>
        <w:t>A bounded sequence before another full train</w:t>
      </w:r>
    </w:p>
    <w:p>
      <w:pPr>
        <w:pStyle w:val="BodyText"/>
      </w:pPr>
      <w:r>
        <w:t>First, manually verify a small set of displaced reflected features and adjacent matte landmarks in both eyes at several positions. Record signed photo disparities and signed render disparities for those same features. This establishes whether the second population is an optical correspondence layer, a binocular rendering error, or mainly a common-mode image shift.</w:t>
      </w:r>
    </w:p>
    <w:p>
      <w:pPr>
        <w:pStyle w:val="BodyText"/>
      </w:pPr>
      <w:r>
        <w:t>Second, run the pair-family and held-out reprojection comparison on those tracks. Measure baseline-normalized depth, uncertainty, and its change with viewpoint separation. Include exposure-normalized photometric consistency at the physical surface and at the candidate virtual depth. Keep the current calibrated cameras fixed for this diagnostic so that a new solve cannot absorb the effect being tested.</w:t>
      </w:r>
    </w:p>
    <w:p>
      <w:pPr>
        <w:pStyle w:val="BodyText"/>
      </w:pPr>
      <w:r>
        <w:t>Third, inspect the fixed model’s actual alpha-weighted contributors at the failed pixels: centers and depth spread, color contribution by SH band, and visibility across views. Two weighted depth peaks support duplicated or layered representation. A single displaced peak supports an apparent or compromise layer. Increased opacity or accumulated transmittance changes require a comparison against nearby views or a controlled ablation; a point-cloud screenshot is insufficient.</w:t>
      </w:r>
    </w:p>
    <w:p>
      <w:pPr>
        <w:pStyle w:val="BodyText"/>
      </w:pPr>
      <w:r>
        <w:t>If attribution remains ambiguous, a controlled pilot can compare left-only, right-only and balanced stereo training at the same positions, with shared initialization, fixed cameras and matched optimization budgets. Evaluate withheld views and both eye directions. This intervention tests the effect of joint-eye supervision; optical geometry itself does not belong exclusively to one baseline. None of the cited studies establishes a universal stereo-rig 3DGS two-population disparity signature.</w:t>
      </w:r>
    </w:p>
    <w:p>
      <w:pPr>
        <w:pStyle w:val="Heading1"/>
        <w:pageBreakBefore/>
      </w:pPr>
      <w:r>
        <w:t>Sources</w:t>
      </w:r>
    </w:p>
    <w:p>
      <w:pPr>
        <w:pStyle w:val="BodyText"/>
      </w:pPr>
      <w:r>
        <w:t>The equations, illustrative numbers and proposed diagnostic protocol are analytical deductions. Source-specific experiments are identified in the text. The 2026 RT-Splatting result is a preprint; the older GS methods are cited in the versions listed here. Numbered footnotes link to these primary publications or their author records.</w:t>
      </w:r>
    </w:p>
    <w:p>
      <w:pPr>
        <w:pStyle w:val="BodyText"/>
        <w:spacing w:after="60"/>
      </w:pPr>
      <w:r>
        <w:rPr>
          <w:b/>
        </w:rPr>
        <w:t xml:space="preserve">1. Andrew Blake. </w:t>
      </w:r>
      <w:hyperlink r:id="rId10">
        <w:r>
          <w:rPr>
            <w:color w:val="202020"/>
            <w:u w:val="single"/>
          </w:rPr>
          <w:t>Specular Stereo</w:t>
        </w:r>
      </w:hyperlink>
      <w:r>
        <w:t>. IJCAI 1985, pp. 973–976; paper begins on PDF page 5.</w:t>
      </w:r>
    </w:p>
    <w:p>
      <w:pPr>
        <w:pStyle w:val="BodyText"/>
        <w:spacing w:after="60"/>
      </w:pPr>
      <w:r>
        <w:rPr>
          <w:b/>
        </w:rPr>
        <w:t xml:space="preserve">2. Andrew Zisserman, Peter Giblin and Andrew Blake. </w:t>
      </w:r>
      <w:hyperlink r:id="rId11">
        <w:r>
          <w:rPr>
            <w:color w:val="202020"/>
            <w:u w:val="single"/>
          </w:rPr>
          <w:t>The Information Available to a Moving Observer from Specularities</w:t>
        </w:r>
      </w:hyperlink>
      <w:r>
        <w:t>. Image and Vision Computing 7(1), 38–42, 1989; author publication record and abstract.</w:t>
      </w:r>
    </w:p>
    <w:p>
      <w:pPr>
        <w:pStyle w:val="BodyText"/>
        <w:spacing w:after="60"/>
      </w:pPr>
      <w:r>
        <w:rPr>
          <w:b/>
        </w:rPr>
        <w:t xml:space="preserve">3. Gavin Brelstaff and Andrew Blake. </w:t>
      </w:r>
      <w:hyperlink r:id="rId12">
        <w:r>
          <w:rPr>
            <w:color w:val="202020"/>
            <w:u w:val="single"/>
          </w:rPr>
          <w:t>Detecting Specular Reflections Using Lambertian Constraints</w:t>
        </w:r>
      </w:hyperlink>
      <w:r>
        <w:t>. ICCV 1988, pp. 297–302; scanned reprint pp. 139–146.</w:t>
      </w:r>
    </w:p>
    <w:p>
      <w:pPr>
        <w:pStyle w:val="BodyText"/>
        <w:spacing w:after="60"/>
      </w:pPr>
      <w:r>
        <w:rPr>
          <w:b/>
        </w:rPr>
        <w:t xml:space="preserve">4. Rahul Swaminathan, Sing Bing Kang, Richard Szeliski, Antonio Criminisi and Shree K. Nayar. </w:t>
      </w:r>
      <w:hyperlink r:id="rId13">
        <w:r>
          <w:rPr>
            <w:color w:val="202020"/>
            <w:u w:val="single"/>
          </w:rPr>
          <w:t>On the Motion and Appearance of Specularities in Image Sequences</w:t>
        </w:r>
      </w:hyperlink>
      <w:r>
        <w:t>. ECCV 2002, pp. 508–523.</w:t>
      </w:r>
    </w:p>
    <w:p>
      <w:pPr>
        <w:pStyle w:val="BodyText"/>
        <w:spacing w:after="60"/>
      </w:pPr>
      <w:r>
        <w:rPr>
          <w:b/>
        </w:rPr>
        <w:t xml:space="preserve">5. Alexander A. Muryy, Roland W. Fleming and Andrew E. Welchman. </w:t>
      </w:r>
      <w:hyperlink r:id="rId14">
        <w:r>
          <w:rPr>
            <w:color w:val="202020"/>
            <w:u w:val="single"/>
          </w:rPr>
          <w:t>Key Characteristics of Specular Stereo</w:t>
        </w:r>
      </w:hyperlink>
      <w:r>
        <w:t>. Journal of Vision 14(14), article 14, 2014; doi:10.1167/14.14.14.</w:t>
      </w:r>
    </w:p>
    <w:p>
      <w:pPr>
        <w:pStyle w:val="BodyText"/>
        <w:spacing w:after="60"/>
      </w:pPr>
      <w:r>
        <w:rPr>
          <w:b/>
        </w:rPr>
        <w:t xml:space="preserve">6. Dinkar N. Bhat and Shree K. Nayar. </w:t>
      </w:r>
      <w:hyperlink r:id="rId15">
        <w:r>
          <w:rPr>
            <w:color w:val="202020"/>
            <w:u w:val="single"/>
          </w:rPr>
          <w:t>Stereo in the Presence of Specular Reflection</w:t>
        </w:r>
      </w:hyperlink>
      <w:r>
        <w:t>. ICCV 1995, pp. 1086–1092.</w:t>
      </w:r>
    </w:p>
    <w:p>
      <w:pPr>
        <w:pStyle w:val="BodyText"/>
        <w:spacing w:after="60"/>
      </w:pPr>
      <w:r>
        <w:rPr>
          <w:b/>
        </w:rPr>
        <w:t xml:space="preserve">7. Amit Agrawal, Srikumar Ramalingam, Yuichi Taguchi and Visesh Chari. </w:t>
      </w:r>
      <w:hyperlink r:id="rId16">
        <w:r>
          <w:rPr>
            <w:color w:val="202020"/>
            <w:u w:val="single"/>
          </w:rPr>
          <w:t>A Theory of Multi Layer Flat Refractive Geometry</w:t>
        </w:r>
      </w:hyperlink>
      <w:r>
        <w:t>. CVPR 2012; MERL TR2012-047.</w:t>
      </w:r>
    </w:p>
    <w:p>
      <w:pPr>
        <w:pStyle w:val="BodyText"/>
        <w:spacing w:after="60"/>
      </w:pPr>
      <w:r>
        <w:rPr>
          <w:b/>
        </w:rPr>
        <w:t xml:space="preserve">8. Yuanzhen Li, Stephen Lin, Hanqing Lu, Sing Bing Kang and Heung Yeung Shum. </w:t>
      </w:r>
      <w:hyperlink r:id="rId17">
        <w:r>
          <w:rPr>
            <w:color w:val="202020"/>
            <w:u w:val="single"/>
          </w:rPr>
          <w:t>Multibaseline Stereo in the Presence of Specular Reflections</w:t>
        </w:r>
      </w:hyperlink>
      <w:r>
        <w:t>. ICPR 2002; doi:10.1109/ICPR.2002.1048004.</w:t>
      </w:r>
    </w:p>
    <w:p>
      <w:pPr>
        <w:pStyle w:val="BodyText"/>
        <w:spacing w:after="60"/>
      </w:pPr>
      <w:r>
        <w:rPr>
          <w:b/>
        </w:rPr>
        <w:t xml:space="preserve">9. Yuanzhen Li and coauthors. </w:t>
      </w:r>
      <w:hyperlink r:id="rId18">
        <w:r>
          <w:rPr>
            <w:color w:val="202020"/>
            <w:u w:val="single"/>
          </w:rPr>
          <w:t>Multibaseline Stereo in the Presence of Specular Reflections</w:t>
        </w:r>
      </w:hyperlink>
      <w:r>
        <w:t>. Author uploaded full paper; experimental and algorithm details.</w:t>
      </w:r>
    </w:p>
    <w:p>
      <w:pPr>
        <w:pStyle w:val="BodyText"/>
        <w:spacing w:after="60"/>
      </w:pPr>
      <w:r>
        <w:rPr>
          <w:b/>
        </w:rPr>
        <w:t xml:space="preserve">10. Masatoshi Okutomi and Takeo Kanade. </w:t>
      </w:r>
      <w:hyperlink r:id="rId19">
        <w:r>
          <w:rPr>
            <w:color w:val="202020"/>
            <w:u w:val="single"/>
          </w:rPr>
          <w:t>A Multiple Baseline Stereo</w:t>
        </w:r>
      </w:hyperlink>
      <w:r>
        <w:t>. CVPR 1991, pp. 63–69; expanded journal article TPAMI 15(4), 353–363, 1993.</w:t>
      </w:r>
    </w:p>
    <w:p>
      <w:pPr>
        <w:pStyle w:val="BodyText"/>
        <w:spacing w:after="60"/>
      </w:pPr>
      <w:r>
        <w:rPr>
          <w:b/>
        </w:rPr>
        <w:t xml:space="preserve">11. Yingwen Jiang and coauthors. </w:t>
      </w:r>
      <w:hyperlink r:id="rId20">
        <w:r>
          <w:rPr>
            <w:color w:val="202020"/>
            <w:u w:val="single"/>
          </w:rPr>
          <w:t>GaussianShader 3D Gaussian Splatting with Shading Functions for Reflective Surfaces</w:t>
        </w:r>
      </w:hyperlink>
      <w:r>
        <w:t>. CVPR 2024; arXiv:2311.17977v1.</w:t>
      </w:r>
    </w:p>
    <w:p>
      <w:pPr>
        <w:pStyle w:val="BodyText"/>
        <w:spacing w:after="60"/>
      </w:pPr>
      <w:r>
        <w:rPr>
          <w:b/>
        </w:rPr>
        <w:t xml:space="preserve">12. Jian Gao and coauthors. </w:t>
      </w:r>
      <w:hyperlink r:id="rId21">
        <w:r>
          <w:rPr>
            <w:color w:val="202020"/>
            <w:u w:val="single"/>
          </w:rPr>
          <w:t>Relightable 3D Gaussians Realistic Point Cloud Relighting with BRDF Decomposition and Ray Tracing</w:t>
        </w:r>
      </w:hyperlink>
      <w:r>
        <w:t>. ECCV 2024; arXiv:2311.16043v2.</w:t>
      </w:r>
    </w:p>
    <w:p>
      <w:pPr>
        <w:pStyle w:val="BodyText"/>
        <w:spacing w:after="60"/>
      </w:pPr>
      <w:r>
        <w:rPr>
          <w:b/>
        </w:rPr>
        <w:t xml:space="preserve">13. Keyang Ye, Qiming Hou and Kun Zhou. </w:t>
      </w:r>
      <w:hyperlink r:id="rId22">
        <w:r>
          <w:rPr>
            <w:color w:val="202020"/>
            <w:u w:val="single"/>
          </w:rPr>
          <w:t>3D Gaussian Splatting with Deferred Reflection</w:t>
        </w:r>
      </w:hyperlink>
      <w:r>
        <w:t>. SIGGRAPH 2024 Conference Papers; arXiv:2404.18454v2.</w:t>
      </w:r>
    </w:p>
    <w:p>
      <w:pPr>
        <w:pStyle w:val="BodyText"/>
        <w:spacing w:after="60"/>
      </w:pPr>
      <w:r>
        <w:rPr>
          <w:b/>
        </w:rPr>
        <w:t xml:space="preserve">14. Jiarui Meng and coauthors. </w:t>
      </w:r>
      <w:hyperlink r:id="rId23">
        <w:r>
          <w:rPr>
            <w:color w:val="202020"/>
            <w:u w:val="single"/>
          </w:rPr>
          <w:t>Mirror 3DGS Incorporating Mirror Reflections into 3D Gaussian Splatting</w:t>
        </w:r>
      </w:hyperlink>
      <w:r>
        <w:t>. 2024 preprint; arXiv:2404.01168v2.</w:t>
      </w:r>
    </w:p>
    <w:p>
      <w:pPr>
        <w:pStyle w:val="BodyText"/>
        <w:spacing w:after="60"/>
      </w:pPr>
      <w:r>
        <w:rPr>
          <w:b/>
        </w:rPr>
        <w:t xml:space="preserve">15. Ziyi Yang and coauthors. </w:t>
      </w:r>
      <w:hyperlink r:id="rId24">
        <w:r>
          <w:rPr>
            <w:color w:val="202020"/>
            <w:u w:val="single"/>
          </w:rPr>
          <w:t>Spec Gaussian Anisotropic View Dependent Appearance for 3D Gaussian Splatting</w:t>
        </w:r>
      </w:hyperlink>
      <w:r>
        <w:t>. NeurIPS 2024; arXiv:2402.15870v2.</w:t>
      </w:r>
    </w:p>
    <w:p>
      <w:pPr>
        <w:pStyle w:val="BodyText"/>
        <w:spacing w:after="60"/>
      </w:pPr>
      <w:r>
        <w:rPr>
          <w:b/>
        </w:rPr>
        <w:t xml:space="preserve">16. Ji Shi, Xianghua Ying, Bowei Xing, Ruohao Guo and Wenzhen Yue. </w:t>
      </w:r>
      <w:hyperlink r:id="rId25">
        <w:r>
          <w:rPr>
            <w:color w:val="202020"/>
            <w:u w:val="single"/>
          </w:rPr>
          <w:t>RT Splatting Joint Reflection Transmission Modeling with Gaussian Splatting</w:t>
        </w:r>
      </w:hyperlink>
      <w:r>
        <w:t>. Preprint, 18 May 2026; arXiv:2605.18263v1.</w:t>
      </w:r>
    </w:p>
    <w:p>
      <w:pPr>
        <w:pStyle w:val="BodyText"/>
        <w:spacing w:after="60"/>
      </w:pPr>
      <w:r>
        <w:rPr>
          <w:b/>
        </w:rPr>
        <w:t xml:space="preserve">17. Georgios Kopanas, Thomas Leimkühler, Gilles Rainer, Clément Jambon and George Drettakis. </w:t>
      </w:r>
      <w:hyperlink r:id="rId26">
        <w:r>
          <w:rPr>
            <w:color w:val="202020"/>
            <w:u w:val="single"/>
          </w:rPr>
          <w:t>Neural Point Catacaustics for Novel View Synthesis of Reflections</w:t>
        </w:r>
      </w:hyperlink>
      <w:r>
        <w:t>. ACM TOG 41(6), article 201, SIGGRAPH Asia 2022.</w:t>
      </w:r>
    </w:p>
    <w:p>
      <w:pPr>
        <w:pStyle w:val="BodyText"/>
        <w:spacing w:after="60"/>
      </w:pPr>
      <w:r>
        <w:rPr>
          <w:b/>
        </w:rPr>
        <w:t xml:space="preserve">18. Sara Sabour and coauthors. </w:t>
      </w:r>
      <w:hyperlink r:id="rId27">
        <w:r>
          <w:rPr>
            <w:color w:val="202020"/>
            <w:u w:val="single"/>
          </w:rPr>
          <w:t>SpotLessSplats Ignoring Distractors in 3D Gaussian Splatting</w:t>
        </w:r>
      </w:hyperlink>
      <w:r>
        <w:t>. SIGGRAPH 2025; arXiv:2406.20055v2.</w:t>
      </w:r>
    </w:p>
    <w:p>
      <w:pPr>
        <w:pStyle w:val="BodyText"/>
        <w:spacing w:after="60"/>
      </w:pPr>
      <w:r>
        <w:rPr>
          <w:b/>
        </w:rPr>
        <w:t xml:space="preserve">19. Bernhard Kerbl, Georgios Kopanas, Thomas Leimkühler and George Drettakis. </w:t>
      </w:r>
      <w:hyperlink r:id="rId28">
        <w:r>
          <w:rPr>
            <w:color w:val="202020"/>
            <w:u w:val="single"/>
          </w:rPr>
          <w:t>3D Gaussian Splatting for Real Time Radiance Field Rendering</w:t>
        </w:r>
      </w:hyperlink>
      <w:r>
        <w:t>. ACM TOG / SIGGRAPH 2023.</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spacing w:after="30" w:line="220" w:lineRule="auto"/>
      </w:pPr>
      <w:r>
        <w:rPr>
          <w:vertAlign w:val="superscript"/>
          <w:sz w:val="16"/>
        </w:rPr>
        <w:footnoteRef/>
      </w:r>
      <w:r>
        <w:t xml:space="preserve"> </w:t>
        <w:rPr>
          <w:sz w:val="16"/>
        </w:rPr>
      </w:r>
      <w:hyperlink r:id="rId1">
        <w:r>
          <w:rPr>
            <w:color w:val="202020"/>
            <w:u w:val="single"/>
            <w:sz w:val="16"/>
            <w:sz w:val="16"/>
          </w:rPr>
          <w:t>[1] Specular Stereo</w:t>
        </w:r>
      </w:hyperlink>
    </w:p>
  </w:footnote>
  <w:footnote w:id="2">
    <w:p>
      <w:pPr>
        <w:spacing w:after="30" w:line="220" w:lineRule="auto"/>
      </w:pPr>
      <w:r>
        <w:rPr>
          <w:vertAlign w:val="superscript"/>
          <w:sz w:val="16"/>
        </w:rPr>
        <w:footnoteRef/>
      </w:r>
      <w:r>
        <w:t xml:space="preserve"> </w:t>
        <w:rPr>
          <w:sz w:val="16"/>
        </w:rPr>
      </w:r>
      <w:hyperlink r:id="rId2">
        <w:r>
          <w:rPr>
            <w:color w:val="202020"/>
            <w:u w:val="single"/>
            <w:sz w:val="16"/>
            <w:sz w:val="16"/>
          </w:rPr>
          <w:t>[2] The Information Available to a Moving Observer from Specularities</w:t>
        </w:r>
      </w:hyperlink>
    </w:p>
  </w:footnote>
  <w:footnote w:id="3">
    <w:p>
      <w:pPr>
        <w:spacing w:after="30" w:line="220" w:lineRule="auto"/>
      </w:pPr>
      <w:r>
        <w:rPr>
          <w:vertAlign w:val="superscript"/>
          <w:sz w:val="16"/>
        </w:rPr>
        <w:footnoteRef/>
      </w:r>
      <w:r>
        <w:t xml:space="preserve"> </w:t>
        <w:rPr>
          <w:sz w:val="16"/>
        </w:rPr>
      </w:r>
      <w:hyperlink r:id="rId3">
        <w:r>
          <w:rPr>
            <w:color w:val="202020"/>
            <w:u w:val="single"/>
            <w:sz w:val="16"/>
            <w:sz w:val="16"/>
          </w:rPr>
          <w:t>[4] On the Motion and Appearance of Specularities in Image Sequences</w:t>
        </w:r>
      </w:hyperlink>
    </w:p>
  </w:footnote>
  <w:footnote w:id="4">
    <w:p>
      <w:pPr>
        <w:spacing w:after="30" w:line="220" w:lineRule="auto"/>
      </w:pPr>
      <w:r>
        <w:rPr>
          <w:vertAlign w:val="superscript"/>
          <w:sz w:val="16"/>
        </w:rPr>
        <w:footnoteRef/>
      </w:r>
      <w:r>
        <w:t xml:space="preserve"> </w:t>
        <w:rPr>
          <w:sz w:val="16"/>
        </w:rPr>
      </w:r>
      <w:hyperlink r:id="rId4">
        <w:r>
          <w:rPr>
            <w:color w:val="202020"/>
            <w:u w:val="single"/>
            <w:sz w:val="16"/>
            <w:sz w:val="16"/>
          </w:rPr>
          <w:t>[5] Key Characteristics of Specular Stereo</w:t>
        </w:r>
      </w:hyperlink>
    </w:p>
  </w:footnote>
  <w:footnote w:id="5">
    <w:p>
      <w:pPr>
        <w:spacing w:after="30" w:line="220" w:lineRule="auto"/>
      </w:pPr>
      <w:r>
        <w:rPr>
          <w:vertAlign w:val="superscript"/>
          <w:sz w:val="16"/>
        </w:rPr>
        <w:footnoteRef/>
      </w:r>
      <w:r>
        <w:t xml:space="preserve"> </w:t>
        <w:rPr>
          <w:sz w:val="16"/>
        </w:rPr>
      </w:r>
      <w:hyperlink r:id="rId5">
        <w:r>
          <w:rPr>
            <w:color w:val="202020"/>
            <w:u w:val="single"/>
            <w:sz w:val="16"/>
            <w:sz w:val="16"/>
          </w:rPr>
          <w:t>[7] A Theory of Multi Layer Flat Refractive Geometry</w:t>
        </w:r>
      </w:hyperlink>
    </w:p>
  </w:footnote>
  <w:footnote w:id="6">
    <w:p>
      <w:pPr>
        <w:spacing w:after="30" w:line="220" w:lineRule="auto"/>
      </w:pPr>
      <w:r>
        <w:rPr>
          <w:vertAlign w:val="superscript"/>
          <w:sz w:val="16"/>
        </w:rPr>
        <w:footnoteRef/>
      </w:r>
      <w:r>
        <w:t xml:space="preserve"> </w:t>
        <w:rPr>
          <w:sz w:val="16"/>
        </w:rPr>
      </w:r>
      <w:hyperlink r:id="rId6">
        <w:r>
          <w:rPr>
            <w:color w:val="202020"/>
            <w:u w:val="single"/>
            <w:sz w:val="16"/>
            <w:sz w:val="16"/>
          </w:rPr>
          <w:t>[19] 3D Gaussian Splatting for Real Time Radiance Field Rendering</w:t>
        </w:r>
      </w:hyperlink>
    </w:p>
  </w:footnote>
  <w:footnote w:id="7">
    <w:p>
      <w:pPr>
        <w:spacing w:after="30" w:line="220" w:lineRule="auto"/>
      </w:pPr>
      <w:r>
        <w:rPr>
          <w:vertAlign w:val="superscript"/>
          <w:sz w:val="16"/>
        </w:rPr>
        <w:footnoteRef/>
      </w:r>
      <w:r>
        <w:t xml:space="preserve"> </w:t>
        <w:rPr>
          <w:sz w:val="16"/>
        </w:rPr>
      </w:r>
      <w:hyperlink r:id="rId7">
        <w:r>
          <w:rPr>
            <w:color w:val="202020"/>
            <w:u w:val="single"/>
            <w:sz w:val="16"/>
            <w:sz w:val="16"/>
          </w:rPr>
          <w:t>[11] GaussianShader 3D Gaussian Splatting with Shading Functions for Reflective Surfaces</w:t>
        </w:r>
      </w:hyperlink>
      <w:r>
        <w:t xml:space="preserve">; </w:t>
        <w:rPr>
          <w:sz w:val="16"/>
        </w:rPr>
      </w:r>
      <w:hyperlink r:id="rId8">
        <w:r>
          <w:rPr>
            <w:color w:val="202020"/>
            <w:u w:val="single"/>
            <w:sz w:val="16"/>
            <w:sz w:val="16"/>
          </w:rPr>
          <w:t>[12] Relightable 3D Gaussians Realistic Point Cloud Relighting with BRDF Decomposition and Ray Tracing</w:t>
        </w:r>
      </w:hyperlink>
      <w:r>
        <w:t xml:space="preserve">; </w:t>
        <w:rPr>
          <w:sz w:val="16"/>
        </w:rPr>
      </w:r>
      <w:hyperlink r:id="rId9">
        <w:r>
          <w:rPr>
            <w:color w:val="202020"/>
            <w:u w:val="single"/>
            <w:sz w:val="16"/>
            <w:sz w:val="16"/>
          </w:rPr>
          <w:t>[13] 3D Gaussian Splatting with Deferred Reflection</w:t>
        </w:r>
      </w:hyperlink>
      <w:r>
        <w:t xml:space="preserve">; </w:t>
        <w:rPr>
          <w:sz w:val="16"/>
        </w:rPr>
      </w:r>
      <w:hyperlink r:id="rId10">
        <w:r>
          <w:rPr>
            <w:color w:val="202020"/>
            <w:u w:val="single"/>
            <w:sz w:val="16"/>
            <w:sz w:val="16"/>
          </w:rPr>
          <w:t>[14] Mirror 3DGS Incorporating Mirror Reflections into 3D Gaussian Splatting</w:t>
        </w:r>
      </w:hyperlink>
    </w:p>
  </w:footnote>
  <w:footnote w:id="8">
    <w:p>
      <w:pPr>
        <w:spacing w:after="30" w:line="220" w:lineRule="auto"/>
      </w:pPr>
      <w:r>
        <w:rPr>
          <w:vertAlign w:val="superscript"/>
          <w:sz w:val="16"/>
        </w:rPr>
        <w:footnoteRef/>
      </w:r>
      <w:r>
        <w:t xml:space="preserve"> </w:t>
        <w:rPr>
          <w:sz w:val="16"/>
        </w:rPr>
      </w:r>
      <w:hyperlink r:id="rId11">
        <w:r>
          <w:rPr>
            <w:color w:val="202020"/>
            <w:u w:val="single"/>
            <w:sz w:val="16"/>
            <w:sz w:val="16"/>
          </w:rPr>
          <w:t>[15] Spec Gaussian Anisotropic View Dependent Appearance for 3D Gaussian Splatting</w:t>
        </w:r>
      </w:hyperlink>
    </w:p>
  </w:footnote>
  <w:footnote w:id="9">
    <w:p>
      <w:pPr>
        <w:spacing w:after="30" w:line="220" w:lineRule="auto"/>
      </w:pPr>
      <w:r>
        <w:rPr>
          <w:vertAlign w:val="superscript"/>
          <w:sz w:val="16"/>
        </w:rPr>
        <w:footnoteRef/>
      </w:r>
      <w:r>
        <w:t xml:space="preserve"> </w:t>
        <w:rPr>
          <w:sz w:val="16"/>
        </w:rPr>
      </w:r>
      <w:hyperlink r:id="rId12">
        <w:r>
          <w:rPr>
            <w:color w:val="202020"/>
            <w:u w:val="single"/>
            <w:sz w:val="16"/>
            <w:sz w:val="16"/>
          </w:rPr>
          <w:t>[16] RT Splatting Joint Reflection Transmission Modeling with Gaussian Splatting</w:t>
        </w:r>
      </w:hyperlink>
    </w:p>
  </w:footnote>
  <w:footnote w:id="10">
    <w:p>
      <w:pPr>
        <w:spacing w:after="30" w:line="220" w:lineRule="auto"/>
      </w:pPr>
      <w:r>
        <w:rPr>
          <w:vertAlign w:val="superscript"/>
          <w:sz w:val="16"/>
        </w:rPr>
        <w:footnoteRef/>
      </w:r>
      <w:r>
        <w:t xml:space="preserve"> </w:t>
        <w:rPr>
          <w:sz w:val="16"/>
        </w:rPr>
      </w:r>
      <w:hyperlink r:id="rId13">
        <w:r>
          <w:rPr>
            <w:color w:val="202020"/>
            <w:u w:val="single"/>
            <w:sz w:val="16"/>
            <w:sz w:val="16"/>
          </w:rPr>
          <w:t>[17] Neural Point Catacaustics for Novel View Synthesis of Reflections</w:t>
        </w:r>
      </w:hyperlink>
    </w:p>
  </w:footnote>
  <w:footnote w:id="11">
    <w:p>
      <w:pPr>
        <w:spacing w:after="30" w:line="220" w:lineRule="auto"/>
      </w:pPr>
      <w:r>
        <w:rPr>
          <w:vertAlign w:val="superscript"/>
          <w:sz w:val="16"/>
        </w:rPr>
        <w:footnoteRef/>
      </w:r>
      <w:r>
        <w:t xml:space="preserve"> </w:t>
        <w:rPr>
          <w:sz w:val="16"/>
        </w:rPr>
      </w:r>
      <w:hyperlink r:id="rId14">
        <w:r>
          <w:rPr>
            <w:color w:val="202020"/>
            <w:u w:val="single"/>
            <w:sz w:val="16"/>
            <w:sz w:val="16"/>
          </w:rPr>
          <w:t>[3] Detecting Specular Reflections Using Lambertian Constraints</w:t>
        </w:r>
      </w:hyperlink>
    </w:p>
  </w:footnote>
  <w:footnote w:id="12">
    <w:p>
      <w:pPr>
        <w:spacing w:after="30" w:line="220" w:lineRule="auto"/>
      </w:pPr>
      <w:r>
        <w:rPr>
          <w:vertAlign w:val="superscript"/>
          <w:sz w:val="16"/>
        </w:rPr>
        <w:footnoteRef/>
      </w:r>
      <w:r>
        <w:t xml:space="preserve"> </w:t>
        <w:rPr>
          <w:sz w:val="16"/>
        </w:rPr>
      </w:r>
      <w:hyperlink r:id="rId15">
        <w:r>
          <w:rPr>
            <w:color w:val="202020"/>
            <w:u w:val="single"/>
            <w:sz w:val="16"/>
            <w:sz w:val="16"/>
          </w:rPr>
          <w:t>[8] Multibaseline Stereo in the Presence of Specular Reflections</w:t>
        </w:r>
      </w:hyperlink>
      <w:r>
        <w:t xml:space="preserve">; </w:t>
        <w:rPr>
          <w:sz w:val="16"/>
        </w:rPr>
      </w:r>
      <w:hyperlink r:id="rId16">
        <w:r>
          <w:rPr>
            <w:color w:val="202020"/>
            <w:u w:val="single"/>
            <w:sz w:val="16"/>
            <w:sz w:val="16"/>
          </w:rPr>
          <w:t>[9] Multibaseline Stereo in the Presence of Specular Reflections</w:t>
        </w:r>
      </w:hyperlink>
    </w:p>
  </w:footnote>
  <w:footnote w:id="13">
    <w:p>
      <w:pPr>
        <w:spacing w:after="30" w:line="220" w:lineRule="auto"/>
      </w:pPr>
      <w:r>
        <w:rPr>
          <w:vertAlign w:val="superscript"/>
          <w:sz w:val="16"/>
        </w:rPr>
        <w:footnoteRef/>
      </w:r>
      <w:r>
        <w:t xml:space="preserve"> </w:t>
        <w:rPr>
          <w:sz w:val="16"/>
        </w:rPr>
      </w:r>
      <w:hyperlink r:id="rId17">
        <w:r>
          <w:rPr>
            <w:color w:val="202020"/>
            <w:u w:val="single"/>
            <w:sz w:val="16"/>
            <w:sz w:val="16"/>
          </w:rPr>
          <w:t>[6] Stereo in the Presence of Specular Reflection</w:t>
        </w:r>
      </w:hyperlink>
    </w:p>
  </w:footnote>
  <w:footnote w:id="14">
    <w:p>
      <w:pPr>
        <w:spacing w:after="30" w:line="220" w:lineRule="auto"/>
      </w:pPr>
      <w:r>
        <w:rPr>
          <w:vertAlign w:val="superscript"/>
          <w:sz w:val="16"/>
        </w:rPr>
        <w:footnoteRef/>
      </w:r>
      <w:r>
        <w:t xml:space="preserve"> </w:t>
        <w:rPr>
          <w:sz w:val="16"/>
        </w:rPr>
      </w:r>
      <w:hyperlink r:id="rId18">
        <w:r>
          <w:rPr>
            <w:color w:val="202020"/>
            <w:u w:val="single"/>
            <w:sz w:val="16"/>
            <w:sz w:val="16"/>
          </w:rPr>
          <w:t>[18] SpotLessSplats Ignoring Distractors in 3D Gaussian Splatting</w:t>
        </w:r>
      </w:hyperlink>
    </w:p>
  </w:footnote>
  <w:footnote w:id="15">
    <w:p>
      <w:pPr>
        <w:spacing w:after="30" w:line="220" w:lineRule="auto"/>
      </w:pPr>
      <w:r>
        <w:rPr>
          <w:vertAlign w:val="superscript"/>
          <w:sz w:val="16"/>
        </w:rPr>
        <w:footnoteRef/>
      </w:r>
      <w:r>
        <w:t xml:space="preserve"> </w:t>
        <w:rPr>
          <w:sz w:val="16"/>
        </w:rPr>
      </w:r>
      <w:hyperlink r:id="rId19">
        <w:r>
          <w:rPr>
            <w:color w:val="202020"/>
            <w:u w:val="single"/>
            <w:sz w:val="16"/>
            <w:sz w:val="16"/>
          </w:rPr>
          <w:t>[10] A Multiple Baseline Stereo</w:t>
        </w:r>
      </w:hyperlink>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Calibri" w:hAnsi="Calibri" w:eastAsia="Calibri" w:cs="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Calibri" w:hAnsi="Calibri" w:eastAsia="Calibri" w:cs="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Calibri" w:hAnsi="Calibri" w:eastAsia="Calibri" w:cs="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4" w:lineRule="auto"/>
    </w:pPr>
    <w:rPr>
      <w:rFonts w:ascii="Calibri" w:hAnsi="Calibri" w:eastAsia="Calibri" w:cs="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cs="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hyperlink" Target="https://www.ijcai.org/Proceedings/85-2/Papers/058.pdf" TargetMode="External"/><Relationship Id="rId11" Type="http://schemas.openxmlformats.org/officeDocument/2006/relationships/hyperlink" Target="https://www.robots.ox.ac.uk/~vgg/publications/1989/Zisserman89/" TargetMode="External"/><Relationship Id="rId12" Type="http://schemas.openxmlformats.org/officeDocument/2006/relationships/hyperlink" Target="https://homepages.inf.ed.ac.uk/rbf/BOOKS/MAYHEW/scan/139-146.pdf" TargetMode="External"/><Relationship Id="rId13" Type="http://schemas.openxmlformats.org/officeDocument/2006/relationships/hyperlink" Target="https://cave.cs.columbia.edu/old/publications/pdfs/Swaminathan_ECCV02.pdf" TargetMode="External"/><Relationship Id="rId14" Type="http://schemas.openxmlformats.org/officeDocument/2006/relationships/hyperlink" Target="https://pubmed.ncbi.nlm.nih.gov/25540263/" TargetMode="External"/><Relationship Id="rId15" Type="http://schemas.openxmlformats.org/officeDocument/2006/relationships/hyperlink" Target="https://cave.cs.columbia.edu/Statics/publications/pdfs/Bhat_ICCV95.pdf" TargetMode="External"/><Relationship Id="rId16" Type="http://schemas.openxmlformats.org/officeDocument/2006/relationships/hyperlink" Target="https://www.merl.com/publications/docs/TR2012-047.pdf" TargetMode="External"/><Relationship Id="rId17" Type="http://schemas.openxmlformats.org/officeDocument/2006/relationships/hyperlink" Target="https://www.microsoft.com/en-us/research/publication/multibaseline-stereo-in-the-presence-of-specular-reflections/" TargetMode="External"/><Relationship Id="rId18" Type="http://schemas.openxmlformats.org/officeDocument/2006/relationships/hyperlink" Target="https://www.researchgate.net/publication/3974125_Multibaseline_stereo_in_the_presence_of_specular_reflections" TargetMode="External"/><Relationship Id="rId19" Type="http://schemas.openxmlformats.org/officeDocument/2006/relationships/hyperlink" Target="https://publications.ri.cmu.edu/a-multiple-baseline-stereo" TargetMode="External"/><Relationship Id="rId20" Type="http://schemas.openxmlformats.org/officeDocument/2006/relationships/hyperlink" Target="https://arxiv.org/html/2311.17977v1" TargetMode="External"/><Relationship Id="rId21" Type="http://schemas.openxmlformats.org/officeDocument/2006/relationships/hyperlink" Target="https://arxiv.org/html/2311.16043v2" TargetMode="External"/><Relationship Id="rId22" Type="http://schemas.openxmlformats.org/officeDocument/2006/relationships/hyperlink" Target="https://arxiv.org/html/2404.18454v2" TargetMode="External"/><Relationship Id="rId23" Type="http://schemas.openxmlformats.org/officeDocument/2006/relationships/hyperlink" Target="https://arxiv.org/html/2404.01168v2" TargetMode="External"/><Relationship Id="rId24" Type="http://schemas.openxmlformats.org/officeDocument/2006/relationships/hyperlink" Target="https://arxiv.org/html/2402.15870v2" TargetMode="External"/><Relationship Id="rId25" Type="http://schemas.openxmlformats.org/officeDocument/2006/relationships/hyperlink" Target="https://arxiv.org/html/2605.18263v1" TargetMode="External"/><Relationship Id="rId26" Type="http://schemas.openxmlformats.org/officeDocument/2006/relationships/hyperlink" Target="https://repo-sam.inria.fr/fungraph/neural_catacaustics/" TargetMode="External"/><Relationship Id="rId27" Type="http://schemas.openxmlformats.org/officeDocument/2006/relationships/hyperlink" Target="https://arxiv.org/html/2406.20055v2" TargetMode="External"/><Relationship Id="rId28" Type="http://schemas.openxmlformats.org/officeDocument/2006/relationships/hyperlink" Target="https://repo-sam.inria.fr/fungraph/3d-gaussian-splattin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jcai.org/Proceedings/85-2/Papers/058.pdf" TargetMode="External"/><Relationship Id="rId2" Type="http://schemas.openxmlformats.org/officeDocument/2006/relationships/hyperlink" Target="https://www.robots.ox.ac.uk/~vgg/publications/1989/Zisserman89/" TargetMode="External"/><Relationship Id="rId3" Type="http://schemas.openxmlformats.org/officeDocument/2006/relationships/hyperlink" Target="https://cave.cs.columbia.edu/old/publications/pdfs/Swaminathan_ECCV02.pdf" TargetMode="External"/><Relationship Id="rId4" Type="http://schemas.openxmlformats.org/officeDocument/2006/relationships/hyperlink" Target="https://pubmed.ncbi.nlm.nih.gov/25540263/" TargetMode="External"/><Relationship Id="rId5" Type="http://schemas.openxmlformats.org/officeDocument/2006/relationships/hyperlink" Target="https://www.merl.com/publications/docs/TR2012-047.pdf" TargetMode="External"/><Relationship Id="rId6" Type="http://schemas.openxmlformats.org/officeDocument/2006/relationships/hyperlink" Target="https://repo-sam.inria.fr/fungraph/3d-gaussian-splatting/" TargetMode="External"/><Relationship Id="rId7" Type="http://schemas.openxmlformats.org/officeDocument/2006/relationships/hyperlink" Target="https://arxiv.org/html/2311.17977v1" TargetMode="External"/><Relationship Id="rId8" Type="http://schemas.openxmlformats.org/officeDocument/2006/relationships/hyperlink" Target="https://arxiv.org/html/2311.16043v2" TargetMode="External"/><Relationship Id="rId9" Type="http://schemas.openxmlformats.org/officeDocument/2006/relationships/hyperlink" Target="https://arxiv.org/html/2404.18454v2" TargetMode="External"/><Relationship Id="rId10" Type="http://schemas.openxmlformats.org/officeDocument/2006/relationships/hyperlink" Target="https://arxiv.org/html/2404.01168v2" TargetMode="External"/><Relationship Id="rId11" Type="http://schemas.openxmlformats.org/officeDocument/2006/relationships/hyperlink" Target="https://arxiv.org/html/2402.15870v2" TargetMode="External"/><Relationship Id="rId12" Type="http://schemas.openxmlformats.org/officeDocument/2006/relationships/hyperlink" Target="https://arxiv.org/html/2605.18263v1" TargetMode="External"/><Relationship Id="rId13" Type="http://schemas.openxmlformats.org/officeDocument/2006/relationships/hyperlink" Target="https://repo-sam.inria.fr/fungraph/neural_catacaustics/" TargetMode="External"/><Relationship Id="rId14" Type="http://schemas.openxmlformats.org/officeDocument/2006/relationships/hyperlink" Target="https://homepages.inf.ed.ac.uk/rbf/BOOKS/MAYHEW/scan/139-146.pdf" TargetMode="External"/><Relationship Id="rId15" Type="http://schemas.openxmlformats.org/officeDocument/2006/relationships/hyperlink" Target="https://www.microsoft.com/en-us/research/publication/multibaseline-stereo-in-the-presence-of-specular-reflections/" TargetMode="External"/><Relationship Id="rId16" Type="http://schemas.openxmlformats.org/officeDocument/2006/relationships/hyperlink" Target="https://www.researchgate.net/publication/3974125_Multibaseline_stereo_in_the_presence_of_specular_reflections" TargetMode="External"/><Relationship Id="rId17" Type="http://schemas.openxmlformats.org/officeDocument/2006/relationships/hyperlink" Target="https://cave.cs.columbia.edu/Statics/publications/pdfs/Bhat_ICCV95.pdf" TargetMode="External"/><Relationship Id="rId18" Type="http://schemas.openxmlformats.org/officeDocument/2006/relationships/hyperlink" Target="https://arxiv.org/html/2406.20055v2" TargetMode="External"/><Relationship Id="rId19" Type="http://schemas.openxmlformats.org/officeDocument/2006/relationships/hyperlink" Target="https://publications.ri.cmu.edu/a-multiple-baseline-ster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Specular Stereo and 3DGS Reconstruction Mechanisms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